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E46DC1" w14:textId="1BF65442" w:rsidR="006732D7" w:rsidRPr="000931E7" w:rsidRDefault="00FB5349" w:rsidP="0086356E">
      <w:pPr>
        <w:shd w:val="clear" w:color="auto" w:fill="006C31"/>
        <w:ind w:left="-360" w:right="-360"/>
        <w:jc w:val="both"/>
        <w:rPr>
          <w:rFonts w:ascii="Garamond" w:hAnsi="Garamond"/>
          <w:b/>
          <w:color w:val="FFFFFF" w:themeColor="background1"/>
          <w:sz w:val="22"/>
          <w:szCs w:val="22"/>
        </w:rPr>
      </w:pPr>
      <w:r w:rsidRPr="000931E7">
        <w:rPr>
          <w:rFonts w:ascii="Garamond" w:hAnsi="Garamond"/>
          <w:b/>
          <w:color w:val="FFFFFF" w:themeColor="background1"/>
          <w:sz w:val="22"/>
          <w:szCs w:val="22"/>
        </w:rPr>
        <w:t>Original</w:t>
      </w:r>
    </w:p>
    <w:p w14:paraId="2C5363F9" w14:textId="6E21A651" w:rsidR="006732D7" w:rsidRPr="000931E7" w:rsidRDefault="006732D7" w:rsidP="006732D7">
      <w:pPr>
        <w:jc w:val="both"/>
        <w:rPr>
          <w:rFonts w:ascii="Garamond" w:hAnsi="Garamond"/>
          <w:sz w:val="22"/>
          <w:szCs w:val="22"/>
        </w:rPr>
      </w:pPr>
      <w:r w:rsidRPr="000931E7">
        <w:rPr>
          <w:rFonts w:ascii="Garamond" w:hAnsi="Garamond"/>
          <w:noProof/>
          <w:color w:val="385623" w:themeColor="accent6" w:themeShade="80"/>
          <w:sz w:val="22"/>
          <w:szCs w:val="22"/>
        </w:rPr>
        <mc:AlternateContent>
          <mc:Choice Requires="wps">
            <w:drawing>
              <wp:anchor distT="0" distB="0" distL="114300" distR="114300" simplePos="0" relativeHeight="251659264" behindDoc="1" locked="0" layoutInCell="1" allowOverlap="1" wp14:anchorId="7DC3218C" wp14:editId="0200CDF9">
                <wp:simplePos x="0" y="0"/>
                <wp:positionH relativeFrom="column">
                  <wp:posOffset>-238539</wp:posOffset>
                </wp:positionH>
                <wp:positionV relativeFrom="paragraph">
                  <wp:posOffset>123245</wp:posOffset>
                </wp:positionV>
                <wp:extent cx="6419850" cy="834887"/>
                <wp:effectExtent l="0" t="0" r="19050" b="22860"/>
                <wp:wrapNone/>
                <wp:docPr id="262" name="Round Diagonal Corner Rectangle 262"/>
                <wp:cNvGraphicFramePr/>
                <a:graphic xmlns:a="http://schemas.openxmlformats.org/drawingml/2006/main">
                  <a:graphicData uri="http://schemas.microsoft.com/office/word/2010/wordprocessingShape">
                    <wps:wsp>
                      <wps:cNvSpPr/>
                      <wps:spPr>
                        <a:xfrm>
                          <a:off x="0" y="0"/>
                          <a:ext cx="6419850" cy="834887"/>
                        </a:xfrm>
                        <a:prstGeom prst="round2DiagRect">
                          <a:avLst/>
                        </a:prstGeom>
                        <a:solidFill>
                          <a:srgbClr val="1A601C"/>
                        </a:solidFill>
                        <a:ln w="12700" cap="flat" cmpd="sng" algn="ctr">
                          <a:solidFill>
                            <a:srgbClr val="70AD47">
                              <a:lumMod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08026D5" id="Round Diagonal Corner Rectangle 262" o:spid="_x0000_s1026" style="position:absolute;margin-left:-18.8pt;margin-top:9.7pt;width:505.5pt;height:65.7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419850,834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" path="m139151,l6419850,r,l6419850,695736v,76851,-62300,139151,-139151,139151l,834887r,l,139151c,62300,62300,,139151,xe" fillcolor="#1a601c" strokecolor="#385723" strokeweight="1pt">
                <v:stroke joinstyle="miter"/>
                <v:path arrowok="t" o:connecttype="custom" o:connectlocs="139151,0;6419850,0;6419850,0;6419850,695736;6280699,834887;0,834887;0,834887;0,139151;139151,0" o:connectangles="0,0,0,0,0,0,0,0,0"/>
              </v:shape>
            </w:pict>
          </mc:Fallback>
        </mc:AlternateContent>
      </w:r>
    </w:p>
    <w:p w14:paraId="02A99B38" w14:textId="3A75D6B9" w:rsidR="004101A5" w:rsidRPr="004101A5" w:rsidRDefault="004101A5" w:rsidP="004101A5">
      <w:pPr>
        <w:pBdr>
          <w:bottom w:val="single" w:sz="6" w:space="1" w:color="auto"/>
        </w:pBdr>
        <w:jc w:val="both"/>
        <w:rPr>
          <w:rFonts w:ascii="Garamond" w:hAnsi="Garamond" w:cs="Times New Roman"/>
          <w:b/>
          <w:bCs/>
          <w:color w:val="FFFFFF" w:themeColor="background1"/>
          <w:sz w:val="32"/>
          <w:szCs w:val="32"/>
        </w:rPr>
      </w:pPr>
      <w:bookmarkStart w:id="1" w:name="_top"/>
      <w:bookmarkStart w:id="2" w:name="_Hlk200054606"/>
      <w:bookmarkStart w:id="3" w:name="_Hlk192510150"/>
      <w:bookmarkStart w:id="4" w:name="_Hlk192507963"/>
      <w:bookmarkStart w:id="5" w:name="_Hlk188881926"/>
      <w:bookmarkStart w:id="6" w:name="_Hlk177954689"/>
      <w:bookmarkStart w:id="7" w:name="_Hlk192509202"/>
      <w:bookmarkStart w:id="8" w:name="_Hlk192735961"/>
      <w:bookmarkStart w:id="9" w:name="_Hlk192762964"/>
      <w:bookmarkStart w:id="10" w:name="_Hlk192836332"/>
      <w:bookmarkEnd w:id="1"/>
      <w:r w:rsidRPr="004101A5">
        <w:rPr>
          <w:rFonts w:ascii="Garamond" w:hAnsi="Garamond" w:cs="Times New Roman"/>
          <w:b/>
          <w:bCs/>
          <w:color w:val="FFFFFF" w:themeColor="background1"/>
          <w:sz w:val="32"/>
          <w:szCs w:val="32"/>
        </w:rPr>
        <w:t xml:space="preserve">An Integrated Network Pharmacology </w:t>
      </w:r>
      <w:r>
        <w:rPr>
          <w:rFonts w:ascii="Garamond" w:hAnsi="Garamond" w:cs="Times New Roman"/>
          <w:b/>
          <w:bCs/>
          <w:color w:val="FFFFFF" w:themeColor="background1"/>
          <w:sz w:val="32"/>
          <w:szCs w:val="32"/>
        </w:rPr>
        <w:t>a</w:t>
      </w:r>
      <w:r w:rsidRPr="004101A5">
        <w:rPr>
          <w:rFonts w:ascii="Garamond" w:hAnsi="Garamond" w:cs="Times New Roman"/>
          <w:b/>
          <w:bCs/>
          <w:color w:val="FFFFFF" w:themeColor="background1"/>
          <w:sz w:val="32"/>
          <w:szCs w:val="32"/>
        </w:rPr>
        <w:t xml:space="preserve">nd Molecular Modelling Study </w:t>
      </w:r>
      <w:r>
        <w:rPr>
          <w:rFonts w:ascii="Garamond" w:hAnsi="Garamond" w:cs="Times New Roman"/>
          <w:b/>
          <w:bCs/>
          <w:color w:val="FFFFFF" w:themeColor="background1"/>
          <w:sz w:val="32"/>
          <w:szCs w:val="32"/>
        </w:rPr>
        <w:t>o</w:t>
      </w:r>
      <w:r w:rsidRPr="004101A5">
        <w:rPr>
          <w:rFonts w:ascii="Garamond" w:hAnsi="Garamond" w:cs="Times New Roman"/>
          <w:b/>
          <w:bCs/>
          <w:color w:val="FFFFFF" w:themeColor="background1"/>
          <w:sz w:val="32"/>
          <w:szCs w:val="32"/>
        </w:rPr>
        <w:t>f Phytoconstituents Targeting Malaria</w:t>
      </w:r>
    </w:p>
    <w:bookmarkEnd w:id="2"/>
    <w:p w14:paraId="20A68D9D" w14:textId="6DD6713C" w:rsidR="00376CF8" w:rsidRPr="00376CF8" w:rsidRDefault="00307E62" w:rsidP="00376CF8">
      <w:pPr>
        <w:pBdr>
          <w:bottom w:val="single" w:sz="6" w:space="1" w:color="auto"/>
        </w:pBdr>
        <w:jc w:val="both"/>
        <w:rPr>
          <w:rFonts w:ascii="Garamond" w:hAnsi="Garamond"/>
          <w:b/>
          <w:bCs/>
          <w:i/>
          <w:iCs/>
          <w:color w:val="FFFFFF" w:themeColor="background1"/>
          <w:sz w:val="22"/>
          <w:szCs w:val="22"/>
          <w:lang w:val="en-GB"/>
        </w:rPr>
      </w:pPr>
      <w:r w:rsidRPr="00307E62">
        <w:rPr>
          <w:rFonts w:ascii="Garamond" w:hAnsi="Garamond" w:cs="Times New Roman"/>
          <w:b/>
          <w:bCs/>
          <w:i/>
          <w:iCs/>
          <w:color w:val="FFFFFF" w:themeColor="background1"/>
          <w:sz w:val="32"/>
          <w:szCs w:val="32"/>
          <w:vertAlign w:val="superscript"/>
        </w:rPr>
        <w:t xml:space="preserve"> </w:t>
      </w:r>
      <w:r w:rsidR="00BD05B4" w:rsidRPr="000931E7">
        <w:rPr>
          <w:rFonts w:ascii="Garamond" w:hAnsi="Garamond"/>
          <w:b/>
          <w:bCs/>
          <w:i/>
          <w:iCs/>
          <w:color w:val="FFFFFF" w:themeColor="background1"/>
          <w:sz w:val="22"/>
          <w:szCs w:val="22"/>
          <w:vertAlign w:val="superscript"/>
        </w:rPr>
        <w:t>1</w:t>
      </w:r>
      <w:bookmarkEnd w:id="3"/>
      <w:bookmarkEnd w:id="4"/>
      <w:bookmarkEnd w:id="5"/>
      <w:bookmarkEnd w:id="6"/>
      <w:bookmarkEnd w:id="7"/>
      <w:bookmarkEnd w:id="8"/>
      <w:r w:rsidR="009432EF" w:rsidRPr="009432EF">
        <w:rPr>
          <w:rFonts w:ascii="Garamond" w:hAnsi="Garamond"/>
          <w:b/>
          <w:bCs/>
          <w:i/>
          <w:iCs/>
          <w:color w:val="FFFFFF" w:themeColor="background1"/>
        </w:rPr>
        <w:t xml:space="preserve">Siddartha Bethi, </w:t>
      </w:r>
      <w:r w:rsidR="009432EF" w:rsidRPr="009432EF">
        <w:rPr>
          <w:rFonts w:ascii="Garamond" w:hAnsi="Garamond"/>
          <w:b/>
          <w:bCs/>
          <w:i/>
          <w:iCs/>
          <w:color w:val="FFFFFF" w:themeColor="background1"/>
          <w:vertAlign w:val="superscript"/>
        </w:rPr>
        <w:t>2</w:t>
      </w:r>
      <w:r w:rsidR="009432EF" w:rsidRPr="009432EF">
        <w:rPr>
          <w:rFonts w:ascii="Garamond" w:hAnsi="Garamond"/>
          <w:b/>
          <w:bCs/>
          <w:i/>
          <w:iCs/>
          <w:color w:val="FFFFFF" w:themeColor="background1"/>
        </w:rPr>
        <w:t xml:space="preserve">Rahul </w:t>
      </w:r>
      <w:proofErr w:type="spellStart"/>
      <w:r w:rsidR="009432EF" w:rsidRPr="009432EF">
        <w:rPr>
          <w:rFonts w:ascii="Garamond" w:hAnsi="Garamond"/>
          <w:b/>
          <w:bCs/>
          <w:i/>
          <w:iCs/>
          <w:color w:val="FFFFFF" w:themeColor="background1"/>
        </w:rPr>
        <w:t>Shirole</w:t>
      </w:r>
      <w:proofErr w:type="spellEnd"/>
      <w:r w:rsidR="009432EF" w:rsidRPr="009432EF">
        <w:rPr>
          <w:rFonts w:ascii="Garamond" w:hAnsi="Garamond"/>
          <w:b/>
          <w:bCs/>
          <w:i/>
          <w:iCs/>
          <w:color w:val="FFFFFF" w:themeColor="background1"/>
        </w:rPr>
        <w:t xml:space="preserve">, </w:t>
      </w:r>
      <w:r w:rsidR="009432EF" w:rsidRPr="009432EF">
        <w:rPr>
          <w:rFonts w:ascii="Garamond" w:hAnsi="Garamond"/>
          <w:b/>
          <w:bCs/>
          <w:i/>
          <w:iCs/>
          <w:color w:val="FFFFFF" w:themeColor="background1"/>
          <w:vertAlign w:val="superscript"/>
        </w:rPr>
        <w:t>3</w:t>
      </w:r>
      <w:r w:rsidR="009432EF" w:rsidRPr="009432EF">
        <w:rPr>
          <w:rFonts w:ascii="Garamond" w:hAnsi="Garamond"/>
          <w:b/>
          <w:bCs/>
          <w:i/>
          <w:iCs/>
          <w:color w:val="FFFFFF" w:themeColor="background1"/>
        </w:rPr>
        <w:t xml:space="preserve">Leena Pathak, </w:t>
      </w:r>
      <w:r w:rsidR="009432EF" w:rsidRPr="009432EF">
        <w:rPr>
          <w:rFonts w:ascii="Garamond" w:hAnsi="Garamond"/>
          <w:b/>
          <w:bCs/>
          <w:i/>
          <w:iCs/>
          <w:color w:val="FFFFFF" w:themeColor="background1"/>
          <w:vertAlign w:val="superscript"/>
        </w:rPr>
        <w:t>4</w:t>
      </w:r>
      <w:r w:rsidR="009432EF" w:rsidRPr="009432EF">
        <w:rPr>
          <w:rFonts w:ascii="Garamond" w:hAnsi="Garamond"/>
          <w:b/>
          <w:bCs/>
          <w:i/>
          <w:iCs/>
          <w:color w:val="FFFFFF" w:themeColor="background1"/>
        </w:rPr>
        <w:t xml:space="preserve">Manish Bhise, </w:t>
      </w:r>
      <w:r w:rsidR="009432EF" w:rsidRPr="009432EF">
        <w:rPr>
          <w:rFonts w:ascii="Garamond" w:hAnsi="Garamond"/>
          <w:b/>
          <w:bCs/>
          <w:i/>
          <w:iCs/>
          <w:color w:val="FFFFFF" w:themeColor="background1"/>
          <w:vertAlign w:val="superscript"/>
        </w:rPr>
        <w:t>5</w:t>
      </w:r>
      <w:r w:rsidR="009432EF" w:rsidRPr="009432EF">
        <w:rPr>
          <w:rFonts w:ascii="Garamond" w:hAnsi="Garamond"/>
          <w:b/>
          <w:bCs/>
          <w:i/>
          <w:iCs/>
          <w:color w:val="FFFFFF" w:themeColor="background1"/>
        </w:rPr>
        <w:t>Subh</w:t>
      </w:r>
      <w:r w:rsidR="00440E6B">
        <w:rPr>
          <w:rFonts w:ascii="Garamond" w:hAnsi="Garamond"/>
          <w:b/>
          <w:bCs/>
          <w:i/>
          <w:iCs/>
          <w:color w:val="FFFFFF" w:themeColor="background1"/>
        </w:rPr>
        <w:t>asri</w:t>
      </w:r>
      <w:r w:rsidR="009432EF" w:rsidRPr="009432EF">
        <w:rPr>
          <w:rFonts w:ascii="Garamond" w:hAnsi="Garamond"/>
          <w:b/>
          <w:bCs/>
          <w:i/>
          <w:iCs/>
          <w:color w:val="FFFFFF" w:themeColor="background1"/>
        </w:rPr>
        <w:t xml:space="preserve"> Mohapatra,</w:t>
      </w:r>
      <w:r w:rsidR="00A4336F">
        <w:rPr>
          <w:rFonts w:ascii="Garamond" w:hAnsi="Garamond"/>
          <w:b/>
          <w:bCs/>
          <w:i/>
          <w:iCs/>
          <w:color w:val="FFFFFF" w:themeColor="background1"/>
        </w:rPr>
        <w:t xml:space="preserve"> </w:t>
      </w:r>
      <w:bookmarkStart w:id="11" w:name="_Hlk200081937"/>
      <w:r w:rsidR="00A4336F" w:rsidRPr="00A4336F">
        <w:rPr>
          <w:rFonts w:ascii="Garamond" w:hAnsi="Garamond"/>
          <w:b/>
          <w:bCs/>
          <w:i/>
          <w:iCs/>
          <w:color w:val="FFFFFF" w:themeColor="background1"/>
          <w:vertAlign w:val="superscript"/>
        </w:rPr>
        <w:t>6</w:t>
      </w:r>
      <w:r w:rsidR="009432EF" w:rsidRPr="009432EF">
        <w:rPr>
          <w:rFonts w:ascii="Garamond" w:hAnsi="Garamond"/>
          <w:b/>
          <w:bCs/>
          <w:i/>
          <w:iCs/>
          <w:color w:val="FFFFFF" w:themeColor="background1"/>
        </w:rPr>
        <w:t>Harshal Tare</w:t>
      </w:r>
      <w:r w:rsidR="00440E6B">
        <w:rPr>
          <w:rFonts w:ascii="Garamond" w:hAnsi="Garamond"/>
          <w:b/>
          <w:bCs/>
          <w:i/>
          <w:iCs/>
          <w:color w:val="FFFFFF" w:themeColor="background1"/>
        </w:rPr>
        <w:t>, Nilesh Bhosale</w:t>
      </w:r>
      <w:r w:rsidR="00617BC7">
        <w:rPr>
          <w:rFonts w:ascii="Garamond" w:hAnsi="Garamond"/>
          <w:b/>
          <w:bCs/>
          <w:i/>
          <w:iCs/>
          <w:color w:val="FFFFFF" w:themeColor="background1"/>
          <w:sz w:val="22"/>
          <w:szCs w:val="22"/>
          <w:lang w:val="en-GB"/>
        </w:rPr>
        <w:t xml:space="preserve"> </w:t>
      </w:r>
      <w:bookmarkEnd w:id="11"/>
    </w:p>
    <w:bookmarkEnd w:id="9"/>
    <w:bookmarkEnd w:id="10"/>
    <w:p w14:paraId="6831A4A9" w14:textId="7E82E729" w:rsidR="00B72DF4" w:rsidRPr="00B72DF4" w:rsidRDefault="00376CF8" w:rsidP="00440E6B">
      <w:pPr>
        <w:pBdr>
          <w:bottom w:val="single" w:sz="6" w:space="1" w:color="auto"/>
        </w:pBdr>
        <w:jc w:val="both"/>
        <w:rPr>
          <w:rFonts w:ascii="Garamond" w:hAnsi="Garamond"/>
          <w:bCs/>
          <w:i/>
          <w:iCs/>
          <w:sz w:val="20"/>
          <w:szCs w:val="20"/>
        </w:rPr>
      </w:pPr>
      <w:r w:rsidRPr="00376CF8">
        <w:rPr>
          <w:rFonts w:ascii="Garamond" w:hAnsi="Garamond"/>
          <w:bCs/>
          <w:i/>
          <w:iCs/>
          <w:sz w:val="20"/>
          <w:szCs w:val="20"/>
          <w:vertAlign w:val="superscript"/>
          <w:lang w:val="en-GB"/>
        </w:rPr>
        <w:t>1</w:t>
      </w:r>
      <w:r w:rsidR="00B72DF4" w:rsidRPr="00B72DF4">
        <w:rPr>
          <w:rFonts w:ascii="Garamond" w:hAnsi="Garamond"/>
          <w:bCs/>
          <w:i/>
          <w:iCs/>
          <w:sz w:val="20"/>
          <w:szCs w:val="20"/>
        </w:rPr>
        <w:t xml:space="preserve">Shree P.E. (Tatya) Patil Institute of Pharmacy, Jalgaon, Affiliated to Dr. Babasaheb Ambedkar Technological University, </w:t>
      </w:r>
      <w:proofErr w:type="spellStart"/>
      <w:r w:rsidR="00B72DF4" w:rsidRPr="00B72DF4">
        <w:rPr>
          <w:rFonts w:ascii="Garamond" w:hAnsi="Garamond"/>
          <w:bCs/>
          <w:i/>
          <w:iCs/>
          <w:sz w:val="20"/>
          <w:szCs w:val="20"/>
        </w:rPr>
        <w:t>Lonere</w:t>
      </w:r>
      <w:proofErr w:type="spellEnd"/>
      <w:r w:rsidR="00B72DF4" w:rsidRPr="00B72DF4">
        <w:rPr>
          <w:rFonts w:ascii="Garamond" w:hAnsi="Garamond"/>
          <w:bCs/>
          <w:i/>
          <w:iCs/>
          <w:sz w:val="20"/>
          <w:szCs w:val="20"/>
        </w:rPr>
        <w:t>, Dist. Raigad, Maharashtra, India.</w:t>
      </w:r>
    </w:p>
    <w:p w14:paraId="77A97EAF" w14:textId="341583AB" w:rsidR="00B72DF4" w:rsidRPr="00B72DF4" w:rsidRDefault="00B72DF4" w:rsidP="00440E6B">
      <w:pPr>
        <w:pBdr>
          <w:bottom w:val="single" w:sz="6" w:space="1" w:color="auto"/>
        </w:pBdr>
        <w:jc w:val="both"/>
        <w:rPr>
          <w:rFonts w:ascii="Garamond" w:hAnsi="Garamond"/>
          <w:bCs/>
          <w:i/>
          <w:iCs/>
          <w:sz w:val="20"/>
          <w:szCs w:val="20"/>
        </w:rPr>
      </w:pPr>
      <w:r w:rsidRPr="00B72DF4">
        <w:rPr>
          <w:rFonts w:ascii="Garamond" w:hAnsi="Garamond"/>
          <w:bCs/>
          <w:i/>
          <w:iCs/>
          <w:sz w:val="20"/>
          <w:szCs w:val="20"/>
          <w:vertAlign w:val="superscript"/>
        </w:rPr>
        <w:t>2</w:t>
      </w:r>
      <w:r w:rsidRPr="00B72DF4">
        <w:rPr>
          <w:rFonts w:ascii="Garamond" w:hAnsi="Garamond"/>
          <w:bCs/>
          <w:i/>
          <w:iCs/>
          <w:sz w:val="20"/>
          <w:szCs w:val="20"/>
        </w:rPr>
        <w:t xml:space="preserve">A.R.A. College of Pharmacy, Nagaon, Dhule, Affiliated to </w:t>
      </w:r>
      <w:proofErr w:type="spellStart"/>
      <w:r w:rsidRPr="00B72DF4">
        <w:rPr>
          <w:rFonts w:ascii="Garamond" w:hAnsi="Garamond"/>
          <w:bCs/>
          <w:i/>
          <w:iCs/>
          <w:sz w:val="20"/>
          <w:szCs w:val="20"/>
        </w:rPr>
        <w:t>Kavayitri</w:t>
      </w:r>
      <w:proofErr w:type="spellEnd"/>
      <w:r w:rsidRPr="00B72DF4">
        <w:rPr>
          <w:rFonts w:ascii="Garamond" w:hAnsi="Garamond"/>
          <w:bCs/>
          <w:i/>
          <w:iCs/>
          <w:sz w:val="20"/>
          <w:szCs w:val="20"/>
        </w:rPr>
        <w:t xml:space="preserve"> </w:t>
      </w:r>
      <w:proofErr w:type="spellStart"/>
      <w:r w:rsidRPr="00B72DF4">
        <w:rPr>
          <w:rFonts w:ascii="Garamond" w:hAnsi="Garamond"/>
          <w:bCs/>
          <w:i/>
          <w:iCs/>
          <w:sz w:val="20"/>
          <w:szCs w:val="20"/>
        </w:rPr>
        <w:t>Bahinabai</w:t>
      </w:r>
      <w:proofErr w:type="spellEnd"/>
      <w:r w:rsidRPr="00B72DF4">
        <w:rPr>
          <w:rFonts w:ascii="Garamond" w:hAnsi="Garamond"/>
          <w:bCs/>
          <w:i/>
          <w:iCs/>
          <w:sz w:val="20"/>
          <w:szCs w:val="20"/>
        </w:rPr>
        <w:t xml:space="preserve"> Chaudhari North Maharashtra University, Jalgaon, Maharashtra, India. </w:t>
      </w:r>
    </w:p>
    <w:p w14:paraId="62C0C9A0" w14:textId="065C18AF" w:rsidR="00B72DF4" w:rsidRPr="00B72DF4" w:rsidRDefault="00B72DF4" w:rsidP="00440E6B">
      <w:pPr>
        <w:pBdr>
          <w:bottom w:val="single" w:sz="6" w:space="1" w:color="auto"/>
        </w:pBdr>
        <w:jc w:val="both"/>
        <w:rPr>
          <w:rFonts w:ascii="Garamond" w:hAnsi="Garamond"/>
          <w:bCs/>
          <w:i/>
          <w:iCs/>
          <w:sz w:val="20"/>
          <w:szCs w:val="20"/>
        </w:rPr>
      </w:pPr>
      <w:r w:rsidRPr="00B72DF4">
        <w:rPr>
          <w:rFonts w:ascii="Garamond" w:hAnsi="Garamond"/>
          <w:bCs/>
          <w:i/>
          <w:iCs/>
          <w:sz w:val="20"/>
          <w:szCs w:val="20"/>
          <w:vertAlign w:val="superscript"/>
        </w:rPr>
        <w:t>3</w:t>
      </w:r>
      <w:r w:rsidRPr="00B72DF4">
        <w:rPr>
          <w:rFonts w:ascii="Garamond" w:hAnsi="Garamond"/>
          <w:bCs/>
          <w:i/>
          <w:iCs/>
          <w:sz w:val="20"/>
          <w:szCs w:val="20"/>
        </w:rPr>
        <w:t xml:space="preserve">Jaihind College of Pharmacy, </w:t>
      </w:r>
      <w:proofErr w:type="spellStart"/>
      <w:r w:rsidRPr="00B72DF4">
        <w:rPr>
          <w:rFonts w:ascii="Garamond" w:hAnsi="Garamond"/>
          <w:bCs/>
          <w:i/>
          <w:iCs/>
          <w:sz w:val="20"/>
          <w:szCs w:val="20"/>
        </w:rPr>
        <w:t>Vadgaon</w:t>
      </w:r>
      <w:proofErr w:type="spellEnd"/>
      <w:r w:rsidRPr="00B72DF4">
        <w:rPr>
          <w:rFonts w:ascii="Garamond" w:hAnsi="Garamond"/>
          <w:bCs/>
          <w:i/>
          <w:iCs/>
          <w:sz w:val="20"/>
          <w:szCs w:val="20"/>
        </w:rPr>
        <w:t xml:space="preserve"> Sahani, Affiliated to Dr. Babasaheb Ambedkar Technological University, </w:t>
      </w:r>
      <w:proofErr w:type="spellStart"/>
      <w:r w:rsidRPr="00B72DF4">
        <w:rPr>
          <w:rFonts w:ascii="Garamond" w:hAnsi="Garamond"/>
          <w:bCs/>
          <w:i/>
          <w:iCs/>
          <w:sz w:val="20"/>
          <w:szCs w:val="20"/>
        </w:rPr>
        <w:t>Lonere</w:t>
      </w:r>
      <w:proofErr w:type="spellEnd"/>
      <w:r w:rsidRPr="00B72DF4">
        <w:rPr>
          <w:rFonts w:ascii="Garamond" w:hAnsi="Garamond"/>
          <w:bCs/>
          <w:i/>
          <w:iCs/>
          <w:sz w:val="20"/>
          <w:szCs w:val="20"/>
        </w:rPr>
        <w:t>, Dist. Raigad, Maharashtra, India.</w:t>
      </w:r>
    </w:p>
    <w:p w14:paraId="457BD852" w14:textId="79A07394" w:rsidR="00B72DF4" w:rsidRPr="00B72DF4" w:rsidRDefault="00B72DF4" w:rsidP="00440E6B">
      <w:pPr>
        <w:pBdr>
          <w:bottom w:val="single" w:sz="6" w:space="1" w:color="auto"/>
        </w:pBdr>
        <w:jc w:val="both"/>
        <w:rPr>
          <w:rFonts w:ascii="Garamond" w:hAnsi="Garamond"/>
          <w:bCs/>
          <w:i/>
          <w:iCs/>
          <w:sz w:val="20"/>
          <w:szCs w:val="20"/>
        </w:rPr>
      </w:pPr>
      <w:r w:rsidRPr="00B72DF4">
        <w:rPr>
          <w:rFonts w:ascii="Garamond" w:hAnsi="Garamond"/>
          <w:i/>
          <w:iCs/>
          <w:sz w:val="20"/>
          <w:szCs w:val="20"/>
          <w:vertAlign w:val="superscript"/>
        </w:rPr>
        <w:t>4</w:t>
      </w:r>
      <w:r w:rsidRPr="00B72DF4">
        <w:rPr>
          <w:rFonts w:ascii="Garamond" w:hAnsi="Garamond"/>
          <w:i/>
          <w:iCs/>
          <w:sz w:val="20"/>
          <w:szCs w:val="20"/>
        </w:rPr>
        <w:t xml:space="preserve">SGSPS Institute of Pharmacy, Akola, Affiliated to Sant Gadge Baba Amravati University, Amravati, Maharashtra, India. </w:t>
      </w:r>
    </w:p>
    <w:p w14:paraId="55ED8179" w14:textId="5B335D22" w:rsidR="00B72DF4" w:rsidRPr="00B72DF4" w:rsidRDefault="00B72DF4" w:rsidP="00440E6B">
      <w:pPr>
        <w:pBdr>
          <w:bottom w:val="single" w:sz="6" w:space="1" w:color="auto"/>
        </w:pBdr>
        <w:jc w:val="both"/>
        <w:rPr>
          <w:rFonts w:ascii="Garamond" w:hAnsi="Garamond"/>
          <w:i/>
          <w:iCs/>
          <w:sz w:val="20"/>
          <w:szCs w:val="20"/>
        </w:rPr>
      </w:pPr>
      <w:r w:rsidRPr="00B72DF4">
        <w:rPr>
          <w:rFonts w:ascii="Garamond" w:hAnsi="Garamond"/>
          <w:i/>
          <w:iCs/>
          <w:sz w:val="20"/>
          <w:szCs w:val="20"/>
          <w:vertAlign w:val="superscript"/>
        </w:rPr>
        <w:t>5</w:t>
      </w:r>
      <w:r w:rsidRPr="00B72DF4">
        <w:rPr>
          <w:rFonts w:ascii="Garamond" w:hAnsi="Garamond"/>
          <w:i/>
          <w:iCs/>
          <w:sz w:val="20"/>
          <w:szCs w:val="20"/>
        </w:rPr>
        <w:t xml:space="preserve">Royal College of Pharmacy, Raipur, Affiliated to Chhattisgarh Swami Vivekanand Technical University, Chhattisgarh, India. </w:t>
      </w:r>
    </w:p>
    <w:p w14:paraId="72D81D64" w14:textId="703EA265" w:rsidR="00B72DF4" w:rsidRDefault="00B72DF4" w:rsidP="00440E6B">
      <w:pPr>
        <w:pBdr>
          <w:bottom w:val="single" w:sz="6" w:space="1" w:color="auto"/>
        </w:pBdr>
        <w:jc w:val="both"/>
        <w:rPr>
          <w:rFonts w:ascii="Garamond" w:hAnsi="Garamond"/>
          <w:i/>
          <w:iCs/>
          <w:sz w:val="20"/>
          <w:szCs w:val="20"/>
        </w:rPr>
      </w:pPr>
      <w:bookmarkStart w:id="12" w:name="_Hlk200081964"/>
      <w:r w:rsidRPr="00B72DF4">
        <w:rPr>
          <w:rFonts w:ascii="Garamond" w:hAnsi="Garamond"/>
          <w:bCs/>
          <w:i/>
          <w:iCs/>
          <w:sz w:val="20"/>
          <w:szCs w:val="20"/>
          <w:vertAlign w:val="superscript"/>
        </w:rPr>
        <w:t>6</w:t>
      </w:r>
      <w:r w:rsidRPr="00B72DF4">
        <w:rPr>
          <w:rFonts w:ascii="Garamond" w:hAnsi="Garamond"/>
          <w:bCs/>
          <w:i/>
          <w:iCs/>
          <w:sz w:val="20"/>
          <w:szCs w:val="20"/>
        </w:rPr>
        <w:t xml:space="preserve">Sharadchandra Pawar College of Pharmacy, Otur, </w:t>
      </w:r>
      <w:r w:rsidRPr="00B72DF4">
        <w:rPr>
          <w:rFonts w:ascii="Garamond" w:hAnsi="Garamond"/>
          <w:i/>
          <w:iCs/>
          <w:sz w:val="20"/>
          <w:szCs w:val="20"/>
        </w:rPr>
        <w:t>Affiliated to Savitribai Phule Pune University, Pune, Maharashtra, India</w:t>
      </w:r>
    </w:p>
    <w:p w14:paraId="3823C3A5" w14:textId="0CCDFA23" w:rsidR="00440E6B" w:rsidRDefault="00440E6B" w:rsidP="00440E6B">
      <w:pPr>
        <w:pBdr>
          <w:bottom w:val="single" w:sz="6" w:space="1" w:color="auto"/>
        </w:pBdr>
        <w:jc w:val="both"/>
        <w:rPr>
          <w:rFonts w:ascii="Garamond" w:hAnsi="Garamond"/>
          <w:i/>
          <w:iCs/>
          <w:sz w:val="20"/>
          <w:szCs w:val="20"/>
          <w:lang w:val="en-GB"/>
        </w:rPr>
      </w:pPr>
      <w:r w:rsidRPr="00440E6B">
        <w:rPr>
          <w:rFonts w:ascii="Garamond" w:hAnsi="Garamond" w:cs="Tahoma"/>
          <w:i/>
          <w:iCs/>
          <w:color w:val="000000"/>
          <w:sz w:val="20"/>
          <w:szCs w:val="20"/>
          <w:vertAlign w:val="superscript"/>
          <w:lang w:bidi="mr-IN"/>
        </w:rPr>
        <w:t>7</w:t>
      </w:r>
      <w:r w:rsidRPr="004D35EA">
        <w:rPr>
          <w:rFonts w:ascii="Garamond" w:hAnsi="Garamond" w:cs="Tahoma"/>
          <w:i/>
          <w:iCs/>
          <w:color w:val="000000"/>
          <w:sz w:val="20"/>
          <w:szCs w:val="20"/>
          <w:lang w:bidi="mr-IN"/>
        </w:rPr>
        <w:t xml:space="preserve">PDEA's SGRS College of Pharmacy, </w:t>
      </w:r>
      <w:proofErr w:type="spellStart"/>
      <w:r w:rsidRPr="004D35EA">
        <w:rPr>
          <w:rFonts w:ascii="Garamond" w:hAnsi="Garamond" w:cs="Tahoma"/>
          <w:i/>
          <w:iCs/>
          <w:color w:val="000000"/>
          <w:sz w:val="20"/>
          <w:szCs w:val="20"/>
          <w:lang w:bidi="mr-IN"/>
        </w:rPr>
        <w:t>Saswad</w:t>
      </w:r>
      <w:proofErr w:type="spellEnd"/>
      <w:r w:rsidRPr="004D35EA">
        <w:rPr>
          <w:rFonts w:ascii="Garamond" w:hAnsi="Garamond" w:cs="Tahoma"/>
          <w:i/>
          <w:iCs/>
          <w:color w:val="000000"/>
          <w:sz w:val="20"/>
          <w:szCs w:val="20"/>
          <w:lang w:bidi="mr-IN"/>
        </w:rPr>
        <w:t>, Affiliated to Savitribai Phule Pune University, Pune, Maharashtra, India.</w:t>
      </w:r>
    </w:p>
    <w:bookmarkEnd w:id="12"/>
    <w:p w14:paraId="3454FC6E" w14:textId="77777777" w:rsidR="00B72DF4" w:rsidRDefault="00B72DF4" w:rsidP="00D43D85">
      <w:pPr>
        <w:pBdr>
          <w:bottom w:val="single" w:sz="6" w:space="1" w:color="auto"/>
        </w:pBdr>
        <w:jc w:val="both"/>
        <w:rPr>
          <w:rFonts w:ascii="Garamond" w:hAnsi="Garamond"/>
          <w:i/>
          <w:iCs/>
          <w:sz w:val="20"/>
          <w:szCs w:val="20"/>
          <w:lang w:val="en-GB"/>
        </w:rPr>
      </w:pPr>
    </w:p>
    <w:p w14:paraId="653AC25B" w14:textId="190A1FCE" w:rsidR="00B72DF4" w:rsidRPr="00B72DF4" w:rsidRDefault="001D4D3C" w:rsidP="00B72DF4">
      <w:pPr>
        <w:pBdr>
          <w:bottom w:val="single" w:sz="6" w:space="1" w:color="auto"/>
        </w:pBdr>
        <w:jc w:val="both"/>
        <w:rPr>
          <w:rFonts w:ascii="Garamond" w:hAnsi="Garamond"/>
          <w:i/>
          <w:iCs/>
          <w:sz w:val="20"/>
          <w:szCs w:val="20"/>
          <w:lang w:val="en-GB"/>
        </w:rPr>
      </w:pPr>
      <w:r w:rsidRPr="000931E7">
        <w:rPr>
          <w:rFonts w:ascii="Garamond" w:hAnsi="Garamond"/>
          <w:b/>
          <w:sz w:val="20"/>
          <w:szCs w:val="20"/>
        </w:rPr>
        <w:t>Corresponding author</w:t>
      </w:r>
      <w:r w:rsidR="009E0ABE" w:rsidRPr="000931E7">
        <w:rPr>
          <w:rFonts w:ascii="Garamond" w:hAnsi="Garamond"/>
          <w:b/>
          <w:sz w:val="20"/>
          <w:szCs w:val="20"/>
        </w:rPr>
        <w:t>:</w:t>
      </w:r>
      <w:r w:rsidR="00D66B3D" w:rsidRPr="000931E7">
        <w:rPr>
          <w:rFonts w:ascii="Garamond" w:hAnsi="Garamond"/>
          <w:b/>
          <w:sz w:val="20"/>
          <w:szCs w:val="20"/>
        </w:rPr>
        <w:t xml:space="preserve"> </w:t>
      </w:r>
      <w:r w:rsidR="00B72DF4" w:rsidRPr="00B72DF4">
        <w:rPr>
          <w:rFonts w:ascii="Garamond" w:hAnsi="Garamond" w:cs="Segoe UI"/>
          <w:b/>
          <w:bCs/>
          <w:i/>
          <w:iCs/>
          <w:sz w:val="20"/>
          <w:szCs w:val="20"/>
          <w:shd w:val="clear" w:color="auto" w:fill="FFFFFF"/>
        </w:rPr>
        <w:t>Harshal Tare</w:t>
      </w:r>
      <w:r w:rsidR="00CC5867" w:rsidRPr="00CC5867">
        <w:rPr>
          <w:rFonts w:ascii="Garamond" w:hAnsi="Garamond" w:cs="Segoe UI"/>
          <w:b/>
          <w:bCs/>
          <w:sz w:val="20"/>
          <w:szCs w:val="20"/>
          <w:shd w:val="clear" w:color="auto" w:fill="FFFFFF"/>
          <w:lang w:val="en-GB"/>
        </w:rPr>
        <w:t>,</w:t>
      </w:r>
      <w:r w:rsidR="00CC5867">
        <w:rPr>
          <w:rFonts w:ascii="Garamond" w:hAnsi="Garamond" w:cs="Segoe UI"/>
          <w:b/>
          <w:bCs/>
          <w:sz w:val="20"/>
          <w:szCs w:val="20"/>
          <w:shd w:val="clear" w:color="auto" w:fill="FFFFFF"/>
          <w:lang w:val="en-GB"/>
        </w:rPr>
        <w:t xml:space="preserve"> </w:t>
      </w:r>
      <w:r w:rsidR="00B72DF4" w:rsidRPr="00B72DF4">
        <w:rPr>
          <w:rFonts w:ascii="Garamond" w:hAnsi="Garamond"/>
          <w:bCs/>
          <w:i/>
          <w:iCs/>
          <w:sz w:val="20"/>
          <w:szCs w:val="20"/>
        </w:rPr>
        <w:t xml:space="preserve">Sharadchandra Pawar College of Pharmacy, Otur, </w:t>
      </w:r>
      <w:r w:rsidR="00B72DF4" w:rsidRPr="00B72DF4">
        <w:rPr>
          <w:rFonts w:ascii="Garamond" w:hAnsi="Garamond"/>
          <w:i/>
          <w:iCs/>
          <w:sz w:val="20"/>
          <w:szCs w:val="20"/>
        </w:rPr>
        <w:t>Affiliated to Savitribai Phule Pune University, Pune, Maharashtra, India</w:t>
      </w:r>
      <w:r w:rsidR="00B72DF4">
        <w:rPr>
          <w:rFonts w:ascii="Garamond" w:hAnsi="Garamond"/>
          <w:i/>
          <w:iCs/>
          <w:sz w:val="20"/>
          <w:szCs w:val="20"/>
          <w:lang w:val="en-GB"/>
        </w:rPr>
        <w:t xml:space="preserve">. </w:t>
      </w:r>
      <w:hyperlink r:id="rId8" w:history="1">
        <w:r w:rsidR="00117B5F" w:rsidRPr="00A703B8">
          <w:rPr>
            <w:rStyle w:val="Hyperlink"/>
            <w:rFonts w:ascii="Garamond" w:hAnsi="Garamond"/>
            <w:i/>
            <w:iCs/>
            <w:sz w:val="20"/>
            <w:szCs w:val="20"/>
          </w:rPr>
          <w:t>harshaltare51@gmail.com</w:t>
        </w:r>
      </w:hyperlink>
      <w:r w:rsidR="00117B5F">
        <w:rPr>
          <w:rFonts w:ascii="Garamond" w:hAnsi="Garamond"/>
          <w:i/>
          <w:iCs/>
          <w:sz w:val="20"/>
          <w:szCs w:val="20"/>
        </w:rPr>
        <w:t xml:space="preserve">, </w:t>
      </w:r>
      <w:r w:rsidR="00B72DF4" w:rsidRPr="00B72DF4">
        <w:rPr>
          <w:rFonts w:ascii="Garamond" w:hAnsi="Garamond"/>
          <w:i/>
          <w:iCs/>
          <w:sz w:val="20"/>
          <w:szCs w:val="20"/>
        </w:rPr>
        <w:t>(+91)9096313026</w:t>
      </w:r>
    </w:p>
    <w:p w14:paraId="7D8BA87B" w14:textId="77777777" w:rsidR="00D66B3D" w:rsidRPr="000931E7" w:rsidRDefault="00D66B3D" w:rsidP="006732D7">
      <w:pPr>
        <w:pBdr>
          <w:bottom w:val="single" w:sz="6" w:space="1" w:color="auto"/>
        </w:pBdr>
        <w:tabs>
          <w:tab w:val="left" w:pos="6867"/>
        </w:tabs>
        <w:jc w:val="both"/>
        <w:rPr>
          <w:rFonts w:ascii="Garamond" w:hAnsi="Garamond"/>
          <w:sz w:val="16"/>
          <w:szCs w:val="16"/>
        </w:rPr>
      </w:pPr>
    </w:p>
    <w:p w14:paraId="15BB8056" w14:textId="794CA532" w:rsidR="006732D7" w:rsidRPr="00CC5867" w:rsidRDefault="006732D7" w:rsidP="006732D7">
      <w:pPr>
        <w:pBdr>
          <w:bottom w:val="single" w:sz="6" w:space="1" w:color="auto"/>
        </w:pBdr>
        <w:tabs>
          <w:tab w:val="left" w:pos="6867"/>
        </w:tabs>
        <w:jc w:val="both"/>
        <w:rPr>
          <w:rFonts w:ascii="Garamond" w:hAnsi="Garamond"/>
          <w:sz w:val="16"/>
          <w:szCs w:val="16"/>
        </w:rPr>
      </w:pPr>
      <w:r w:rsidRPr="00CC5867">
        <w:rPr>
          <w:rFonts w:ascii="Garamond" w:hAnsi="Garamond"/>
          <w:sz w:val="16"/>
          <w:szCs w:val="16"/>
        </w:rPr>
        <w:t>Arti</w:t>
      </w:r>
      <w:r w:rsidR="0023667C" w:rsidRPr="00CC5867">
        <w:rPr>
          <w:rFonts w:ascii="Garamond" w:hAnsi="Garamond"/>
          <w:sz w:val="16"/>
          <w:szCs w:val="16"/>
        </w:rPr>
        <w:t>cl</w:t>
      </w:r>
      <w:r w:rsidR="00943E61" w:rsidRPr="00CC5867">
        <w:rPr>
          <w:rFonts w:ascii="Garamond" w:hAnsi="Garamond"/>
          <w:sz w:val="16"/>
          <w:szCs w:val="16"/>
        </w:rPr>
        <w:t xml:space="preserve">e history: </w:t>
      </w:r>
      <w:r w:rsidR="00943E61" w:rsidRPr="002722E0">
        <w:rPr>
          <w:rFonts w:ascii="Garamond" w:hAnsi="Garamond"/>
          <w:sz w:val="16"/>
          <w:szCs w:val="16"/>
        </w:rPr>
        <w:t xml:space="preserve">Received </w:t>
      </w:r>
      <w:r w:rsidR="003656A7" w:rsidRPr="002722E0">
        <w:rPr>
          <w:rFonts w:ascii="Garamond" w:hAnsi="Garamond"/>
          <w:sz w:val="16"/>
          <w:szCs w:val="16"/>
        </w:rPr>
        <w:t>1</w:t>
      </w:r>
      <w:r w:rsidR="000147FB" w:rsidRPr="002722E0">
        <w:rPr>
          <w:rFonts w:ascii="Garamond" w:hAnsi="Garamond"/>
          <w:sz w:val="16"/>
          <w:szCs w:val="16"/>
        </w:rPr>
        <w:t>5</w:t>
      </w:r>
      <w:r w:rsidR="00943E61" w:rsidRPr="002722E0">
        <w:rPr>
          <w:rFonts w:ascii="Garamond" w:hAnsi="Garamond"/>
          <w:sz w:val="16"/>
          <w:szCs w:val="16"/>
        </w:rPr>
        <w:t xml:space="preserve"> </w:t>
      </w:r>
      <w:r w:rsidR="000147FB" w:rsidRPr="002722E0">
        <w:rPr>
          <w:rFonts w:ascii="Garamond" w:hAnsi="Garamond"/>
          <w:sz w:val="16"/>
          <w:szCs w:val="16"/>
        </w:rPr>
        <w:t>January</w:t>
      </w:r>
      <w:r w:rsidR="00943E61" w:rsidRPr="002722E0">
        <w:rPr>
          <w:rFonts w:ascii="Garamond" w:hAnsi="Garamond"/>
          <w:sz w:val="16"/>
          <w:szCs w:val="16"/>
        </w:rPr>
        <w:t xml:space="preserve"> 202</w:t>
      </w:r>
      <w:r w:rsidR="000147FB" w:rsidRPr="002722E0">
        <w:rPr>
          <w:rFonts w:ascii="Garamond" w:hAnsi="Garamond"/>
          <w:sz w:val="16"/>
          <w:szCs w:val="16"/>
        </w:rPr>
        <w:t>5</w:t>
      </w:r>
      <w:r w:rsidR="00943E61" w:rsidRPr="002722E0">
        <w:rPr>
          <w:rFonts w:ascii="Garamond" w:hAnsi="Garamond"/>
          <w:sz w:val="16"/>
          <w:szCs w:val="16"/>
        </w:rPr>
        <w:t xml:space="preserve">, </w:t>
      </w:r>
      <w:proofErr w:type="gramStart"/>
      <w:r w:rsidR="00943E61" w:rsidRPr="002722E0">
        <w:rPr>
          <w:rFonts w:ascii="Garamond" w:hAnsi="Garamond"/>
          <w:sz w:val="16"/>
          <w:szCs w:val="16"/>
        </w:rPr>
        <w:t>Reviewed</w:t>
      </w:r>
      <w:proofErr w:type="gramEnd"/>
      <w:r w:rsidR="00943E61" w:rsidRPr="002722E0">
        <w:rPr>
          <w:rFonts w:ascii="Garamond" w:hAnsi="Garamond"/>
          <w:sz w:val="16"/>
          <w:szCs w:val="16"/>
        </w:rPr>
        <w:t xml:space="preserve"> </w:t>
      </w:r>
      <w:r w:rsidR="003656A7" w:rsidRPr="002722E0">
        <w:rPr>
          <w:rFonts w:ascii="Garamond" w:hAnsi="Garamond"/>
          <w:sz w:val="16"/>
          <w:szCs w:val="16"/>
        </w:rPr>
        <w:t>27</w:t>
      </w:r>
      <w:r w:rsidR="00943E61" w:rsidRPr="002722E0">
        <w:rPr>
          <w:rFonts w:ascii="Garamond" w:hAnsi="Garamond"/>
          <w:sz w:val="16"/>
          <w:szCs w:val="16"/>
        </w:rPr>
        <w:t xml:space="preserve"> </w:t>
      </w:r>
      <w:r w:rsidR="002722E0" w:rsidRPr="002722E0">
        <w:rPr>
          <w:rFonts w:ascii="Garamond" w:hAnsi="Garamond"/>
          <w:sz w:val="16"/>
          <w:szCs w:val="16"/>
        </w:rPr>
        <w:t>March</w:t>
      </w:r>
      <w:r w:rsidR="00943E61" w:rsidRPr="002722E0">
        <w:rPr>
          <w:rFonts w:ascii="Garamond" w:hAnsi="Garamond"/>
          <w:sz w:val="16"/>
          <w:szCs w:val="16"/>
        </w:rPr>
        <w:t xml:space="preserve"> 202</w:t>
      </w:r>
      <w:r w:rsidR="002722E0" w:rsidRPr="002722E0">
        <w:rPr>
          <w:rFonts w:ascii="Garamond" w:hAnsi="Garamond"/>
          <w:sz w:val="16"/>
          <w:szCs w:val="16"/>
        </w:rPr>
        <w:t>5</w:t>
      </w:r>
      <w:r w:rsidRPr="002722E0">
        <w:rPr>
          <w:rFonts w:ascii="Garamond" w:hAnsi="Garamond"/>
          <w:sz w:val="16"/>
          <w:szCs w:val="16"/>
        </w:rPr>
        <w:t>, Accepted for pub</w:t>
      </w:r>
      <w:r w:rsidR="00943E61" w:rsidRPr="002722E0">
        <w:rPr>
          <w:rFonts w:ascii="Garamond" w:hAnsi="Garamond"/>
          <w:sz w:val="16"/>
          <w:szCs w:val="16"/>
        </w:rPr>
        <w:t xml:space="preserve">lication </w:t>
      </w:r>
      <w:r w:rsidR="00491DAB" w:rsidRPr="002722E0">
        <w:rPr>
          <w:rFonts w:ascii="Garamond" w:hAnsi="Garamond"/>
          <w:sz w:val="16"/>
          <w:szCs w:val="16"/>
        </w:rPr>
        <w:t>0</w:t>
      </w:r>
      <w:r w:rsidR="002722E0" w:rsidRPr="002722E0">
        <w:rPr>
          <w:rFonts w:ascii="Garamond" w:hAnsi="Garamond"/>
          <w:sz w:val="16"/>
          <w:szCs w:val="16"/>
        </w:rPr>
        <w:t>1</w:t>
      </w:r>
      <w:r w:rsidR="0023667C" w:rsidRPr="002722E0">
        <w:rPr>
          <w:rFonts w:ascii="Garamond" w:hAnsi="Garamond"/>
          <w:sz w:val="16"/>
          <w:szCs w:val="16"/>
        </w:rPr>
        <w:t xml:space="preserve"> </w:t>
      </w:r>
      <w:r w:rsidR="00491DAB" w:rsidRPr="002722E0">
        <w:rPr>
          <w:rFonts w:ascii="Garamond" w:hAnsi="Garamond"/>
          <w:sz w:val="16"/>
          <w:szCs w:val="16"/>
        </w:rPr>
        <w:t>June</w:t>
      </w:r>
      <w:r w:rsidRPr="002722E0">
        <w:rPr>
          <w:rFonts w:ascii="Garamond" w:hAnsi="Garamond"/>
          <w:sz w:val="16"/>
          <w:szCs w:val="16"/>
        </w:rPr>
        <w:t xml:space="preserve"> 202</w:t>
      </w:r>
      <w:r w:rsidR="00491DAB" w:rsidRPr="002722E0">
        <w:rPr>
          <w:rFonts w:ascii="Garamond" w:hAnsi="Garamond"/>
          <w:sz w:val="16"/>
          <w:szCs w:val="16"/>
        </w:rPr>
        <w:t>5</w:t>
      </w:r>
    </w:p>
    <w:p w14:paraId="553715AB" w14:textId="77777777" w:rsidR="006732D7" w:rsidRPr="000931E7" w:rsidRDefault="006732D7" w:rsidP="006732D7">
      <w:pPr>
        <w:jc w:val="both"/>
        <w:rPr>
          <w:rFonts w:ascii="Garamond" w:hAnsi="Garamond"/>
          <w:sz w:val="22"/>
          <w:szCs w:val="22"/>
        </w:rPr>
      </w:pPr>
      <w:r w:rsidRPr="000931E7">
        <w:rPr>
          <w:rFonts w:ascii="Garamond" w:hAnsi="Garamond"/>
          <w:noProof/>
          <w:sz w:val="22"/>
          <w:szCs w:val="22"/>
        </w:rPr>
        <mc:AlternateContent>
          <mc:Choice Requires="wps">
            <w:drawing>
              <wp:anchor distT="0" distB="0" distL="114300" distR="114300" simplePos="0" relativeHeight="251662336" behindDoc="1" locked="0" layoutInCell="1" allowOverlap="1" wp14:anchorId="6F7D4112" wp14:editId="017B8D9A">
                <wp:simplePos x="0" y="0"/>
                <wp:positionH relativeFrom="margin">
                  <wp:align>right</wp:align>
                </wp:positionH>
                <wp:positionV relativeFrom="paragraph">
                  <wp:posOffset>126670</wp:posOffset>
                </wp:positionV>
                <wp:extent cx="5953125" cy="180975"/>
                <wp:effectExtent l="0" t="0" r="28575" b="28575"/>
                <wp:wrapNone/>
                <wp:docPr id="263" name="Round Diagonal Corner Rectangle 263"/>
                <wp:cNvGraphicFramePr/>
                <a:graphic xmlns:a="http://schemas.openxmlformats.org/drawingml/2006/main">
                  <a:graphicData uri="http://schemas.microsoft.com/office/word/2010/wordprocessingShape">
                    <wps:wsp>
                      <wps:cNvSpPr/>
                      <wps:spPr>
                        <a:xfrm>
                          <a:off x="0" y="0"/>
                          <a:ext cx="5953125" cy="180975"/>
                        </a:xfrm>
                        <a:prstGeom prst="round2DiagRect">
                          <a:avLst/>
                        </a:prstGeom>
                        <a:gradFill flip="none" rotWithShape="1">
                          <a:gsLst>
                            <a:gs pos="90276">
                              <a:srgbClr val="B3C8A6"/>
                            </a:gs>
                            <a:gs pos="42000">
                              <a:srgbClr val="A7CD8E"/>
                            </a:gs>
                            <a:gs pos="100000">
                              <a:sysClr val="window" lastClr="FFFFFF"/>
                            </a:gs>
                            <a:gs pos="0">
                              <a:srgbClr val="1A601C"/>
                            </a:gs>
                            <a:gs pos="78000">
                              <a:srgbClr val="70AD47">
                                <a:lumMod val="75000"/>
                              </a:srgbClr>
                            </a:gs>
                            <a:gs pos="10000">
                              <a:srgbClr val="5B9BD5">
                                <a:lumMod val="5000"/>
                                <a:lumOff val="95000"/>
                              </a:srgbClr>
                            </a:gs>
                            <a:gs pos="62000">
                              <a:srgbClr val="70AD47"/>
                            </a:gs>
                            <a:gs pos="28000">
                              <a:sysClr val="window" lastClr="FFFFFF"/>
                            </a:gs>
                            <a:gs pos="17000">
                              <a:sysClr val="window" lastClr="FFFFFF"/>
                            </a:gs>
                          </a:gsLst>
                          <a:path path="circle">
                            <a:fillToRect l="100000" t="100000"/>
                          </a:path>
                          <a:tileRect r="-100000" b="-100000"/>
                        </a:gra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C681E" id="Round Diagonal Corner Rectangle 263" o:spid="_x0000_s1026" style="position:absolute;margin-left:417.55pt;margin-top:9.95pt;width:468.75pt;height:14.25pt;z-index:-251654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coordsize="5953125,1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" path="m30163,l5953125,r,l5953125,150812v,16659,-13504,30163,-30163,30163l,180975r,l,30163c,13504,13504,,30163,xe" fillcolor="#1a601c" strokecolor="#41719c" strokeweight="1pt">
                <v:fill color2="window" rotate="t" focusposition="1,1" focussize="" colors="0 #1a601c;6554f #f7fafd;11141f window;18350f window;27525f #a7cd8e;40632f #70ad47;51118f #548235;59163f #b3c8a6;1 window" focus="100%" type="gradientRadial"/>
                <v:stroke joinstyle="miter"/>
                <v:path arrowok="t" o:connecttype="custom" o:connectlocs="30163,0;5953125,0;5953125,0;5953125,150812;5922962,180975;0,180975;0,180975;0,30163;30163,0" o:connectangles="0,0,0,0,0,0,0,0,0"/>
                <w10:wrap anchorx="margin"/>
              </v:shape>
            </w:pict>
          </mc:Fallback>
        </mc:AlternateContent>
      </w:r>
    </w:p>
    <w:p w14:paraId="3D472454" w14:textId="76BF389B" w:rsidR="006732D7" w:rsidRPr="000931E7" w:rsidRDefault="00117B5F" w:rsidP="006732D7">
      <w:pPr>
        <w:jc w:val="both"/>
        <w:rPr>
          <w:rFonts w:ascii="Garamond" w:hAnsi="Garamond"/>
          <w:sz w:val="22"/>
          <w:szCs w:val="22"/>
        </w:rPr>
      </w:pPr>
      <w:r w:rsidRPr="000931E7">
        <w:rPr>
          <w:rFonts w:ascii="Garamond" w:hAnsi="Garamond"/>
          <w:b/>
          <w:sz w:val="22"/>
          <w:szCs w:val="20"/>
        </w:rPr>
        <w:t>ABSTRACT</w:t>
      </w:r>
    </w:p>
    <w:p w14:paraId="0A3CEB37" w14:textId="2C94BB61" w:rsidR="00AD7D44" w:rsidRPr="00AD7D44" w:rsidRDefault="0017507F" w:rsidP="00AD7D44">
      <w:pPr>
        <w:jc w:val="both"/>
        <w:rPr>
          <w:rFonts w:ascii="Garamond" w:eastAsiaTheme="minorHAnsi" w:hAnsi="Garamond" w:cstheme="minorHAnsi"/>
          <w:bCs/>
          <w:sz w:val="20"/>
          <w:szCs w:val="20"/>
        </w:rPr>
      </w:pPr>
      <w:r w:rsidRPr="000931E7">
        <w:rPr>
          <w:rFonts w:ascii="Garamond" w:eastAsiaTheme="minorHAnsi" w:hAnsi="Garamond" w:cstheme="minorHAnsi"/>
          <w:b/>
          <w:sz w:val="20"/>
          <w:szCs w:val="20"/>
          <w:lang w:val="en-NG"/>
        </w:rPr>
        <w:t>Background</w:t>
      </w:r>
      <w:r w:rsidR="00C56DA5" w:rsidRPr="00C56DA5">
        <w:rPr>
          <w:rFonts w:ascii="Garamond" w:eastAsiaTheme="minorHAnsi" w:hAnsi="Garamond" w:cstheme="minorHAnsi"/>
          <w:b/>
          <w:bCs/>
          <w:sz w:val="20"/>
          <w:szCs w:val="20"/>
          <w:lang w:val="en-GB"/>
        </w:rPr>
        <w:t>:</w:t>
      </w:r>
      <w:r w:rsidR="00C56DA5" w:rsidRPr="00C56DA5">
        <w:rPr>
          <w:rFonts w:ascii="Garamond" w:eastAsiaTheme="minorHAnsi" w:hAnsi="Garamond" w:cstheme="minorHAnsi"/>
          <w:bCs/>
          <w:sz w:val="20"/>
          <w:szCs w:val="20"/>
          <w:lang w:val="en-GB"/>
        </w:rPr>
        <w:t xml:space="preserve"> </w:t>
      </w:r>
      <w:r w:rsidR="00AD7D44" w:rsidRPr="00AD7D44">
        <w:rPr>
          <w:rFonts w:ascii="Garamond" w:eastAsiaTheme="minorHAnsi" w:hAnsi="Garamond" w:cstheme="minorHAnsi"/>
          <w:bCs/>
          <w:sz w:val="20"/>
          <w:szCs w:val="20"/>
        </w:rPr>
        <w:t xml:space="preserve">Malaria remains a major global health concern, requiring novel therapeutic approaches due to increasing drug resistance. Phytoconstituents offer promising alternatives due to their diverse bioactivities and potential synergy with existing antimalarials. </w:t>
      </w:r>
    </w:p>
    <w:p w14:paraId="5770E79C" w14:textId="77777777" w:rsidR="00AD7D44" w:rsidRDefault="00AD7D44" w:rsidP="00AD7D44">
      <w:pPr>
        <w:jc w:val="both"/>
        <w:rPr>
          <w:rFonts w:ascii="Garamond" w:eastAsiaTheme="minorHAnsi" w:hAnsi="Garamond" w:cstheme="minorHAnsi"/>
          <w:bCs/>
          <w:sz w:val="20"/>
          <w:szCs w:val="20"/>
        </w:rPr>
      </w:pPr>
      <w:r w:rsidRPr="00AD7D44">
        <w:rPr>
          <w:rFonts w:ascii="Garamond" w:eastAsiaTheme="minorHAnsi" w:hAnsi="Garamond" w:cstheme="minorHAnsi"/>
          <w:b/>
          <w:bCs/>
          <w:sz w:val="20"/>
          <w:szCs w:val="20"/>
        </w:rPr>
        <w:t>Method:</w:t>
      </w:r>
      <w:r w:rsidRPr="00AD7D44">
        <w:rPr>
          <w:rFonts w:ascii="Garamond" w:eastAsiaTheme="minorHAnsi" w:hAnsi="Garamond" w:cstheme="minorHAnsi"/>
          <w:bCs/>
          <w:sz w:val="20"/>
          <w:szCs w:val="20"/>
        </w:rPr>
        <w:t xml:space="preserve"> This study evaluated the antimalarial potential of selected phytoconstituents through phytochemical identification, ADMET profiling, target identification, network analysis, enrichment studies, and molecular docking. Key compounds—Berberine, Curcumin, Quercetin, and Artemisinin—were analyzed for their interaction with essential </w:t>
      </w:r>
      <w:r w:rsidRPr="00AD7D44">
        <w:rPr>
          <w:rFonts w:ascii="Garamond" w:eastAsiaTheme="minorHAnsi" w:hAnsi="Garamond" w:cstheme="minorHAnsi"/>
          <w:bCs/>
          <w:i/>
          <w:iCs/>
          <w:sz w:val="20"/>
          <w:szCs w:val="20"/>
        </w:rPr>
        <w:t>Plasmodium</w:t>
      </w:r>
      <w:r w:rsidRPr="00AD7D44">
        <w:rPr>
          <w:rFonts w:ascii="Garamond" w:eastAsiaTheme="minorHAnsi" w:hAnsi="Garamond" w:cstheme="minorHAnsi"/>
          <w:bCs/>
          <w:sz w:val="20"/>
          <w:szCs w:val="20"/>
        </w:rPr>
        <w:t xml:space="preserve"> proteins. </w:t>
      </w:r>
    </w:p>
    <w:p w14:paraId="227FEADE" w14:textId="77777777" w:rsidR="00AD7D44" w:rsidRDefault="00AD7D44" w:rsidP="00AD7D44">
      <w:pPr>
        <w:jc w:val="both"/>
        <w:rPr>
          <w:rFonts w:ascii="Garamond" w:eastAsiaTheme="minorHAnsi" w:hAnsi="Garamond" w:cstheme="minorHAnsi"/>
          <w:bCs/>
          <w:sz w:val="20"/>
          <w:szCs w:val="20"/>
        </w:rPr>
      </w:pPr>
      <w:r w:rsidRPr="00AD7D44">
        <w:rPr>
          <w:rFonts w:ascii="Garamond" w:eastAsiaTheme="minorHAnsi" w:hAnsi="Garamond" w:cstheme="minorHAnsi"/>
          <w:b/>
          <w:bCs/>
          <w:sz w:val="20"/>
          <w:szCs w:val="20"/>
        </w:rPr>
        <w:t>Results:</w:t>
      </w:r>
      <w:r w:rsidRPr="00AD7D44">
        <w:rPr>
          <w:rFonts w:ascii="Garamond" w:eastAsiaTheme="minorHAnsi" w:hAnsi="Garamond" w:cstheme="minorHAnsi"/>
          <w:bCs/>
          <w:sz w:val="20"/>
          <w:szCs w:val="20"/>
        </w:rPr>
        <w:t xml:space="preserve"> Molecular docking revealed strong binding affinities: Artemisinin (-10.2 kcal/mol to PfATP6), Curcumin (-8.5 kcal/mol to </w:t>
      </w:r>
      <w:proofErr w:type="spellStart"/>
      <w:r w:rsidRPr="00AD7D44">
        <w:rPr>
          <w:rFonts w:ascii="Garamond" w:eastAsiaTheme="minorHAnsi" w:hAnsi="Garamond" w:cstheme="minorHAnsi"/>
          <w:bCs/>
          <w:sz w:val="20"/>
          <w:szCs w:val="20"/>
        </w:rPr>
        <w:t>PfDHFR</w:t>
      </w:r>
      <w:proofErr w:type="spellEnd"/>
      <w:r w:rsidRPr="00AD7D44">
        <w:rPr>
          <w:rFonts w:ascii="Garamond" w:eastAsiaTheme="minorHAnsi" w:hAnsi="Garamond" w:cstheme="minorHAnsi"/>
          <w:bCs/>
          <w:sz w:val="20"/>
          <w:szCs w:val="20"/>
        </w:rPr>
        <w:t xml:space="preserve">-TS), Quercetin (-9.0 kcal/mol to </w:t>
      </w:r>
      <w:proofErr w:type="spellStart"/>
      <w:r w:rsidRPr="00AD7D44">
        <w:rPr>
          <w:rFonts w:ascii="Garamond" w:eastAsiaTheme="minorHAnsi" w:hAnsi="Garamond" w:cstheme="minorHAnsi"/>
          <w:bCs/>
          <w:sz w:val="20"/>
          <w:szCs w:val="20"/>
        </w:rPr>
        <w:t>Plasmepsin</w:t>
      </w:r>
      <w:proofErr w:type="spellEnd"/>
      <w:r w:rsidRPr="00AD7D44">
        <w:rPr>
          <w:rFonts w:ascii="Garamond" w:eastAsiaTheme="minorHAnsi" w:hAnsi="Garamond" w:cstheme="minorHAnsi"/>
          <w:bCs/>
          <w:sz w:val="20"/>
          <w:szCs w:val="20"/>
        </w:rPr>
        <w:t xml:space="preserve"> II), and Berberine (-8.8 kcal/mol to PfATP6). These interactions disrupt critical pathways, including hemoglobin degradation, calcium homeostasis, and nucleotide synthesis, essential for </w:t>
      </w:r>
      <w:r w:rsidRPr="00AD7D44">
        <w:rPr>
          <w:rFonts w:ascii="Garamond" w:eastAsiaTheme="minorHAnsi" w:hAnsi="Garamond" w:cstheme="minorHAnsi"/>
          <w:bCs/>
          <w:i/>
          <w:iCs/>
          <w:sz w:val="20"/>
          <w:szCs w:val="20"/>
        </w:rPr>
        <w:t>Plasmodium</w:t>
      </w:r>
      <w:r w:rsidRPr="00AD7D44">
        <w:rPr>
          <w:rFonts w:ascii="Garamond" w:eastAsiaTheme="minorHAnsi" w:hAnsi="Garamond" w:cstheme="minorHAnsi"/>
          <w:bCs/>
          <w:sz w:val="20"/>
          <w:szCs w:val="20"/>
        </w:rPr>
        <w:t xml:space="preserve"> survival. Target identification highlighted inhibition of key enzymes such as Falcipain-2, PfATP6, and PfMDR1, crucial for parasite nutrient acquisition and drug resistance. Network analysis emphasized the therapeutic significance of these targets, while enrichment studies validated diverse mechanisms of action, suggesting potential synergy with conventional antimalarials.</w:t>
      </w:r>
    </w:p>
    <w:p w14:paraId="5E186296" w14:textId="360CC21F" w:rsidR="00AD7D44" w:rsidRPr="00AD7D44" w:rsidRDefault="00AD7D44" w:rsidP="00AD7D44">
      <w:pPr>
        <w:jc w:val="both"/>
        <w:rPr>
          <w:rFonts w:ascii="Garamond" w:eastAsiaTheme="minorHAnsi" w:hAnsi="Garamond" w:cstheme="minorHAnsi"/>
          <w:bCs/>
          <w:sz w:val="20"/>
          <w:szCs w:val="20"/>
        </w:rPr>
      </w:pPr>
      <w:r w:rsidRPr="00AD7D44">
        <w:rPr>
          <w:rFonts w:ascii="Garamond" w:eastAsiaTheme="minorHAnsi" w:hAnsi="Garamond" w:cstheme="minorHAnsi"/>
          <w:b/>
          <w:bCs/>
          <w:sz w:val="20"/>
          <w:szCs w:val="20"/>
        </w:rPr>
        <w:t>Conclusion:</w:t>
      </w:r>
      <w:r w:rsidRPr="00AD7D44">
        <w:rPr>
          <w:rFonts w:ascii="Garamond" w:eastAsiaTheme="minorHAnsi" w:hAnsi="Garamond" w:cstheme="minorHAnsi"/>
          <w:bCs/>
          <w:sz w:val="20"/>
          <w:szCs w:val="20"/>
        </w:rPr>
        <w:t xml:space="preserve"> Phytoconstituents exhibit promising antimalarial activity with favorable pharmacokinetic properties. Further preclinical and clinical studies are warranted to optimize formulations, assess safety, and enhance therapeutic efficacy in malaria treatment.</w:t>
      </w:r>
    </w:p>
    <w:p w14:paraId="688B0AE0" w14:textId="77777777" w:rsidR="00AD7D44" w:rsidRPr="00AD7D44" w:rsidRDefault="00AD7D44" w:rsidP="00AD7D44">
      <w:pPr>
        <w:jc w:val="both"/>
        <w:rPr>
          <w:rFonts w:ascii="Garamond" w:eastAsiaTheme="minorHAnsi" w:hAnsi="Garamond" w:cstheme="minorHAnsi"/>
          <w:bCs/>
          <w:sz w:val="20"/>
          <w:szCs w:val="20"/>
        </w:rPr>
      </w:pPr>
    </w:p>
    <w:p w14:paraId="392D3347" w14:textId="77777777" w:rsidR="00AD7D44" w:rsidRPr="00AD7D44" w:rsidRDefault="00AD7D44" w:rsidP="00AD7D44">
      <w:pPr>
        <w:jc w:val="both"/>
        <w:rPr>
          <w:rFonts w:ascii="Garamond" w:eastAsiaTheme="minorHAnsi" w:hAnsi="Garamond" w:cstheme="minorHAnsi"/>
          <w:bCs/>
          <w:sz w:val="20"/>
          <w:szCs w:val="20"/>
        </w:rPr>
      </w:pPr>
      <w:r w:rsidRPr="00AD7D44">
        <w:rPr>
          <w:rFonts w:ascii="Garamond" w:eastAsiaTheme="minorHAnsi" w:hAnsi="Garamond" w:cstheme="minorHAnsi"/>
          <w:b/>
          <w:bCs/>
          <w:sz w:val="20"/>
          <w:szCs w:val="20"/>
        </w:rPr>
        <w:t xml:space="preserve">KEYWORDS: </w:t>
      </w:r>
      <w:r w:rsidRPr="00AD7D44">
        <w:rPr>
          <w:rFonts w:ascii="Garamond" w:eastAsiaTheme="minorHAnsi" w:hAnsi="Garamond" w:cstheme="minorHAnsi"/>
          <w:bCs/>
          <w:sz w:val="20"/>
          <w:szCs w:val="20"/>
        </w:rPr>
        <w:t>Network Pharmacology, Molecular Modelling, Phytoconstituents, Malaria, Molecular Docking, ADMET Analysis</w:t>
      </w:r>
    </w:p>
    <w:p w14:paraId="173ABDBA" w14:textId="039EDE61" w:rsidR="006732D7" w:rsidRPr="005030CD" w:rsidRDefault="006732D7" w:rsidP="006732D7">
      <w:pPr>
        <w:jc w:val="both"/>
        <w:rPr>
          <w:rFonts w:ascii="Garamond" w:eastAsiaTheme="minorHAnsi" w:hAnsi="Garamond" w:cstheme="minorHAnsi"/>
          <w:bCs/>
          <w:sz w:val="20"/>
          <w:szCs w:val="20"/>
        </w:rPr>
        <w:sectPr w:rsidR="006732D7" w:rsidRPr="005030CD" w:rsidSect="00FE10D9">
          <w:headerReference w:type="even" r:id="rId9"/>
          <w:headerReference w:type="default" r:id="rId10"/>
          <w:footerReference w:type="even" r:id="rId11"/>
          <w:footerReference w:type="default" r:id="rId12"/>
          <w:headerReference w:type="first" r:id="rId13"/>
          <w:footerReference w:type="first" r:id="rId14"/>
          <w:type w:val="continuous"/>
          <w:pgSz w:w="12240" w:h="15840"/>
          <w:pgMar w:top="1440" w:right="1440" w:bottom="1440" w:left="1440" w:header="720" w:footer="648" w:gutter="0"/>
          <w:pgNumType w:start="24"/>
          <w:cols w:space="720"/>
          <w:docGrid w:linePitch="326"/>
        </w:sectPr>
      </w:pPr>
    </w:p>
    <w:p w14:paraId="438D3F7E" w14:textId="77777777" w:rsidR="006732D7" w:rsidRPr="000931E7" w:rsidRDefault="006732D7" w:rsidP="006732D7">
      <w:pPr>
        <w:jc w:val="both"/>
        <w:rPr>
          <w:rFonts w:ascii="Garamond" w:hAnsi="Garamond"/>
          <w:b/>
          <w:sz w:val="22"/>
          <w:szCs w:val="20"/>
        </w:rPr>
        <w:sectPr w:rsidR="006732D7" w:rsidRPr="000931E7" w:rsidSect="00333DE6">
          <w:type w:val="continuous"/>
          <w:pgSz w:w="12240" w:h="15840"/>
          <w:pgMar w:top="1440" w:right="1440" w:bottom="1440" w:left="1440" w:header="720" w:footer="720" w:gutter="0"/>
          <w:cols w:num="2" w:space="720"/>
          <w:titlePg/>
          <w:docGrid w:linePitch="360"/>
        </w:sectPr>
      </w:pPr>
      <w:r w:rsidRPr="000931E7">
        <w:rPr>
          <w:rFonts w:ascii="Garamond" w:hAnsi="Garamond"/>
          <w:b/>
          <w:noProof/>
          <w:sz w:val="22"/>
          <w:szCs w:val="20"/>
        </w:rPr>
        <mc:AlternateContent>
          <mc:Choice Requires="wps">
            <w:drawing>
              <wp:anchor distT="0" distB="0" distL="114300" distR="114300" simplePos="0" relativeHeight="251663360" behindDoc="0" locked="0" layoutInCell="1" allowOverlap="1" wp14:anchorId="466A14AA" wp14:editId="6EA78D08">
                <wp:simplePos x="0" y="0"/>
                <wp:positionH relativeFrom="column">
                  <wp:posOffset>-9525</wp:posOffset>
                </wp:positionH>
                <wp:positionV relativeFrom="paragraph">
                  <wp:posOffset>48260</wp:posOffset>
                </wp:positionV>
                <wp:extent cx="5943600" cy="28575"/>
                <wp:effectExtent l="0" t="0" r="19050" b="28575"/>
                <wp:wrapNone/>
                <wp:docPr id="264" name="Straight Connector 264"/>
                <wp:cNvGraphicFramePr/>
                <a:graphic xmlns:a="http://schemas.openxmlformats.org/drawingml/2006/main">
                  <a:graphicData uri="http://schemas.microsoft.com/office/word/2010/wordprocessingShape">
                    <wps:wsp>
                      <wps:cNvCnPr/>
                      <wps:spPr>
                        <a:xfrm flipV="1">
                          <a:off x="0" y="0"/>
                          <a:ext cx="5943600" cy="28575"/>
                        </a:xfrm>
                        <a:prstGeom prst="line">
                          <a:avLst/>
                        </a:prstGeom>
                        <a:noFill/>
                        <a:ln w="12700" cap="flat" cmpd="sng" algn="ctr">
                          <a:solidFill>
                            <a:sysClr val="windowText" lastClr="000000"/>
                          </a:solidFill>
                          <a:prstDash val="solid"/>
                          <a:miter lim="800000"/>
                        </a:ln>
                        <a:effectLst/>
                      </wps:spPr>
                      <wps:bodyPr/>
                    </wps:wsp>
                  </a:graphicData>
                </a:graphic>
              </wp:anchor>
            </w:drawing>
          </mc:Choice>
          <mc:Fallback>
            <w:pict>
              <v:line w14:anchorId="4CCD71CF" id="Straight Connector 264" o:spid="_x0000_s1026" style="position:absolute;flip:y;z-index:251663360;visibility:visible;mso-wrap-style:square;mso-wrap-distance-left:9pt;mso-wrap-distance-top:0;mso-wrap-distance-right:9pt;mso-wrap-distance-bottom:0;mso-position-horizontal:absolute;mso-position-horizontal-relative:text;mso-position-vertical:absolute;mso-position-vertical-relative:text" from="-.75pt,3.8pt" to="467.2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" strokecolor="windowText" strokeweight="1pt">
                <v:stroke joinstyle="miter"/>
              </v:line>
            </w:pict>
          </mc:Fallback>
        </mc:AlternateContent>
      </w:r>
    </w:p>
    <w:p w14:paraId="1CC9A416" w14:textId="77777777" w:rsidR="006732D7" w:rsidRPr="000931E7" w:rsidRDefault="006732D7" w:rsidP="006732D7">
      <w:pPr>
        <w:jc w:val="both"/>
        <w:rPr>
          <w:rFonts w:ascii="Garamond" w:hAnsi="Garamond"/>
          <w:b/>
          <w:bCs/>
          <w:color w:val="000000" w:themeColor="text1"/>
          <w:sz w:val="20"/>
          <w:szCs w:val="20"/>
        </w:rPr>
        <w:sectPr w:rsidR="006732D7" w:rsidRPr="000931E7" w:rsidSect="008216DC">
          <w:headerReference w:type="even" r:id="rId15"/>
          <w:headerReference w:type="default" r:id="rId16"/>
          <w:footerReference w:type="even" r:id="rId17"/>
          <w:footerReference w:type="default" r:id="rId18"/>
          <w:headerReference w:type="first" r:id="rId19"/>
          <w:footerReference w:type="first" r:id="rId20"/>
          <w:type w:val="continuous"/>
          <w:pgSz w:w="12240" w:h="15840"/>
          <w:pgMar w:top="1440" w:right="1440" w:bottom="1440" w:left="1440" w:header="720" w:footer="720" w:gutter="0"/>
          <w:cols w:num="2" w:space="720"/>
          <w:titlePg/>
          <w:docGrid w:linePitch="360"/>
        </w:sectPr>
      </w:pPr>
    </w:p>
    <w:p w14:paraId="303E25EB" w14:textId="28304CCC" w:rsidR="006732D7" w:rsidRDefault="006732D7" w:rsidP="006732D7">
      <w:pPr>
        <w:jc w:val="both"/>
        <w:rPr>
          <w:rFonts w:ascii="Garamond" w:hAnsi="Garamond"/>
          <w:b/>
          <w:bCs/>
          <w:sz w:val="22"/>
          <w:szCs w:val="20"/>
        </w:rPr>
      </w:pPr>
      <w:r w:rsidRPr="000931E7">
        <w:rPr>
          <w:rFonts w:ascii="Garamond" w:hAnsi="Garamond"/>
          <w:noProof/>
          <w:sz w:val="20"/>
          <w:szCs w:val="20"/>
        </w:rPr>
        <w:drawing>
          <wp:inline distT="0" distB="0" distL="0" distR="0" wp14:anchorId="2CDA4C7E" wp14:editId="79FECC31">
            <wp:extent cx="828675" cy="234315"/>
            <wp:effectExtent l="0" t="0" r="952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Copyright logo.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76971" cy="247971"/>
                    </a:xfrm>
                    <a:prstGeom prst="rect">
                      <a:avLst/>
                    </a:prstGeom>
                  </pic:spPr>
                </pic:pic>
              </a:graphicData>
            </a:graphic>
          </wp:inline>
        </w:drawing>
      </w:r>
      <w:r w:rsidRPr="000931E7">
        <w:rPr>
          <w:rFonts w:ascii="Garamond" w:hAnsi="Garamond"/>
          <w:b/>
          <w:bCs/>
          <w:sz w:val="22"/>
          <w:szCs w:val="20"/>
        </w:rPr>
        <w:t xml:space="preserve">   </w:t>
      </w:r>
      <w:r w:rsidRPr="000931E7">
        <w:rPr>
          <w:rFonts w:ascii="Garamond" w:hAnsi="Garamond"/>
          <w:b/>
          <w:bCs/>
          <w:sz w:val="22"/>
          <w:szCs w:val="20"/>
        </w:rPr>
        <w:tab/>
      </w:r>
      <w:r w:rsidRPr="000931E7">
        <w:rPr>
          <w:rFonts w:ascii="Garamond" w:hAnsi="Garamond"/>
          <w:b/>
          <w:bCs/>
          <w:sz w:val="22"/>
          <w:szCs w:val="20"/>
        </w:rPr>
        <w:tab/>
      </w:r>
      <w:r w:rsidRPr="000931E7">
        <w:rPr>
          <w:rFonts w:ascii="Garamond" w:hAnsi="Garamond"/>
          <w:b/>
          <w:bCs/>
          <w:sz w:val="22"/>
          <w:szCs w:val="20"/>
        </w:rPr>
        <w:tab/>
      </w:r>
      <w:r w:rsidRPr="000931E7">
        <w:rPr>
          <w:rFonts w:ascii="Garamond" w:hAnsi="Garamond"/>
          <w:b/>
          <w:bCs/>
          <w:sz w:val="22"/>
          <w:szCs w:val="20"/>
        </w:rPr>
        <w:tab/>
      </w:r>
      <w:r w:rsidRPr="000931E7">
        <w:rPr>
          <w:rFonts w:ascii="Garamond" w:hAnsi="Garamond"/>
          <w:b/>
          <w:bCs/>
          <w:sz w:val="22"/>
          <w:szCs w:val="20"/>
        </w:rPr>
        <w:tab/>
        <w:t xml:space="preserve">   How to cite this article</w:t>
      </w:r>
    </w:p>
    <w:p w14:paraId="7EA89543" w14:textId="3D48EFE2" w:rsidR="0080277A" w:rsidRPr="000931E7" w:rsidRDefault="0080277A" w:rsidP="006732D7">
      <w:pPr>
        <w:jc w:val="both"/>
        <w:rPr>
          <w:rFonts w:ascii="Garamond" w:hAnsi="Garamond"/>
          <w:b/>
          <w:bCs/>
          <w:sz w:val="22"/>
          <w:szCs w:val="20"/>
        </w:rPr>
        <w:sectPr w:rsidR="0080277A" w:rsidRPr="000931E7" w:rsidSect="00045140">
          <w:type w:val="continuous"/>
          <w:pgSz w:w="12240" w:h="15840"/>
          <w:pgMar w:top="1440" w:right="1440" w:bottom="1440" w:left="1440" w:header="720" w:footer="720" w:gutter="0"/>
          <w:cols w:space="720"/>
          <w:titlePg/>
          <w:docGrid w:linePitch="360"/>
        </w:sectPr>
      </w:pPr>
    </w:p>
    <w:p w14:paraId="2473312A" w14:textId="578E6523" w:rsidR="006732D7" w:rsidRPr="000931E7" w:rsidRDefault="000720E5" w:rsidP="006732D7">
      <w:pPr>
        <w:jc w:val="both"/>
        <w:rPr>
          <w:rFonts w:ascii="Garamond" w:hAnsi="Garamond"/>
          <w:b/>
          <w:sz w:val="22"/>
          <w:szCs w:val="20"/>
        </w:rPr>
        <w:sectPr w:rsidR="006732D7" w:rsidRPr="000931E7" w:rsidSect="00081D29">
          <w:type w:val="continuous"/>
          <w:pgSz w:w="12240" w:h="15840"/>
          <w:pgMar w:top="1440" w:right="1440" w:bottom="1440" w:left="1440" w:header="720" w:footer="720" w:gutter="0"/>
          <w:cols w:space="720"/>
          <w:titlePg/>
          <w:docGrid w:linePitch="360"/>
        </w:sectPr>
      </w:pPr>
      <w:r w:rsidRPr="000931E7">
        <w:rPr>
          <w:rFonts w:ascii="Times New Roman" w:eastAsiaTheme="minorHAnsi" w:hAnsi="Times New Roman" w:cs="Times New Roman"/>
          <w:noProof/>
        </w:rPr>
        <mc:AlternateContent>
          <mc:Choice Requires="wps">
            <w:drawing>
              <wp:anchor distT="0" distB="0" distL="114300" distR="114300" simplePos="0" relativeHeight="251661312" behindDoc="0" locked="0" layoutInCell="1" allowOverlap="1" wp14:anchorId="3BF86CDF" wp14:editId="03F401E3">
                <wp:simplePos x="0" y="0"/>
                <wp:positionH relativeFrom="margin">
                  <wp:posOffset>3276600</wp:posOffset>
                </wp:positionH>
                <wp:positionV relativeFrom="paragraph">
                  <wp:posOffset>18234</wp:posOffset>
                </wp:positionV>
                <wp:extent cx="2895600" cy="944245"/>
                <wp:effectExtent l="0" t="0" r="12700" b="8255"/>
                <wp:wrapNone/>
                <wp:docPr id="8" name="Text Box 8"/>
                <wp:cNvGraphicFramePr/>
                <a:graphic xmlns:a="http://schemas.openxmlformats.org/drawingml/2006/main">
                  <a:graphicData uri="http://schemas.microsoft.com/office/word/2010/wordprocessingShape">
                    <wps:wsp>
                      <wps:cNvSpPr txBox="1"/>
                      <wps:spPr>
                        <a:xfrm>
                          <a:off x="0" y="0"/>
                          <a:ext cx="2895600" cy="944245"/>
                        </a:xfrm>
                        <a:prstGeom prst="rect">
                          <a:avLst/>
                        </a:prstGeom>
                        <a:solidFill>
                          <a:sysClr val="window" lastClr="FFFFFF"/>
                        </a:solidFill>
                        <a:ln w="6350">
                          <a:solidFill>
                            <a:srgbClr val="70AD47">
                              <a:lumMod val="75000"/>
                            </a:srgbClr>
                          </a:solidFill>
                        </a:ln>
                      </wps:spPr>
                      <wps:txbx>
                        <w:txbxContent>
                          <w:p w14:paraId="01D8BBCE" w14:textId="72A9820F" w:rsidR="00FE10D9" w:rsidRPr="00FE10D9" w:rsidRDefault="00B72DF4" w:rsidP="00FE10D9">
                            <w:pPr>
                              <w:textAlignment w:val="baseline"/>
                              <w:rPr>
                                <w:rFonts w:ascii="Garamond" w:eastAsia="Times New Roman" w:hAnsi="Garamond" w:cs="Times New Roman"/>
                                <w:sz w:val="20"/>
                                <w:szCs w:val="20"/>
                                <w:lang w:val="en-NG" w:eastAsia="en-GB"/>
                              </w:rPr>
                            </w:pPr>
                            <w:r w:rsidRPr="00FE10D9">
                              <w:rPr>
                                <w:rFonts w:ascii="Garamond" w:hAnsi="Garamond" w:cs="Segoe UI"/>
                                <w:i/>
                                <w:iCs/>
                                <w:sz w:val="20"/>
                                <w:szCs w:val="20"/>
                                <w:shd w:val="clear" w:color="auto" w:fill="FFFFFF"/>
                              </w:rPr>
                              <w:t xml:space="preserve">Bethi S, </w:t>
                            </w:r>
                            <w:proofErr w:type="spellStart"/>
                            <w:r w:rsidRPr="00FE10D9">
                              <w:rPr>
                                <w:rFonts w:ascii="Garamond" w:hAnsi="Garamond" w:cs="Segoe UI"/>
                                <w:i/>
                                <w:iCs/>
                                <w:sz w:val="20"/>
                                <w:szCs w:val="20"/>
                                <w:shd w:val="clear" w:color="auto" w:fill="FFFFFF"/>
                              </w:rPr>
                              <w:t>Shirole</w:t>
                            </w:r>
                            <w:proofErr w:type="spellEnd"/>
                            <w:r w:rsidRPr="00FE10D9">
                              <w:rPr>
                                <w:rFonts w:ascii="Garamond" w:hAnsi="Garamond" w:cs="Segoe UI"/>
                                <w:i/>
                                <w:iCs/>
                                <w:sz w:val="20"/>
                                <w:szCs w:val="20"/>
                                <w:shd w:val="clear" w:color="auto" w:fill="FFFFFF"/>
                              </w:rPr>
                              <w:t xml:space="preserve"> R, Pathak L, Bhise M, Mohapatra</w:t>
                            </w:r>
                            <w:r w:rsidR="000147FB" w:rsidRPr="00FE10D9">
                              <w:rPr>
                                <w:rFonts w:ascii="Garamond" w:hAnsi="Garamond" w:cs="Segoe UI"/>
                                <w:i/>
                                <w:iCs/>
                                <w:sz w:val="20"/>
                                <w:szCs w:val="20"/>
                                <w:shd w:val="clear" w:color="auto" w:fill="FFFFFF"/>
                              </w:rPr>
                              <w:t xml:space="preserve"> S</w:t>
                            </w:r>
                            <w:r w:rsidRPr="00FE10D9">
                              <w:rPr>
                                <w:rFonts w:ascii="Garamond" w:hAnsi="Garamond" w:cs="Segoe UI"/>
                                <w:i/>
                                <w:iCs/>
                                <w:sz w:val="20"/>
                                <w:szCs w:val="20"/>
                                <w:shd w:val="clear" w:color="auto" w:fill="FFFFFF"/>
                              </w:rPr>
                              <w:t>, Tare</w:t>
                            </w:r>
                            <w:r w:rsidR="000147FB" w:rsidRPr="00FE10D9">
                              <w:rPr>
                                <w:rFonts w:ascii="Garamond" w:hAnsi="Garamond" w:cs="Segoe UI"/>
                                <w:i/>
                                <w:iCs/>
                                <w:sz w:val="20"/>
                                <w:szCs w:val="20"/>
                                <w:shd w:val="clear" w:color="auto" w:fill="FFFFFF"/>
                              </w:rPr>
                              <w:t xml:space="preserve"> H</w:t>
                            </w:r>
                            <w:r w:rsidR="00440E6B" w:rsidRPr="00FE10D9">
                              <w:rPr>
                                <w:rFonts w:ascii="Garamond" w:hAnsi="Garamond" w:cs="Segoe UI"/>
                                <w:i/>
                                <w:iCs/>
                                <w:sz w:val="20"/>
                                <w:szCs w:val="20"/>
                                <w:shd w:val="clear" w:color="auto" w:fill="FFFFFF"/>
                              </w:rPr>
                              <w:t>, Bhosale N</w:t>
                            </w:r>
                            <w:r w:rsidR="000147FB" w:rsidRPr="00FE10D9">
                              <w:rPr>
                                <w:rFonts w:ascii="Garamond" w:hAnsi="Garamond" w:cs="Segoe UI"/>
                                <w:i/>
                                <w:iCs/>
                                <w:sz w:val="20"/>
                                <w:szCs w:val="20"/>
                                <w:shd w:val="clear" w:color="auto" w:fill="FFFFFF"/>
                              </w:rPr>
                              <w:t xml:space="preserve">. </w:t>
                            </w:r>
                            <w:r w:rsidR="000147FB" w:rsidRPr="00FE10D9">
                              <w:rPr>
                                <w:rFonts w:ascii="Garamond" w:hAnsi="Garamond" w:cs="Segoe UI"/>
                                <w:sz w:val="20"/>
                                <w:szCs w:val="20"/>
                                <w:shd w:val="clear" w:color="auto" w:fill="FFFFFF"/>
                              </w:rPr>
                              <w:t>An Integrated Network Pharmacology and Molecular Modelling Study of Phytoconstituents Targeting Malaria</w:t>
                            </w:r>
                            <w:r w:rsidR="00F67245" w:rsidRPr="00FE10D9">
                              <w:rPr>
                                <w:rFonts w:ascii="Garamond" w:hAnsi="Garamond" w:cs="Segoe UI"/>
                                <w:sz w:val="20"/>
                                <w:szCs w:val="20"/>
                                <w:shd w:val="clear" w:color="auto" w:fill="FFFFFF"/>
                              </w:rPr>
                              <w:t xml:space="preserve">. </w:t>
                            </w:r>
                            <w:r w:rsidR="00576722" w:rsidRPr="00FE10D9">
                              <w:rPr>
                                <w:rFonts w:ascii="Garamond" w:hAnsi="Garamond" w:cs="Segoe UI"/>
                                <w:color w:val="000000" w:themeColor="text1"/>
                                <w:sz w:val="20"/>
                                <w:szCs w:val="20"/>
                                <w:shd w:val="clear" w:color="auto" w:fill="FFFFFF"/>
                              </w:rPr>
                              <w:t>The Nigerian Health Journal 202</w:t>
                            </w:r>
                            <w:r w:rsidR="00403BC2" w:rsidRPr="00FE10D9">
                              <w:rPr>
                                <w:rFonts w:ascii="Garamond" w:hAnsi="Garamond" w:cs="Segoe UI"/>
                                <w:color w:val="000000" w:themeColor="text1"/>
                                <w:sz w:val="20"/>
                                <w:szCs w:val="20"/>
                                <w:shd w:val="clear" w:color="auto" w:fill="FFFFFF"/>
                              </w:rPr>
                              <w:t>6</w:t>
                            </w:r>
                            <w:r w:rsidR="00576722" w:rsidRPr="00FE10D9">
                              <w:rPr>
                                <w:rFonts w:ascii="Garamond" w:hAnsi="Garamond" w:cs="Segoe UI"/>
                                <w:color w:val="000000" w:themeColor="text1"/>
                                <w:sz w:val="20"/>
                                <w:szCs w:val="20"/>
                                <w:shd w:val="clear" w:color="auto" w:fill="FFFFFF"/>
                              </w:rPr>
                              <w:t>; 2</w:t>
                            </w:r>
                            <w:r w:rsidR="00403BC2" w:rsidRPr="00FE10D9">
                              <w:rPr>
                                <w:rFonts w:ascii="Garamond" w:hAnsi="Garamond" w:cs="Segoe UI"/>
                                <w:color w:val="000000" w:themeColor="text1"/>
                                <w:sz w:val="20"/>
                                <w:szCs w:val="20"/>
                                <w:shd w:val="clear" w:color="auto" w:fill="FFFFFF"/>
                              </w:rPr>
                              <w:t>6</w:t>
                            </w:r>
                            <w:r w:rsidR="00576722" w:rsidRPr="00FE10D9">
                              <w:rPr>
                                <w:rFonts w:ascii="Garamond" w:hAnsi="Garamond" w:cs="Segoe UI"/>
                                <w:color w:val="000000" w:themeColor="text1"/>
                                <w:sz w:val="20"/>
                                <w:szCs w:val="20"/>
                                <w:shd w:val="clear" w:color="auto" w:fill="FFFFFF"/>
                              </w:rPr>
                              <w:t>(</w:t>
                            </w:r>
                            <w:r w:rsidR="00403BC2" w:rsidRPr="00FE10D9">
                              <w:rPr>
                                <w:rFonts w:ascii="Garamond" w:hAnsi="Garamond" w:cs="Segoe UI"/>
                                <w:color w:val="000000" w:themeColor="text1"/>
                                <w:sz w:val="20"/>
                                <w:szCs w:val="20"/>
                                <w:shd w:val="clear" w:color="auto" w:fill="FFFFFF"/>
                              </w:rPr>
                              <w:t>1</w:t>
                            </w:r>
                            <w:r w:rsidR="00576722" w:rsidRPr="00FE10D9">
                              <w:rPr>
                                <w:rFonts w:ascii="Garamond" w:hAnsi="Garamond" w:cs="Segoe UI"/>
                                <w:color w:val="000000" w:themeColor="text1"/>
                                <w:sz w:val="20"/>
                                <w:szCs w:val="20"/>
                                <w:shd w:val="clear" w:color="auto" w:fill="FFFFFF"/>
                              </w:rPr>
                              <w:t>)</w:t>
                            </w:r>
                            <w:r w:rsidR="00FE10D9" w:rsidRPr="00FE10D9">
                              <w:rPr>
                                <w:rFonts w:ascii="Garamond" w:hAnsi="Garamond" w:cs="Segoe UI"/>
                                <w:color w:val="000000" w:themeColor="text1"/>
                                <w:sz w:val="20"/>
                                <w:szCs w:val="20"/>
                                <w:shd w:val="clear" w:color="auto" w:fill="FFFFFF"/>
                              </w:rPr>
                              <w:t>: 24 - 38</w:t>
                            </w:r>
                            <w:r w:rsidR="00576722" w:rsidRPr="00FE10D9">
                              <w:rPr>
                                <w:rFonts w:ascii="Garamond" w:hAnsi="Garamond" w:cs="Segoe UI"/>
                                <w:color w:val="000000" w:themeColor="text1"/>
                                <w:sz w:val="20"/>
                                <w:szCs w:val="20"/>
                                <w:shd w:val="clear" w:color="auto" w:fill="FFFFFF"/>
                              </w:rPr>
                              <w:t>.</w:t>
                            </w:r>
                            <w:r w:rsidR="00FE10D9" w:rsidRPr="00FE10D9">
                              <w:rPr>
                                <w:rFonts w:ascii="Garamond" w:hAnsi="Garamond" w:cs="Segoe UI"/>
                                <w:color w:val="000000" w:themeColor="text1"/>
                                <w:sz w:val="20"/>
                                <w:szCs w:val="20"/>
                                <w:shd w:val="clear" w:color="auto" w:fill="FFFFFF"/>
                              </w:rPr>
                              <w:t xml:space="preserve"> </w:t>
                            </w:r>
                            <w:hyperlink r:id="rId22" w:history="1">
                              <w:r w:rsidR="00FE10D9" w:rsidRPr="00FE10D9">
                                <w:rPr>
                                  <w:rStyle w:val="Hyperlink"/>
                                  <w:rFonts w:ascii="Garamond" w:hAnsi="Garamond" w:cs="Arial"/>
                                  <w:sz w:val="20"/>
                                  <w:szCs w:val="20"/>
                                </w:rPr>
                                <w:t>https://doi.org/10.71637/tnhj.v26i1.1008</w:t>
                              </w:r>
                            </w:hyperlink>
                          </w:p>
                          <w:p w14:paraId="65562D4D" w14:textId="2F1D1E42" w:rsidR="00576722" w:rsidRPr="00FE10D9" w:rsidRDefault="00576722" w:rsidP="00FE10D9">
                            <w:pPr>
                              <w:pBdr>
                                <w:bottom w:val="single" w:sz="6" w:space="1" w:color="auto"/>
                              </w:pBdr>
                              <w:rPr>
                                <w:rFonts w:ascii="Garamond" w:hAnsi="Garamond" w:cs="Segoe UI"/>
                                <w:sz w:val="20"/>
                                <w:szCs w:val="20"/>
                                <w:shd w:val="clear" w:color="auto" w:fill="FFFFFF"/>
                              </w:rPr>
                            </w:pPr>
                          </w:p>
                          <w:p w14:paraId="3FFF62E1" w14:textId="77777777" w:rsidR="006914B1" w:rsidRPr="00FE10D9" w:rsidRDefault="006914B1" w:rsidP="00FE10D9">
                            <w:pPr>
                              <w:pBdr>
                                <w:bottom w:val="single" w:sz="6" w:space="1" w:color="auto"/>
                              </w:pBdr>
                              <w:rPr>
                                <w:rFonts w:ascii="Garamond" w:hAnsi="Garamond" w:cs="Segoe UI"/>
                                <w:bCs/>
                                <w:color w:val="000000" w:themeColor="text1"/>
                                <w:sz w:val="20"/>
                                <w:szCs w:val="20"/>
                                <w:shd w:val="clear" w:color="auto" w:fill="FFFFF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BF86CDF" id="_x0000_t202" coordsize="21600,21600" o:spt="202" path="m,l,21600r21600,l21600,xe">
                <v:stroke joinstyle="miter"/>
                <v:path gradientshapeok="t" o:connecttype="rect"/>
              </v:shapetype>
              <v:shape id="Text Box 8" o:spid="_x0000_s1026" type="#_x0000_t202" style="position:absolute;left:0;text-align:left;margin-left:258pt;margin-top:1.45pt;width:228pt;height:74.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" fillcolor="window" strokecolor="#548235" strokeweight=".5pt">
                <v:textbox>
                  <w:txbxContent>
                    <w:p w14:paraId="01D8BBCE" w14:textId="72A9820F" w:rsidR="00FE10D9" w:rsidRPr="00FE10D9" w:rsidRDefault="00B72DF4" w:rsidP="00FE10D9">
                      <w:pPr>
                        <w:textAlignment w:val="baseline"/>
                        <w:rPr>
                          <w:rFonts w:ascii="Garamond" w:eastAsia="Times New Roman" w:hAnsi="Garamond" w:cs="Times New Roman"/>
                          <w:sz w:val="20"/>
                          <w:szCs w:val="20"/>
                          <w:lang w:val="en-NG" w:eastAsia="en-GB"/>
                        </w:rPr>
                      </w:pPr>
                      <w:r w:rsidRPr="00FE10D9">
                        <w:rPr>
                          <w:rFonts w:ascii="Garamond" w:hAnsi="Garamond" w:cs="Segoe UI"/>
                          <w:i/>
                          <w:iCs/>
                          <w:sz w:val="20"/>
                          <w:szCs w:val="20"/>
                          <w:shd w:val="clear" w:color="auto" w:fill="FFFFFF"/>
                        </w:rPr>
                        <w:t xml:space="preserve">Bethi S, </w:t>
                      </w:r>
                      <w:proofErr w:type="spellStart"/>
                      <w:r w:rsidRPr="00FE10D9">
                        <w:rPr>
                          <w:rFonts w:ascii="Garamond" w:hAnsi="Garamond" w:cs="Segoe UI"/>
                          <w:i/>
                          <w:iCs/>
                          <w:sz w:val="20"/>
                          <w:szCs w:val="20"/>
                          <w:shd w:val="clear" w:color="auto" w:fill="FFFFFF"/>
                        </w:rPr>
                        <w:t>Shirole</w:t>
                      </w:r>
                      <w:proofErr w:type="spellEnd"/>
                      <w:r w:rsidRPr="00FE10D9">
                        <w:rPr>
                          <w:rFonts w:ascii="Garamond" w:hAnsi="Garamond" w:cs="Segoe UI"/>
                          <w:i/>
                          <w:iCs/>
                          <w:sz w:val="20"/>
                          <w:szCs w:val="20"/>
                          <w:shd w:val="clear" w:color="auto" w:fill="FFFFFF"/>
                        </w:rPr>
                        <w:t xml:space="preserve"> R, Pathak L, Bhise M, Mohapatra</w:t>
                      </w:r>
                      <w:r w:rsidR="000147FB" w:rsidRPr="00FE10D9">
                        <w:rPr>
                          <w:rFonts w:ascii="Garamond" w:hAnsi="Garamond" w:cs="Segoe UI"/>
                          <w:i/>
                          <w:iCs/>
                          <w:sz w:val="20"/>
                          <w:szCs w:val="20"/>
                          <w:shd w:val="clear" w:color="auto" w:fill="FFFFFF"/>
                        </w:rPr>
                        <w:t xml:space="preserve"> S</w:t>
                      </w:r>
                      <w:r w:rsidRPr="00FE10D9">
                        <w:rPr>
                          <w:rFonts w:ascii="Garamond" w:hAnsi="Garamond" w:cs="Segoe UI"/>
                          <w:i/>
                          <w:iCs/>
                          <w:sz w:val="20"/>
                          <w:szCs w:val="20"/>
                          <w:shd w:val="clear" w:color="auto" w:fill="FFFFFF"/>
                        </w:rPr>
                        <w:t>, Tare</w:t>
                      </w:r>
                      <w:r w:rsidR="000147FB" w:rsidRPr="00FE10D9">
                        <w:rPr>
                          <w:rFonts w:ascii="Garamond" w:hAnsi="Garamond" w:cs="Segoe UI"/>
                          <w:i/>
                          <w:iCs/>
                          <w:sz w:val="20"/>
                          <w:szCs w:val="20"/>
                          <w:shd w:val="clear" w:color="auto" w:fill="FFFFFF"/>
                        </w:rPr>
                        <w:t xml:space="preserve"> H</w:t>
                      </w:r>
                      <w:r w:rsidR="00440E6B" w:rsidRPr="00FE10D9">
                        <w:rPr>
                          <w:rFonts w:ascii="Garamond" w:hAnsi="Garamond" w:cs="Segoe UI"/>
                          <w:i/>
                          <w:iCs/>
                          <w:sz w:val="20"/>
                          <w:szCs w:val="20"/>
                          <w:shd w:val="clear" w:color="auto" w:fill="FFFFFF"/>
                        </w:rPr>
                        <w:t>, Bhosale N</w:t>
                      </w:r>
                      <w:r w:rsidR="000147FB" w:rsidRPr="00FE10D9">
                        <w:rPr>
                          <w:rFonts w:ascii="Garamond" w:hAnsi="Garamond" w:cs="Segoe UI"/>
                          <w:i/>
                          <w:iCs/>
                          <w:sz w:val="20"/>
                          <w:szCs w:val="20"/>
                          <w:shd w:val="clear" w:color="auto" w:fill="FFFFFF"/>
                        </w:rPr>
                        <w:t xml:space="preserve">. </w:t>
                      </w:r>
                      <w:r w:rsidR="000147FB" w:rsidRPr="00FE10D9">
                        <w:rPr>
                          <w:rFonts w:ascii="Garamond" w:hAnsi="Garamond" w:cs="Segoe UI"/>
                          <w:sz w:val="20"/>
                          <w:szCs w:val="20"/>
                          <w:shd w:val="clear" w:color="auto" w:fill="FFFFFF"/>
                        </w:rPr>
                        <w:t>An Integrated Network Pharmacology and Molecular Modelling Study of Phytoconstituents Targeting Malaria</w:t>
                      </w:r>
                      <w:r w:rsidR="00F67245" w:rsidRPr="00FE10D9">
                        <w:rPr>
                          <w:rFonts w:ascii="Garamond" w:hAnsi="Garamond" w:cs="Segoe UI"/>
                          <w:sz w:val="20"/>
                          <w:szCs w:val="20"/>
                          <w:shd w:val="clear" w:color="auto" w:fill="FFFFFF"/>
                        </w:rPr>
                        <w:t xml:space="preserve">. </w:t>
                      </w:r>
                      <w:r w:rsidR="00576722" w:rsidRPr="00FE10D9">
                        <w:rPr>
                          <w:rFonts w:ascii="Garamond" w:hAnsi="Garamond" w:cs="Segoe UI"/>
                          <w:color w:val="000000" w:themeColor="text1"/>
                          <w:sz w:val="20"/>
                          <w:szCs w:val="20"/>
                          <w:shd w:val="clear" w:color="auto" w:fill="FFFFFF"/>
                        </w:rPr>
                        <w:t>The Nigerian Health Journal 202</w:t>
                      </w:r>
                      <w:r w:rsidR="00403BC2" w:rsidRPr="00FE10D9">
                        <w:rPr>
                          <w:rFonts w:ascii="Garamond" w:hAnsi="Garamond" w:cs="Segoe UI"/>
                          <w:color w:val="000000" w:themeColor="text1"/>
                          <w:sz w:val="20"/>
                          <w:szCs w:val="20"/>
                          <w:shd w:val="clear" w:color="auto" w:fill="FFFFFF"/>
                        </w:rPr>
                        <w:t>6</w:t>
                      </w:r>
                      <w:r w:rsidR="00576722" w:rsidRPr="00FE10D9">
                        <w:rPr>
                          <w:rFonts w:ascii="Garamond" w:hAnsi="Garamond" w:cs="Segoe UI"/>
                          <w:color w:val="000000" w:themeColor="text1"/>
                          <w:sz w:val="20"/>
                          <w:szCs w:val="20"/>
                          <w:shd w:val="clear" w:color="auto" w:fill="FFFFFF"/>
                        </w:rPr>
                        <w:t>; 2</w:t>
                      </w:r>
                      <w:r w:rsidR="00403BC2" w:rsidRPr="00FE10D9">
                        <w:rPr>
                          <w:rFonts w:ascii="Garamond" w:hAnsi="Garamond" w:cs="Segoe UI"/>
                          <w:color w:val="000000" w:themeColor="text1"/>
                          <w:sz w:val="20"/>
                          <w:szCs w:val="20"/>
                          <w:shd w:val="clear" w:color="auto" w:fill="FFFFFF"/>
                        </w:rPr>
                        <w:t>6</w:t>
                      </w:r>
                      <w:r w:rsidR="00576722" w:rsidRPr="00FE10D9">
                        <w:rPr>
                          <w:rFonts w:ascii="Garamond" w:hAnsi="Garamond" w:cs="Segoe UI"/>
                          <w:color w:val="000000" w:themeColor="text1"/>
                          <w:sz w:val="20"/>
                          <w:szCs w:val="20"/>
                          <w:shd w:val="clear" w:color="auto" w:fill="FFFFFF"/>
                        </w:rPr>
                        <w:t>(</w:t>
                      </w:r>
                      <w:r w:rsidR="00403BC2" w:rsidRPr="00FE10D9">
                        <w:rPr>
                          <w:rFonts w:ascii="Garamond" w:hAnsi="Garamond" w:cs="Segoe UI"/>
                          <w:color w:val="000000" w:themeColor="text1"/>
                          <w:sz w:val="20"/>
                          <w:szCs w:val="20"/>
                          <w:shd w:val="clear" w:color="auto" w:fill="FFFFFF"/>
                        </w:rPr>
                        <w:t>1</w:t>
                      </w:r>
                      <w:r w:rsidR="00576722" w:rsidRPr="00FE10D9">
                        <w:rPr>
                          <w:rFonts w:ascii="Garamond" w:hAnsi="Garamond" w:cs="Segoe UI"/>
                          <w:color w:val="000000" w:themeColor="text1"/>
                          <w:sz w:val="20"/>
                          <w:szCs w:val="20"/>
                          <w:shd w:val="clear" w:color="auto" w:fill="FFFFFF"/>
                        </w:rPr>
                        <w:t>)</w:t>
                      </w:r>
                      <w:r w:rsidR="00FE10D9" w:rsidRPr="00FE10D9">
                        <w:rPr>
                          <w:rFonts w:ascii="Garamond" w:hAnsi="Garamond" w:cs="Segoe UI"/>
                          <w:color w:val="000000" w:themeColor="text1"/>
                          <w:sz w:val="20"/>
                          <w:szCs w:val="20"/>
                          <w:shd w:val="clear" w:color="auto" w:fill="FFFFFF"/>
                        </w:rPr>
                        <w:t>: 24 - 38</w:t>
                      </w:r>
                      <w:r w:rsidR="00576722" w:rsidRPr="00FE10D9">
                        <w:rPr>
                          <w:rFonts w:ascii="Garamond" w:hAnsi="Garamond" w:cs="Segoe UI"/>
                          <w:color w:val="000000" w:themeColor="text1"/>
                          <w:sz w:val="20"/>
                          <w:szCs w:val="20"/>
                          <w:shd w:val="clear" w:color="auto" w:fill="FFFFFF"/>
                        </w:rPr>
                        <w:t>.</w:t>
                      </w:r>
                      <w:r w:rsidR="00FE10D9" w:rsidRPr="00FE10D9">
                        <w:rPr>
                          <w:rFonts w:ascii="Garamond" w:hAnsi="Garamond" w:cs="Segoe UI"/>
                          <w:color w:val="000000" w:themeColor="text1"/>
                          <w:sz w:val="20"/>
                          <w:szCs w:val="20"/>
                          <w:shd w:val="clear" w:color="auto" w:fill="FFFFFF"/>
                        </w:rPr>
                        <w:t xml:space="preserve"> </w:t>
                      </w:r>
                      <w:hyperlink r:id="rId23" w:history="1">
                        <w:r w:rsidR="00FE10D9" w:rsidRPr="00FE10D9">
                          <w:rPr>
                            <w:rStyle w:val="Hyperlink"/>
                            <w:rFonts w:ascii="Garamond" w:hAnsi="Garamond" w:cs="Arial"/>
                            <w:sz w:val="20"/>
                            <w:szCs w:val="20"/>
                          </w:rPr>
                          <w:t>https://doi.org/10.71637/tnhj.v26i1.1008</w:t>
                        </w:r>
                      </w:hyperlink>
                    </w:p>
                    <w:p w14:paraId="65562D4D" w14:textId="2F1D1E42" w:rsidR="00576722" w:rsidRPr="00FE10D9" w:rsidRDefault="00576722" w:rsidP="00FE10D9">
                      <w:pPr>
                        <w:pBdr>
                          <w:bottom w:val="single" w:sz="6" w:space="1" w:color="auto"/>
                        </w:pBdr>
                        <w:rPr>
                          <w:rFonts w:ascii="Garamond" w:hAnsi="Garamond" w:cs="Segoe UI"/>
                          <w:sz w:val="20"/>
                          <w:szCs w:val="20"/>
                          <w:shd w:val="clear" w:color="auto" w:fill="FFFFFF"/>
                        </w:rPr>
                      </w:pPr>
                    </w:p>
                    <w:p w14:paraId="3FFF62E1" w14:textId="77777777" w:rsidR="006914B1" w:rsidRPr="00FE10D9" w:rsidRDefault="006914B1" w:rsidP="00FE10D9">
                      <w:pPr>
                        <w:pBdr>
                          <w:bottom w:val="single" w:sz="6" w:space="1" w:color="auto"/>
                        </w:pBdr>
                        <w:rPr>
                          <w:rFonts w:ascii="Garamond" w:hAnsi="Garamond" w:cs="Segoe UI"/>
                          <w:bCs/>
                          <w:color w:val="000000" w:themeColor="text1"/>
                          <w:sz w:val="20"/>
                          <w:szCs w:val="20"/>
                          <w:shd w:val="clear" w:color="auto" w:fill="FFFFFF"/>
                        </w:rPr>
                      </w:pPr>
                    </w:p>
                  </w:txbxContent>
                </v:textbox>
                <w10:wrap anchorx="margin"/>
              </v:shape>
            </w:pict>
          </mc:Fallback>
        </mc:AlternateContent>
      </w:r>
      <w:r w:rsidR="006732D7" w:rsidRPr="000931E7">
        <w:rPr>
          <w:rFonts w:ascii="Garamond" w:hAnsi="Garamond"/>
          <w:noProof/>
          <w:sz w:val="22"/>
          <w:szCs w:val="22"/>
        </w:rPr>
        <mc:AlternateContent>
          <mc:Choice Requires="wps">
            <w:drawing>
              <wp:anchor distT="0" distB="0" distL="114300" distR="114300" simplePos="0" relativeHeight="251660288" behindDoc="0" locked="0" layoutInCell="1" allowOverlap="1" wp14:anchorId="67CF200B" wp14:editId="100D27C8">
                <wp:simplePos x="0" y="0"/>
                <wp:positionH relativeFrom="margin">
                  <wp:align>left</wp:align>
                </wp:positionH>
                <wp:positionV relativeFrom="paragraph">
                  <wp:posOffset>10160</wp:posOffset>
                </wp:positionV>
                <wp:extent cx="3124200" cy="942975"/>
                <wp:effectExtent l="0" t="0" r="19050" b="28575"/>
                <wp:wrapNone/>
                <wp:docPr id="12" name="Text Box 12"/>
                <wp:cNvGraphicFramePr/>
                <a:graphic xmlns:a="http://schemas.openxmlformats.org/drawingml/2006/main">
                  <a:graphicData uri="http://schemas.microsoft.com/office/word/2010/wordprocessingShape">
                    <wps:wsp>
                      <wps:cNvSpPr txBox="1"/>
                      <wps:spPr>
                        <a:xfrm>
                          <a:off x="0" y="0"/>
                          <a:ext cx="3124200" cy="942975"/>
                        </a:xfrm>
                        <a:prstGeom prst="rect">
                          <a:avLst/>
                        </a:prstGeom>
                        <a:solidFill>
                          <a:sysClr val="window" lastClr="FFFFFF"/>
                        </a:solidFill>
                        <a:ln w="6350">
                          <a:solidFill>
                            <a:prstClr val="black"/>
                          </a:solidFill>
                        </a:ln>
                        <a:effectLst/>
                      </wps:spPr>
                      <wps:txbx>
                        <w:txbxContent>
                          <w:p w14:paraId="4381353E" w14:textId="77777777" w:rsidR="006914B1" w:rsidRPr="00F26F9E" w:rsidRDefault="006914B1" w:rsidP="006732D7">
                            <w:pPr>
                              <w:jc w:val="both"/>
                              <w:rPr>
                                <w:rFonts w:ascii="Garamond" w:hAnsi="Garamond"/>
                                <w:sz w:val="20"/>
                                <w:szCs w:val="20"/>
                              </w:rPr>
                            </w:pPr>
                            <w:r w:rsidRPr="00F26F9E">
                              <w:rPr>
                                <w:rFonts w:ascii="Garamond" w:hAnsi="Garamond" w:cs="Segoe UI"/>
                                <w:sz w:val="20"/>
                                <w:szCs w:val="20"/>
                                <w:shd w:val="clear" w:color="auto" w:fill="FFFFFF"/>
                              </w:rPr>
                              <w:t xml:space="preserve">This is an open access journal and articles are distributed under the terms of the </w:t>
                            </w:r>
                            <w:hyperlink r:id="rId24" w:history="1">
                              <w:r w:rsidRPr="00F26F9E">
                                <w:rPr>
                                  <w:rStyle w:val="Hyperlink"/>
                                  <w:rFonts w:ascii="Garamond" w:hAnsi="Garamond" w:cs="Segoe UI"/>
                                  <w:color w:val="auto"/>
                                  <w:sz w:val="20"/>
                                  <w:szCs w:val="20"/>
                                  <w:u w:val="none"/>
                                  <w:shd w:val="clear" w:color="auto" w:fill="FFFFFF"/>
                                </w:rPr>
                                <w:t>Creative Commons Attribution License</w:t>
                              </w:r>
                            </w:hyperlink>
                            <w:r w:rsidRPr="00F26F9E">
                              <w:rPr>
                                <w:rFonts w:ascii="Garamond" w:hAnsi="Garamond" w:cs="Segoe UI"/>
                                <w:sz w:val="20"/>
                                <w:szCs w:val="20"/>
                                <w:shd w:val="clear" w:color="auto" w:fill="FFFFFF"/>
                              </w:rPr>
                              <w:t xml:space="preserve"> (Attribution</w:t>
                            </w:r>
                            <w:r>
                              <w:rPr>
                                <w:rFonts w:ascii="Garamond" w:hAnsi="Garamond" w:cs="Segoe UI"/>
                                <w:sz w:val="20"/>
                                <w:szCs w:val="20"/>
                                <w:shd w:val="clear" w:color="auto" w:fill="FFFFFF"/>
                              </w:rPr>
                              <w:t xml:space="preserve">, Non-Commercial, </w:t>
                            </w:r>
                            <w:proofErr w:type="spellStart"/>
                            <w:r>
                              <w:rPr>
                                <w:rFonts w:ascii="Garamond" w:hAnsi="Garamond" w:cs="Segoe UI"/>
                                <w:sz w:val="20"/>
                                <w:szCs w:val="20"/>
                                <w:shd w:val="clear" w:color="auto" w:fill="FFFFFF"/>
                              </w:rPr>
                              <w:t>ShareAlike</w:t>
                            </w:r>
                            <w:proofErr w:type="spellEnd"/>
                            <w:r w:rsidRPr="00F26F9E">
                              <w:rPr>
                                <w:rFonts w:ascii="Garamond" w:hAnsi="Garamond" w:cs="Segoe UI"/>
                                <w:sz w:val="20"/>
                                <w:szCs w:val="20"/>
                                <w:shd w:val="clear" w:color="auto" w:fill="FFFFFF"/>
                              </w:rPr>
                              <w:t>” 4.0) - (</w:t>
                            </w:r>
                            <w:r w:rsidRPr="00F26F9E">
                              <w:rPr>
                                <w:rStyle w:val="Emphasis"/>
                                <w:rFonts w:ascii="Garamond" w:hAnsi="Garamond" w:cs="Segoe UI"/>
                                <w:sz w:val="20"/>
                                <w:szCs w:val="20"/>
                                <w:shd w:val="clear" w:color="auto" w:fill="FFFFFF"/>
                              </w:rPr>
                              <w:t>CC</w:t>
                            </w:r>
                            <w:r>
                              <w:rPr>
                                <w:rFonts w:ascii="Garamond" w:hAnsi="Garamond" w:cs="Segoe UI"/>
                                <w:sz w:val="20"/>
                                <w:szCs w:val="20"/>
                                <w:shd w:val="clear" w:color="auto" w:fill="FFFFFF"/>
                              </w:rPr>
                              <w:t> BY-NC-SA</w:t>
                            </w:r>
                            <w:r w:rsidRPr="00F26F9E">
                              <w:rPr>
                                <w:rFonts w:ascii="Garamond" w:hAnsi="Garamond" w:cs="Segoe UI"/>
                                <w:sz w:val="20"/>
                                <w:szCs w:val="20"/>
                                <w:shd w:val="clear" w:color="auto" w:fill="FFFFFF"/>
                              </w:rPr>
                              <w:t xml:space="preserve"> 4.0) that allows others to share the work with an acknowledgement of the work's authorship and initial publication in this journal.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F200B" id="Text Box 12" o:spid="_x0000_s1027" type="#_x0000_t202" style="position:absolute;left:0;text-align:left;margin-left:0;margin-top:.8pt;width:246pt;height:74.2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" fillcolor="window" strokeweight=".5pt">
                <v:textbox>
                  <w:txbxContent>
                    <w:p w14:paraId="4381353E" w14:textId="77777777" w:rsidR="006914B1" w:rsidRPr="00F26F9E" w:rsidRDefault="006914B1" w:rsidP="006732D7">
                      <w:pPr>
                        <w:jc w:val="both"/>
                        <w:rPr>
                          <w:rFonts w:ascii="Garamond" w:hAnsi="Garamond"/>
                          <w:sz w:val="20"/>
                          <w:szCs w:val="20"/>
                        </w:rPr>
                      </w:pPr>
                      <w:r w:rsidRPr="00F26F9E">
                        <w:rPr>
                          <w:rFonts w:ascii="Garamond" w:hAnsi="Garamond" w:cs="Segoe UI"/>
                          <w:sz w:val="20"/>
                          <w:szCs w:val="20"/>
                          <w:shd w:val="clear" w:color="auto" w:fill="FFFFFF"/>
                        </w:rPr>
                        <w:t xml:space="preserve">This is an open access journal and articles are distributed under the terms of the </w:t>
                      </w:r>
                      <w:hyperlink r:id="rId25" w:history="1">
                        <w:r w:rsidRPr="00F26F9E">
                          <w:rPr>
                            <w:rStyle w:val="Hyperlink"/>
                            <w:rFonts w:ascii="Garamond" w:hAnsi="Garamond" w:cs="Segoe UI"/>
                            <w:color w:val="auto"/>
                            <w:sz w:val="20"/>
                            <w:szCs w:val="20"/>
                            <w:u w:val="none"/>
                            <w:shd w:val="clear" w:color="auto" w:fill="FFFFFF"/>
                          </w:rPr>
                          <w:t>Creative Commons Attribution License</w:t>
                        </w:r>
                      </w:hyperlink>
                      <w:r w:rsidRPr="00F26F9E">
                        <w:rPr>
                          <w:rFonts w:ascii="Garamond" w:hAnsi="Garamond" w:cs="Segoe UI"/>
                          <w:sz w:val="20"/>
                          <w:szCs w:val="20"/>
                          <w:shd w:val="clear" w:color="auto" w:fill="FFFFFF"/>
                        </w:rPr>
                        <w:t xml:space="preserve"> (Attribution</w:t>
                      </w:r>
                      <w:r>
                        <w:rPr>
                          <w:rFonts w:ascii="Garamond" w:hAnsi="Garamond" w:cs="Segoe UI"/>
                          <w:sz w:val="20"/>
                          <w:szCs w:val="20"/>
                          <w:shd w:val="clear" w:color="auto" w:fill="FFFFFF"/>
                        </w:rPr>
                        <w:t xml:space="preserve">, Non-Commercial, </w:t>
                      </w:r>
                      <w:proofErr w:type="spellStart"/>
                      <w:r>
                        <w:rPr>
                          <w:rFonts w:ascii="Garamond" w:hAnsi="Garamond" w:cs="Segoe UI"/>
                          <w:sz w:val="20"/>
                          <w:szCs w:val="20"/>
                          <w:shd w:val="clear" w:color="auto" w:fill="FFFFFF"/>
                        </w:rPr>
                        <w:t>ShareAlike</w:t>
                      </w:r>
                      <w:proofErr w:type="spellEnd"/>
                      <w:r w:rsidRPr="00F26F9E">
                        <w:rPr>
                          <w:rFonts w:ascii="Garamond" w:hAnsi="Garamond" w:cs="Segoe UI"/>
                          <w:sz w:val="20"/>
                          <w:szCs w:val="20"/>
                          <w:shd w:val="clear" w:color="auto" w:fill="FFFFFF"/>
                        </w:rPr>
                        <w:t>” 4.0) - (</w:t>
                      </w:r>
                      <w:r w:rsidRPr="00F26F9E">
                        <w:rPr>
                          <w:rStyle w:val="Emphasis"/>
                          <w:rFonts w:ascii="Garamond" w:hAnsi="Garamond" w:cs="Segoe UI"/>
                          <w:sz w:val="20"/>
                          <w:szCs w:val="20"/>
                          <w:shd w:val="clear" w:color="auto" w:fill="FFFFFF"/>
                        </w:rPr>
                        <w:t>CC</w:t>
                      </w:r>
                      <w:r>
                        <w:rPr>
                          <w:rFonts w:ascii="Garamond" w:hAnsi="Garamond" w:cs="Segoe UI"/>
                          <w:sz w:val="20"/>
                          <w:szCs w:val="20"/>
                          <w:shd w:val="clear" w:color="auto" w:fill="FFFFFF"/>
                        </w:rPr>
                        <w:t> BY-NC-SA</w:t>
                      </w:r>
                      <w:r w:rsidRPr="00F26F9E">
                        <w:rPr>
                          <w:rFonts w:ascii="Garamond" w:hAnsi="Garamond" w:cs="Segoe UI"/>
                          <w:sz w:val="20"/>
                          <w:szCs w:val="20"/>
                          <w:shd w:val="clear" w:color="auto" w:fill="FFFFFF"/>
                        </w:rPr>
                        <w:t xml:space="preserve"> 4.0) that allows others to share the work with an acknowledgement of the work's authorship and initial publication in this journal.</w:t>
                      </w:r>
                    </w:p>
                  </w:txbxContent>
                </v:textbox>
                <w10:wrap anchorx="margin"/>
              </v:shape>
            </w:pict>
          </mc:Fallback>
        </mc:AlternateContent>
      </w:r>
    </w:p>
    <w:p w14:paraId="72E150ED" w14:textId="04332D73" w:rsidR="000720E5" w:rsidRDefault="00117B5F" w:rsidP="000720E5">
      <w:pPr>
        <w:spacing w:line="259" w:lineRule="auto"/>
        <w:rPr>
          <w:rFonts w:ascii="Garamond" w:hAnsi="Garamond"/>
          <w:b/>
          <w:sz w:val="22"/>
          <w:szCs w:val="22"/>
        </w:rPr>
      </w:pPr>
      <w:r w:rsidRPr="00AE20C5">
        <w:rPr>
          <w:rFonts w:ascii="Garamond" w:hAnsi="Garamond"/>
          <w:b/>
          <w:sz w:val="22"/>
          <w:szCs w:val="22"/>
        </w:rPr>
        <w:lastRenderedPageBreak/>
        <w:t>INTRODUCTION</w:t>
      </w:r>
    </w:p>
    <w:p w14:paraId="0285C309" w14:textId="58F816FD" w:rsidR="000720E5" w:rsidRPr="000720E5" w:rsidRDefault="000720E5" w:rsidP="000720E5">
      <w:pPr>
        <w:spacing w:line="259" w:lineRule="auto"/>
        <w:rPr>
          <w:rFonts w:ascii="Garamond" w:hAnsi="Garamond"/>
          <w:b/>
          <w:sz w:val="22"/>
          <w:szCs w:val="22"/>
        </w:rPr>
        <w:sectPr w:rsidR="000720E5" w:rsidRPr="000720E5" w:rsidSect="00251782">
          <w:pgSz w:w="12240" w:h="15840"/>
          <w:pgMar w:top="1440" w:right="1440" w:bottom="1440" w:left="1440" w:header="720" w:footer="720" w:gutter="0"/>
          <w:cols w:num="2" w:space="720"/>
          <w:titlePg/>
          <w:docGrid w:linePitch="360"/>
        </w:sectPr>
      </w:pPr>
    </w:p>
    <w:p w14:paraId="04A2F26C" w14:textId="5089516F" w:rsidR="00717A72" w:rsidRDefault="00AD7D44" w:rsidP="00AD7D44">
      <w:pPr>
        <w:spacing w:line="259" w:lineRule="auto"/>
        <w:jc w:val="both"/>
        <w:rPr>
          <w:rFonts w:ascii="Garamond" w:hAnsi="Garamond"/>
          <w:bCs/>
          <w:iCs/>
          <w:sz w:val="20"/>
          <w:szCs w:val="20"/>
        </w:rPr>
      </w:pPr>
      <w:r w:rsidRPr="00AD7D44">
        <w:rPr>
          <w:rFonts w:ascii="Garamond" w:hAnsi="Garamond"/>
          <w:bCs/>
          <w:iCs/>
          <w:sz w:val="20"/>
          <w:szCs w:val="20"/>
        </w:rPr>
        <w:t xml:space="preserve">Malaria, caused predominantly by </w:t>
      </w:r>
      <w:r w:rsidRPr="00AD7D44">
        <w:rPr>
          <w:rFonts w:ascii="Garamond" w:hAnsi="Garamond"/>
          <w:bCs/>
          <w:i/>
          <w:iCs/>
          <w:sz w:val="20"/>
          <w:szCs w:val="20"/>
        </w:rPr>
        <w:t>Plasmodium falciparum</w:t>
      </w:r>
      <w:r w:rsidRPr="00AD7D44">
        <w:rPr>
          <w:rFonts w:ascii="Garamond" w:hAnsi="Garamond"/>
          <w:bCs/>
          <w:iCs/>
          <w:sz w:val="20"/>
          <w:szCs w:val="20"/>
        </w:rPr>
        <w:t xml:space="preserve"> and </w:t>
      </w:r>
      <w:r w:rsidRPr="00AD7D44">
        <w:rPr>
          <w:rFonts w:ascii="Garamond" w:hAnsi="Garamond"/>
          <w:bCs/>
          <w:i/>
          <w:iCs/>
          <w:sz w:val="20"/>
          <w:szCs w:val="20"/>
        </w:rPr>
        <w:t>Plasmodium vivax</w:t>
      </w:r>
      <w:r w:rsidRPr="00AD7D44">
        <w:rPr>
          <w:rFonts w:ascii="Garamond" w:hAnsi="Garamond"/>
          <w:bCs/>
          <w:iCs/>
          <w:sz w:val="20"/>
          <w:szCs w:val="20"/>
        </w:rPr>
        <w:t xml:space="preserve"> parasites, remains a formidable global health challenge, particularly affecting populations in tropical and subtropical regions.</w:t>
      </w:r>
      <w:r w:rsidRPr="00AD7D44">
        <w:rPr>
          <w:rFonts w:ascii="Garamond" w:hAnsi="Garamond"/>
          <w:bCs/>
          <w:iCs/>
          <w:sz w:val="20"/>
          <w:szCs w:val="20"/>
          <w:vertAlign w:val="superscript"/>
        </w:rPr>
        <w:t>1</w:t>
      </w:r>
      <w:r w:rsidRPr="00AD7D44">
        <w:rPr>
          <w:rFonts w:ascii="Garamond" w:hAnsi="Garamond"/>
          <w:bCs/>
          <w:iCs/>
          <w:sz w:val="20"/>
          <w:szCs w:val="20"/>
        </w:rPr>
        <w:t xml:space="preserve"> It is estimated that in 2020 alone, there were approximately 241 million cases of malaria worldwide, leading to nearly 627,000 deaths, with children under the age of five and pregnant women being the most vulnerable groups</w:t>
      </w:r>
      <w:r w:rsidRPr="00AD7D44">
        <w:rPr>
          <w:rFonts w:ascii="Garamond" w:hAnsi="Garamond"/>
          <w:bCs/>
          <w:iCs/>
          <w:sz w:val="20"/>
          <w:szCs w:val="20"/>
          <w:vertAlign w:val="superscript"/>
        </w:rPr>
        <w:t>2</w:t>
      </w:r>
      <w:r w:rsidRPr="00AD7D44">
        <w:rPr>
          <w:rFonts w:ascii="Garamond" w:hAnsi="Garamond"/>
          <w:bCs/>
          <w:iCs/>
          <w:sz w:val="20"/>
          <w:szCs w:val="20"/>
        </w:rPr>
        <w:t>. The disease manifests with symptoms such as fever, chills, headache, and in severe cases, it can progress to complications like cerebral malaria, severe anemia, and organ failure.</w:t>
      </w:r>
      <w:r w:rsidRPr="00AD7D44">
        <w:rPr>
          <w:rFonts w:ascii="Garamond" w:hAnsi="Garamond"/>
          <w:bCs/>
          <w:iCs/>
          <w:sz w:val="20"/>
          <w:szCs w:val="20"/>
          <w:vertAlign w:val="superscript"/>
        </w:rPr>
        <w:t>3</w:t>
      </w:r>
    </w:p>
    <w:p w14:paraId="566BCC53" w14:textId="5211CA14" w:rsidR="00717A72" w:rsidRDefault="00AD7D44" w:rsidP="00AD7D44">
      <w:pPr>
        <w:spacing w:line="259" w:lineRule="auto"/>
        <w:jc w:val="both"/>
        <w:rPr>
          <w:rFonts w:ascii="Garamond" w:hAnsi="Garamond"/>
          <w:bCs/>
          <w:iCs/>
          <w:sz w:val="20"/>
          <w:szCs w:val="20"/>
        </w:rPr>
      </w:pPr>
      <w:r w:rsidRPr="00AD7D44">
        <w:rPr>
          <w:rFonts w:ascii="Garamond" w:hAnsi="Garamond"/>
          <w:bCs/>
          <w:iCs/>
          <w:sz w:val="20"/>
          <w:szCs w:val="20"/>
        </w:rPr>
        <w:t>The battle against malaria has been historically challenged by the development and spread of drug-resistant strains of Plasmodium parasites, which has rendered several frontline antimalarial drugs less effective over time.</w:t>
      </w:r>
      <w:r w:rsidRPr="00AD7D44">
        <w:rPr>
          <w:rFonts w:ascii="Garamond" w:hAnsi="Garamond"/>
          <w:bCs/>
          <w:iCs/>
          <w:sz w:val="20"/>
          <w:szCs w:val="20"/>
          <w:vertAlign w:val="superscript"/>
        </w:rPr>
        <w:t>4</w:t>
      </w:r>
      <w:r w:rsidRPr="00AD7D44">
        <w:rPr>
          <w:rFonts w:ascii="Garamond" w:hAnsi="Garamond"/>
          <w:bCs/>
          <w:iCs/>
          <w:sz w:val="20"/>
          <w:szCs w:val="20"/>
        </w:rPr>
        <w:t xml:space="preserve"> The emergence of resistance to artemisinin-based combination therapies (ACTs), the current gold standard for malaria treatment, poses a critical threat to global efforts to control and eliminate the disease</w:t>
      </w:r>
      <w:r w:rsidR="00440E6B">
        <w:rPr>
          <w:rFonts w:ascii="Garamond" w:hAnsi="Garamond"/>
          <w:bCs/>
          <w:iCs/>
          <w:sz w:val="20"/>
          <w:szCs w:val="20"/>
        </w:rPr>
        <w:t>.</w:t>
      </w:r>
      <w:r w:rsidRPr="00AD7D44">
        <w:rPr>
          <w:rFonts w:ascii="Garamond" w:hAnsi="Garamond"/>
          <w:bCs/>
          <w:iCs/>
          <w:sz w:val="20"/>
          <w:szCs w:val="20"/>
          <w:vertAlign w:val="superscript"/>
        </w:rPr>
        <w:t>5</w:t>
      </w:r>
      <w:r w:rsidRPr="00AD7D44">
        <w:rPr>
          <w:rFonts w:ascii="Garamond" w:hAnsi="Garamond"/>
          <w:bCs/>
          <w:iCs/>
          <w:sz w:val="20"/>
          <w:szCs w:val="20"/>
        </w:rPr>
        <w:t xml:space="preserve"> Consequently, there is an urgent need to explore alternative therapeutic approaches and discover new antimalarial agents to combat drug-resistant malaria.</w:t>
      </w:r>
      <w:r w:rsidRPr="00AD7D44">
        <w:rPr>
          <w:rFonts w:ascii="Garamond" w:hAnsi="Garamond"/>
          <w:bCs/>
          <w:iCs/>
          <w:sz w:val="20"/>
          <w:szCs w:val="20"/>
          <w:vertAlign w:val="superscript"/>
        </w:rPr>
        <w:t>6</w:t>
      </w:r>
    </w:p>
    <w:p w14:paraId="075FAE8A" w14:textId="6C098BF0" w:rsidR="00717A72" w:rsidRDefault="00AD7D44" w:rsidP="00AD7D44">
      <w:pPr>
        <w:spacing w:line="259" w:lineRule="auto"/>
        <w:jc w:val="both"/>
        <w:rPr>
          <w:rFonts w:ascii="Garamond" w:hAnsi="Garamond"/>
          <w:bCs/>
          <w:iCs/>
          <w:sz w:val="20"/>
          <w:szCs w:val="20"/>
        </w:rPr>
      </w:pPr>
      <w:r w:rsidRPr="00AD7D44">
        <w:rPr>
          <w:rFonts w:ascii="Garamond" w:hAnsi="Garamond"/>
          <w:bCs/>
          <w:iCs/>
          <w:sz w:val="20"/>
          <w:szCs w:val="20"/>
        </w:rPr>
        <w:t>Phytoconstituents, bioactive compounds derived from plants, have been integral to traditional medicine systems in malaria-endemic regions for centuries.</w:t>
      </w:r>
      <w:r w:rsidRPr="00AD7D44">
        <w:rPr>
          <w:rFonts w:ascii="Garamond" w:hAnsi="Garamond"/>
          <w:bCs/>
          <w:iCs/>
          <w:sz w:val="20"/>
          <w:szCs w:val="20"/>
          <w:vertAlign w:val="superscript"/>
        </w:rPr>
        <w:t>7</w:t>
      </w:r>
      <w:r w:rsidRPr="00AD7D44">
        <w:rPr>
          <w:rFonts w:ascii="Garamond" w:hAnsi="Garamond"/>
          <w:bCs/>
          <w:iCs/>
          <w:sz w:val="20"/>
          <w:szCs w:val="20"/>
        </w:rPr>
        <w:t xml:space="preserve"> These compounds exhibit a wide range of chemical structures and biological activities, including antimalarial properties. Many traditional remedies, such as extracts from </w:t>
      </w:r>
      <w:r w:rsidRPr="00AD7D44">
        <w:rPr>
          <w:rFonts w:ascii="Garamond" w:hAnsi="Garamond"/>
          <w:bCs/>
          <w:i/>
          <w:iCs/>
          <w:sz w:val="20"/>
          <w:szCs w:val="20"/>
        </w:rPr>
        <w:t>Artemisia annua</w:t>
      </w:r>
      <w:r w:rsidRPr="00AD7D44">
        <w:rPr>
          <w:rFonts w:ascii="Garamond" w:hAnsi="Garamond"/>
          <w:bCs/>
          <w:iCs/>
          <w:sz w:val="20"/>
          <w:szCs w:val="20"/>
        </w:rPr>
        <w:t xml:space="preserve"> (the source of artemisinin) and Cinchona bark (quinine), have served as the basis for modern antimalarial drugs</w:t>
      </w:r>
      <w:r w:rsidR="00440E6B">
        <w:rPr>
          <w:rFonts w:ascii="Garamond" w:hAnsi="Garamond"/>
          <w:bCs/>
          <w:iCs/>
          <w:sz w:val="20"/>
          <w:szCs w:val="20"/>
        </w:rPr>
        <w:t>.</w:t>
      </w:r>
      <w:r w:rsidRPr="00AD7D44">
        <w:rPr>
          <w:rFonts w:ascii="Garamond" w:hAnsi="Garamond"/>
          <w:bCs/>
          <w:iCs/>
          <w:sz w:val="20"/>
          <w:szCs w:val="20"/>
          <w:vertAlign w:val="superscript"/>
        </w:rPr>
        <w:t>8</w:t>
      </w:r>
      <w:r w:rsidRPr="00AD7D44">
        <w:rPr>
          <w:rFonts w:ascii="Garamond" w:hAnsi="Garamond"/>
          <w:bCs/>
          <w:iCs/>
          <w:sz w:val="20"/>
          <w:szCs w:val="20"/>
        </w:rPr>
        <w:t xml:space="preserve"> The rich biodiversity of plant species offers a vast reservoir of phytoconstituents that could potentially serve as sources of new antimalarial therapies</w:t>
      </w:r>
      <w:r w:rsidR="00440E6B">
        <w:rPr>
          <w:rFonts w:ascii="Garamond" w:hAnsi="Garamond"/>
          <w:bCs/>
          <w:iCs/>
          <w:sz w:val="20"/>
          <w:szCs w:val="20"/>
        </w:rPr>
        <w:t>.</w:t>
      </w:r>
      <w:r w:rsidRPr="00AD7D44">
        <w:rPr>
          <w:rFonts w:ascii="Garamond" w:hAnsi="Garamond"/>
          <w:bCs/>
          <w:iCs/>
          <w:sz w:val="20"/>
          <w:szCs w:val="20"/>
          <w:vertAlign w:val="superscript"/>
        </w:rPr>
        <w:t>9</w:t>
      </w:r>
    </w:p>
    <w:p w14:paraId="285E1A81" w14:textId="07CA54F0" w:rsidR="00AD7D44" w:rsidRPr="00AD7D44" w:rsidRDefault="00AD7D44" w:rsidP="00AD7D44">
      <w:pPr>
        <w:spacing w:line="259" w:lineRule="auto"/>
        <w:jc w:val="both"/>
        <w:rPr>
          <w:rFonts w:ascii="Garamond" w:hAnsi="Garamond"/>
          <w:bCs/>
          <w:iCs/>
          <w:sz w:val="20"/>
          <w:szCs w:val="20"/>
        </w:rPr>
      </w:pPr>
      <w:r w:rsidRPr="00AD7D44">
        <w:rPr>
          <w:rFonts w:ascii="Garamond" w:hAnsi="Garamond"/>
          <w:bCs/>
          <w:iCs/>
          <w:sz w:val="20"/>
          <w:szCs w:val="20"/>
        </w:rPr>
        <w:t>Advancements in computational techniques, particularly network pharmacology and molecular modeling, provide powerful tools for accelerating the discovery and validation of phytoconstituents with antimalarial activity. Network pharmacology integrates bioinformatics, cheminformatics, and systems biology to elucidate complex interactions between phytoconstituents and biological targets within the parasite. This approach helps identify key pathways and targets crucial for the parasite's survival, thereby guiding the selection of potential drug candidates</w:t>
      </w:r>
      <w:r w:rsidR="00440E6B">
        <w:rPr>
          <w:rFonts w:ascii="Garamond" w:hAnsi="Garamond"/>
          <w:bCs/>
          <w:iCs/>
          <w:sz w:val="20"/>
          <w:szCs w:val="20"/>
        </w:rPr>
        <w:t>.</w:t>
      </w:r>
      <w:r w:rsidRPr="00AD7D44">
        <w:rPr>
          <w:rFonts w:ascii="Garamond" w:hAnsi="Garamond"/>
          <w:bCs/>
          <w:iCs/>
          <w:sz w:val="20"/>
          <w:szCs w:val="20"/>
          <w:vertAlign w:val="superscript"/>
        </w:rPr>
        <w:t>10</w:t>
      </w:r>
    </w:p>
    <w:p w14:paraId="3AEC2963" w14:textId="782934A8" w:rsidR="00717A72" w:rsidRPr="00440E6B" w:rsidRDefault="00AD7D44" w:rsidP="00AD7D44">
      <w:pPr>
        <w:spacing w:line="259" w:lineRule="auto"/>
        <w:jc w:val="both"/>
        <w:rPr>
          <w:rFonts w:ascii="Garamond" w:hAnsi="Garamond"/>
          <w:bCs/>
          <w:iCs/>
          <w:sz w:val="20"/>
          <w:szCs w:val="20"/>
          <w:vertAlign w:val="superscript"/>
        </w:rPr>
      </w:pPr>
      <w:r w:rsidRPr="00AD7D44">
        <w:rPr>
          <w:rFonts w:ascii="Garamond" w:hAnsi="Garamond"/>
          <w:bCs/>
          <w:iCs/>
          <w:sz w:val="20"/>
          <w:szCs w:val="20"/>
        </w:rPr>
        <w:t xml:space="preserve">Molecular modeling techniques, such as molecular docking, enable the prediction of binding interactions </w:t>
      </w:r>
      <w:r w:rsidRPr="00AD7D44">
        <w:rPr>
          <w:rFonts w:ascii="Garamond" w:hAnsi="Garamond"/>
          <w:bCs/>
          <w:iCs/>
          <w:sz w:val="20"/>
          <w:szCs w:val="20"/>
        </w:rPr>
        <w:t>between phytoconstituents and specific Plasmodium proteins or enzymes involved in essential metabolic pathways. This computational approach facilitates the rational design and optimization of phytoconstituents with enhanced efficacy and selectivity against drug-resistant malaria strains.</w:t>
      </w:r>
      <w:r w:rsidRPr="00AD7D44">
        <w:rPr>
          <w:rFonts w:ascii="Garamond" w:hAnsi="Garamond"/>
          <w:bCs/>
          <w:iCs/>
          <w:sz w:val="20"/>
          <w:szCs w:val="20"/>
          <w:vertAlign w:val="superscript"/>
        </w:rPr>
        <w:t>10,11</w:t>
      </w:r>
    </w:p>
    <w:p w14:paraId="4CB876F6" w14:textId="7A3AC032" w:rsidR="00AD7D44" w:rsidRPr="00AD7D44" w:rsidRDefault="00AD7D44" w:rsidP="00AD7D44">
      <w:pPr>
        <w:spacing w:line="259" w:lineRule="auto"/>
        <w:jc w:val="both"/>
        <w:rPr>
          <w:rFonts w:ascii="Garamond" w:hAnsi="Garamond"/>
          <w:bCs/>
          <w:iCs/>
          <w:sz w:val="20"/>
          <w:szCs w:val="20"/>
        </w:rPr>
      </w:pPr>
      <w:r w:rsidRPr="00AD7D44">
        <w:rPr>
          <w:rFonts w:ascii="Garamond" w:hAnsi="Garamond"/>
          <w:bCs/>
          <w:iCs/>
          <w:sz w:val="20"/>
          <w:szCs w:val="20"/>
        </w:rPr>
        <w:t>This study aims to harness the synergistic potential of network pharmacology and molecular modeling to systematically identify and validate phytoconstituents with promising antimalarial properties. By integrating computational predictions with experimental validation, this approach seeks to accelerate the discovery of novel antimalarial agents, potentially offering new therapeutic options to combat malaria and contribute to global health initiatives aimed at malaria elimination.</w:t>
      </w:r>
    </w:p>
    <w:p w14:paraId="5BB89042"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Cs/>
          <w:sz w:val="20"/>
          <w:szCs w:val="20"/>
        </w:rPr>
        <w:t>In summary, the exploration of phytoconstituents as antimalarial agents represents a promising avenue for drug discovery, leveraging traditional knowledge with cutting-edge computational methodologies. This integrative approach holds the potential to address the challenges posed by drug-resistant malaria and advance the development of effective therapies for malaria-endemic regions worldwide.</w:t>
      </w:r>
    </w:p>
    <w:p w14:paraId="447DF92A" w14:textId="77777777" w:rsidR="00717A72" w:rsidRDefault="00717A72" w:rsidP="00AD7D44">
      <w:pPr>
        <w:spacing w:line="259" w:lineRule="auto"/>
        <w:jc w:val="both"/>
        <w:rPr>
          <w:rFonts w:ascii="Garamond" w:hAnsi="Garamond"/>
          <w:b/>
          <w:bCs/>
          <w:iCs/>
          <w:sz w:val="20"/>
          <w:szCs w:val="20"/>
        </w:rPr>
      </w:pPr>
    </w:p>
    <w:p w14:paraId="52832C76" w14:textId="10FC921C" w:rsidR="00AD7D44" w:rsidRPr="00AD7D44" w:rsidRDefault="00AD7D44" w:rsidP="00AD7D44">
      <w:pPr>
        <w:spacing w:line="259" w:lineRule="auto"/>
        <w:jc w:val="both"/>
        <w:rPr>
          <w:rFonts w:ascii="Garamond" w:hAnsi="Garamond"/>
          <w:b/>
          <w:bCs/>
          <w:iCs/>
          <w:sz w:val="22"/>
          <w:szCs w:val="22"/>
        </w:rPr>
      </w:pPr>
      <w:r w:rsidRPr="00AD7D44">
        <w:rPr>
          <w:rFonts w:ascii="Garamond" w:hAnsi="Garamond"/>
          <w:b/>
          <w:bCs/>
          <w:iCs/>
          <w:sz w:val="22"/>
          <w:szCs w:val="22"/>
        </w:rPr>
        <w:t>MATERIALS AND METHODS</w:t>
      </w:r>
    </w:p>
    <w:p w14:paraId="0D4D87B5"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
          <w:bCs/>
          <w:iCs/>
          <w:sz w:val="20"/>
          <w:szCs w:val="20"/>
        </w:rPr>
        <w:t>Identification of Botanicals and Phytoconstituents</w:t>
      </w:r>
    </w:p>
    <w:p w14:paraId="581B9715" w14:textId="5FD5F715" w:rsidR="00717A72" w:rsidRPr="00440E6B"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Literature Review:</w:t>
      </w:r>
      <w:r w:rsidRPr="00AD7D44">
        <w:rPr>
          <w:rFonts w:ascii="Garamond" w:hAnsi="Garamond"/>
          <w:bCs/>
          <w:iCs/>
          <w:sz w:val="20"/>
          <w:szCs w:val="20"/>
        </w:rPr>
        <w:t xml:space="preserve"> A comprehensive review was conducted to identify botanicals traditionally known for their antimalarial properties. The review included sources such as PubMed and traditional medicine texts, aiming to compile a list of plants and their historical uses against malaria.</w:t>
      </w:r>
      <w:r w:rsidRPr="00AD7D44">
        <w:rPr>
          <w:rFonts w:ascii="Garamond" w:hAnsi="Garamond"/>
          <w:bCs/>
          <w:iCs/>
          <w:sz w:val="20"/>
          <w:szCs w:val="20"/>
          <w:vertAlign w:val="superscript"/>
        </w:rPr>
        <w:t>11</w:t>
      </w:r>
    </w:p>
    <w:p w14:paraId="2C53D56C" w14:textId="2E74C99B" w:rsidR="00717A72" w:rsidRPr="00440E6B"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Database Search:</w:t>
      </w:r>
      <w:r w:rsidRPr="00AD7D44">
        <w:rPr>
          <w:rFonts w:ascii="Garamond" w:hAnsi="Garamond"/>
          <w:bCs/>
          <w:iCs/>
          <w:sz w:val="20"/>
          <w:szCs w:val="20"/>
        </w:rPr>
        <w:t xml:space="preserve"> Active phytoconstituents with potential antimalarial activity were retrieved from the IMPPAT (Integrated Metabolite and Plant Activities) database</w:t>
      </w:r>
      <w:r w:rsidRPr="00AD7D44">
        <w:rPr>
          <w:rFonts w:ascii="Garamond" w:hAnsi="Garamond"/>
          <w:bCs/>
          <w:iCs/>
          <w:sz w:val="20"/>
          <w:szCs w:val="20"/>
          <w:vertAlign w:val="superscript"/>
        </w:rPr>
        <w:t>12</w:t>
      </w:r>
      <w:r w:rsidRPr="00AD7D44">
        <w:rPr>
          <w:rFonts w:ascii="Garamond" w:hAnsi="Garamond"/>
          <w:bCs/>
          <w:iCs/>
          <w:sz w:val="20"/>
          <w:szCs w:val="20"/>
        </w:rPr>
        <w:t xml:space="preserve"> and Dr. Duke’s Phytochemical and Ethnobotanical Database.</w:t>
      </w:r>
      <w:r w:rsidRPr="00AD7D44">
        <w:rPr>
          <w:rFonts w:ascii="Garamond" w:hAnsi="Garamond"/>
          <w:bCs/>
          <w:iCs/>
          <w:sz w:val="20"/>
          <w:szCs w:val="20"/>
          <w:vertAlign w:val="superscript"/>
        </w:rPr>
        <w:t>13</w:t>
      </w:r>
      <w:r w:rsidRPr="00AD7D44">
        <w:rPr>
          <w:rFonts w:ascii="Garamond" w:hAnsi="Garamond"/>
          <w:bCs/>
          <w:iCs/>
          <w:sz w:val="20"/>
          <w:szCs w:val="20"/>
        </w:rPr>
        <w:t xml:space="preserve"> These databases provided structured information on the chemical composition and ethnomedicinal uses of various plant-derived compounds.</w:t>
      </w:r>
    </w:p>
    <w:p w14:paraId="0979C353" w14:textId="7CB7A578"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Chemical Structures:</w:t>
      </w:r>
      <w:r w:rsidRPr="00AD7D44">
        <w:rPr>
          <w:rFonts w:ascii="Garamond" w:hAnsi="Garamond"/>
          <w:bCs/>
          <w:iCs/>
          <w:sz w:val="20"/>
          <w:szCs w:val="20"/>
        </w:rPr>
        <w:t xml:space="preserve"> Chemical structures of the identified phytoconstituents were downloaded in SDF (Structure Data File) format from the PubChem database. This step ensured accurate representation of molecular structures for subsequent computational analyses.</w:t>
      </w:r>
    </w:p>
    <w:p w14:paraId="5BF1E707" w14:textId="77777777" w:rsidR="00717A72" w:rsidRDefault="00717A72" w:rsidP="00AD7D44">
      <w:pPr>
        <w:spacing w:line="259" w:lineRule="auto"/>
        <w:jc w:val="both"/>
        <w:rPr>
          <w:rFonts w:ascii="Garamond" w:hAnsi="Garamond"/>
          <w:b/>
          <w:bCs/>
          <w:iCs/>
          <w:sz w:val="20"/>
          <w:szCs w:val="20"/>
        </w:rPr>
      </w:pPr>
    </w:p>
    <w:p w14:paraId="1F47001A" w14:textId="272F4835" w:rsidR="00AD7D44" w:rsidRPr="00AD7D44" w:rsidRDefault="00AD7D44" w:rsidP="00AD7D44">
      <w:pPr>
        <w:spacing w:line="259" w:lineRule="auto"/>
        <w:jc w:val="both"/>
        <w:rPr>
          <w:rFonts w:ascii="Garamond" w:hAnsi="Garamond"/>
          <w:bCs/>
          <w:iCs/>
          <w:sz w:val="20"/>
          <w:szCs w:val="20"/>
        </w:rPr>
      </w:pPr>
      <w:r w:rsidRPr="00AD7D44">
        <w:rPr>
          <w:rFonts w:ascii="Garamond" w:hAnsi="Garamond"/>
          <w:b/>
          <w:bCs/>
          <w:iCs/>
          <w:sz w:val="20"/>
          <w:szCs w:val="20"/>
        </w:rPr>
        <w:t>ADMET Analysis</w:t>
      </w:r>
    </w:p>
    <w:p w14:paraId="01DB9AB9"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ADMET Properties:</w:t>
      </w:r>
      <w:r w:rsidRPr="00AD7D44">
        <w:rPr>
          <w:rFonts w:ascii="Garamond" w:hAnsi="Garamond"/>
          <w:bCs/>
          <w:iCs/>
          <w:sz w:val="20"/>
          <w:szCs w:val="20"/>
        </w:rPr>
        <w:t xml:space="preserve"> The absorption, distribution, metabolism, excretion, and toxicity (ADMET) </w:t>
      </w:r>
      <w:r w:rsidRPr="00AD7D44">
        <w:rPr>
          <w:rFonts w:ascii="Garamond" w:hAnsi="Garamond"/>
          <w:bCs/>
          <w:iCs/>
          <w:sz w:val="20"/>
          <w:szCs w:val="20"/>
        </w:rPr>
        <w:lastRenderedPageBreak/>
        <w:t>properties of the phytoconstituents were predicted using Swiss ADME a software tool designed for the rapid estimation of pharmacokinetic properties. This analysis provided insights into the likelihood of compounds to reach their targets in biological systems, as well as their potential for causing adverse effects.</w:t>
      </w:r>
    </w:p>
    <w:p w14:paraId="60CB644D" w14:textId="77777777" w:rsidR="00AD7D44" w:rsidRPr="00AD7D44" w:rsidRDefault="00AD7D44" w:rsidP="00AD7D44">
      <w:pPr>
        <w:spacing w:line="259" w:lineRule="auto"/>
        <w:jc w:val="both"/>
        <w:rPr>
          <w:rFonts w:ascii="Garamond" w:hAnsi="Garamond"/>
          <w:bCs/>
          <w:iCs/>
          <w:sz w:val="20"/>
          <w:szCs w:val="20"/>
          <w:vertAlign w:val="superscript"/>
        </w:rPr>
      </w:pPr>
      <w:proofErr w:type="spellStart"/>
      <w:r w:rsidRPr="00AD7D44">
        <w:rPr>
          <w:rFonts w:ascii="Garamond" w:hAnsi="Garamond"/>
          <w:bCs/>
          <w:i/>
          <w:iCs/>
          <w:sz w:val="20"/>
          <w:szCs w:val="20"/>
        </w:rPr>
        <w:t>DrugLikeness</w:t>
      </w:r>
      <w:proofErr w:type="spellEnd"/>
      <w:r w:rsidRPr="00AD7D44">
        <w:rPr>
          <w:rFonts w:ascii="Garamond" w:hAnsi="Garamond"/>
          <w:bCs/>
          <w:i/>
          <w:iCs/>
          <w:sz w:val="20"/>
          <w:szCs w:val="20"/>
        </w:rPr>
        <w:t>:</w:t>
      </w:r>
      <w:r w:rsidRPr="00AD7D44">
        <w:rPr>
          <w:rFonts w:ascii="Garamond" w:hAnsi="Garamond"/>
          <w:bCs/>
          <w:iCs/>
          <w:sz w:val="20"/>
          <w:szCs w:val="20"/>
        </w:rPr>
        <w:t xml:space="preserve"> Evaluation of drug likeness was performed based on Lipinski’s rule of five, which assesses molecular properties such as molecular weight, lipophilicity, and hydrogen bond donors and acceptors. This criterion is crucial for determining whether a compound has favorable pharmacokinetic properties for oral bioavailability and minimal toxicity.</w:t>
      </w:r>
      <w:r w:rsidRPr="00AD7D44">
        <w:rPr>
          <w:rFonts w:ascii="Garamond" w:hAnsi="Garamond"/>
          <w:bCs/>
          <w:iCs/>
          <w:sz w:val="20"/>
          <w:szCs w:val="20"/>
          <w:vertAlign w:val="superscript"/>
        </w:rPr>
        <w:t>14</w:t>
      </w:r>
    </w:p>
    <w:p w14:paraId="75D3C78C"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Cs/>
          <w:sz w:val="20"/>
          <w:szCs w:val="20"/>
        </w:rPr>
        <w:t xml:space="preserve">Bioactivity predictions were performed using </w:t>
      </w:r>
      <w:proofErr w:type="spellStart"/>
      <w:r w:rsidRPr="00AD7D44">
        <w:rPr>
          <w:rFonts w:ascii="Garamond" w:hAnsi="Garamond"/>
          <w:bCs/>
          <w:iCs/>
          <w:sz w:val="20"/>
          <w:szCs w:val="20"/>
        </w:rPr>
        <w:t>SwissTargetPrediction</w:t>
      </w:r>
      <w:proofErr w:type="spellEnd"/>
      <w:r w:rsidRPr="00AD7D44">
        <w:rPr>
          <w:rFonts w:ascii="Garamond" w:hAnsi="Garamond"/>
          <w:bCs/>
          <w:iCs/>
          <w:sz w:val="20"/>
          <w:szCs w:val="20"/>
        </w:rPr>
        <w:t xml:space="preserve">, </w:t>
      </w:r>
      <w:proofErr w:type="spellStart"/>
      <w:r w:rsidRPr="00AD7D44">
        <w:rPr>
          <w:rFonts w:ascii="Garamond" w:hAnsi="Garamond"/>
          <w:bCs/>
          <w:iCs/>
          <w:sz w:val="20"/>
          <w:szCs w:val="20"/>
        </w:rPr>
        <w:t>SuperPred</w:t>
      </w:r>
      <w:proofErr w:type="spellEnd"/>
      <w:r w:rsidRPr="00AD7D44">
        <w:rPr>
          <w:rFonts w:ascii="Garamond" w:hAnsi="Garamond"/>
          <w:bCs/>
          <w:iCs/>
          <w:sz w:val="20"/>
          <w:szCs w:val="20"/>
        </w:rPr>
        <w:t xml:space="preserve">, and PASS Online to identify potential molecular targets for the selected phytoconstituents. Molecular docking with </w:t>
      </w:r>
      <w:proofErr w:type="spellStart"/>
      <w:r w:rsidRPr="00AD7D44">
        <w:rPr>
          <w:rFonts w:ascii="Garamond" w:hAnsi="Garamond"/>
          <w:bCs/>
          <w:iCs/>
          <w:sz w:val="20"/>
          <w:szCs w:val="20"/>
        </w:rPr>
        <w:t>AutoDock</w:t>
      </w:r>
      <w:proofErr w:type="spellEnd"/>
      <w:r w:rsidRPr="00AD7D44">
        <w:rPr>
          <w:rFonts w:ascii="Garamond" w:hAnsi="Garamond"/>
          <w:bCs/>
          <w:iCs/>
          <w:sz w:val="20"/>
          <w:szCs w:val="20"/>
        </w:rPr>
        <w:t xml:space="preserve"> Vina further validated key interactions, highlighting compounds with strong inhibitory potential against targets like α-glucosidase, CDK2, and </w:t>
      </w:r>
      <w:proofErr w:type="spellStart"/>
      <w:r w:rsidRPr="00AD7D44">
        <w:rPr>
          <w:rFonts w:ascii="Garamond" w:hAnsi="Garamond"/>
          <w:bCs/>
          <w:iCs/>
          <w:sz w:val="20"/>
          <w:szCs w:val="20"/>
        </w:rPr>
        <w:t>PPARγ</w:t>
      </w:r>
      <w:proofErr w:type="spellEnd"/>
    </w:p>
    <w:p w14:paraId="3F626CB9" w14:textId="77777777" w:rsidR="00717A72" w:rsidRDefault="00717A72" w:rsidP="00AD7D44">
      <w:pPr>
        <w:spacing w:line="259" w:lineRule="auto"/>
        <w:jc w:val="both"/>
        <w:rPr>
          <w:rFonts w:ascii="Garamond" w:hAnsi="Garamond"/>
          <w:b/>
          <w:bCs/>
          <w:iCs/>
          <w:sz w:val="20"/>
          <w:szCs w:val="20"/>
        </w:rPr>
      </w:pPr>
    </w:p>
    <w:p w14:paraId="589B3414" w14:textId="74DF8E49" w:rsidR="00AD7D44" w:rsidRPr="00AD7D44" w:rsidRDefault="00AD7D44" w:rsidP="00AD7D44">
      <w:pPr>
        <w:spacing w:line="259" w:lineRule="auto"/>
        <w:jc w:val="both"/>
        <w:rPr>
          <w:rFonts w:ascii="Garamond" w:hAnsi="Garamond"/>
          <w:bCs/>
          <w:iCs/>
          <w:sz w:val="20"/>
          <w:szCs w:val="20"/>
        </w:rPr>
      </w:pPr>
      <w:r w:rsidRPr="00AD7D44">
        <w:rPr>
          <w:rFonts w:ascii="Garamond" w:hAnsi="Garamond"/>
          <w:b/>
          <w:bCs/>
          <w:iCs/>
          <w:sz w:val="20"/>
          <w:szCs w:val="20"/>
        </w:rPr>
        <w:t>Identification of Targets</w:t>
      </w:r>
    </w:p>
    <w:p w14:paraId="5529C499"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 xml:space="preserve">Target Prediction: </w:t>
      </w:r>
      <w:proofErr w:type="spellStart"/>
      <w:r w:rsidRPr="00AD7D44">
        <w:rPr>
          <w:rFonts w:ascii="Garamond" w:hAnsi="Garamond"/>
          <w:bCs/>
          <w:iCs/>
          <w:sz w:val="20"/>
          <w:szCs w:val="20"/>
        </w:rPr>
        <w:t>SwissTargetPrediction</w:t>
      </w:r>
      <w:proofErr w:type="spellEnd"/>
      <w:r w:rsidRPr="00AD7D44">
        <w:rPr>
          <w:rFonts w:ascii="Garamond" w:hAnsi="Garamond"/>
          <w:bCs/>
          <w:iCs/>
          <w:sz w:val="20"/>
          <w:szCs w:val="20"/>
        </w:rPr>
        <w:t xml:space="preserve"> and </w:t>
      </w:r>
      <w:proofErr w:type="spellStart"/>
      <w:r w:rsidRPr="00AD7D44">
        <w:rPr>
          <w:rFonts w:ascii="Garamond" w:hAnsi="Garamond"/>
          <w:bCs/>
          <w:iCs/>
          <w:sz w:val="20"/>
          <w:szCs w:val="20"/>
        </w:rPr>
        <w:t>BindingDB</w:t>
      </w:r>
      <w:proofErr w:type="spellEnd"/>
      <w:r w:rsidRPr="00AD7D44">
        <w:rPr>
          <w:rFonts w:ascii="Garamond" w:hAnsi="Garamond"/>
          <w:bCs/>
          <w:iCs/>
          <w:sz w:val="20"/>
          <w:szCs w:val="20"/>
        </w:rPr>
        <w:t xml:space="preserve"> were utilized to predict potential molecular targets of the identified phytoconstituents. These computational tools employ machine learning algorithms and structural similarity approaches to suggest protein targets likely to interact with the compounds.</w:t>
      </w:r>
      <w:r w:rsidRPr="00AD7D44">
        <w:rPr>
          <w:rFonts w:ascii="Garamond" w:hAnsi="Garamond"/>
          <w:bCs/>
          <w:iCs/>
          <w:sz w:val="20"/>
          <w:szCs w:val="20"/>
          <w:vertAlign w:val="superscript"/>
        </w:rPr>
        <w:t>15</w:t>
      </w:r>
    </w:p>
    <w:p w14:paraId="3E67F98C"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Disease Targets:</w:t>
      </w:r>
      <w:r w:rsidRPr="00AD7D44">
        <w:rPr>
          <w:rFonts w:ascii="Garamond" w:hAnsi="Garamond"/>
          <w:bCs/>
          <w:iCs/>
          <w:sz w:val="20"/>
          <w:szCs w:val="20"/>
        </w:rPr>
        <w:t xml:space="preserve"> Therapeutic targets associated with malaria were retrieved from the </w:t>
      </w:r>
      <w:proofErr w:type="spellStart"/>
      <w:r w:rsidRPr="00AD7D44">
        <w:rPr>
          <w:rFonts w:ascii="Garamond" w:hAnsi="Garamond"/>
          <w:bCs/>
          <w:iCs/>
          <w:sz w:val="20"/>
          <w:szCs w:val="20"/>
        </w:rPr>
        <w:t>DisGeNET</w:t>
      </w:r>
      <w:proofErr w:type="spellEnd"/>
      <w:r w:rsidRPr="00AD7D44">
        <w:rPr>
          <w:rFonts w:ascii="Garamond" w:hAnsi="Garamond"/>
          <w:bCs/>
          <w:iCs/>
          <w:sz w:val="20"/>
          <w:szCs w:val="20"/>
        </w:rPr>
        <w:t xml:space="preserve"> database. This step facilitated the identification of key proteins and pathways within the Plasmodium parasite that are critical for its survival and replication.</w:t>
      </w:r>
      <w:r w:rsidRPr="00AD7D44">
        <w:rPr>
          <w:rFonts w:ascii="Garamond" w:hAnsi="Garamond"/>
          <w:bCs/>
          <w:iCs/>
          <w:sz w:val="20"/>
          <w:szCs w:val="20"/>
          <w:vertAlign w:val="superscript"/>
        </w:rPr>
        <w:t>16</w:t>
      </w:r>
    </w:p>
    <w:p w14:paraId="1394CDC5" w14:textId="77777777" w:rsidR="00717A72" w:rsidRDefault="00717A72" w:rsidP="00AD7D44">
      <w:pPr>
        <w:spacing w:line="259" w:lineRule="auto"/>
        <w:jc w:val="both"/>
        <w:rPr>
          <w:rFonts w:ascii="Garamond" w:hAnsi="Garamond"/>
          <w:b/>
          <w:bCs/>
          <w:iCs/>
          <w:sz w:val="20"/>
          <w:szCs w:val="20"/>
        </w:rPr>
      </w:pPr>
    </w:p>
    <w:p w14:paraId="35DD5324" w14:textId="4A64AEDA" w:rsidR="00AD7D44" w:rsidRPr="00AD7D44" w:rsidRDefault="00AD7D44" w:rsidP="00AD7D44">
      <w:pPr>
        <w:spacing w:line="259" w:lineRule="auto"/>
        <w:jc w:val="both"/>
        <w:rPr>
          <w:rFonts w:ascii="Garamond" w:hAnsi="Garamond"/>
          <w:bCs/>
          <w:iCs/>
          <w:sz w:val="20"/>
          <w:szCs w:val="20"/>
        </w:rPr>
      </w:pPr>
      <w:r w:rsidRPr="00AD7D44">
        <w:rPr>
          <w:rFonts w:ascii="Garamond" w:hAnsi="Garamond"/>
          <w:b/>
          <w:bCs/>
          <w:iCs/>
          <w:sz w:val="20"/>
          <w:szCs w:val="20"/>
        </w:rPr>
        <w:t>Network Construction and Analysis</w:t>
      </w:r>
    </w:p>
    <w:p w14:paraId="06CB5968"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Common Targets:</w:t>
      </w:r>
      <w:r w:rsidRPr="00AD7D44">
        <w:rPr>
          <w:rFonts w:ascii="Garamond" w:hAnsi="Garamond"/>
          <w:bCs/>
          <w:iCs/>
          <w:sz w:val="20"/>
          <w:szCs w:val="20"/>
        </w:rPr>
        <w:t xml:space="preserve"> The overlap between predicted targets of phytoconstituents and known malaria targets was identified using Venny, a web tool for visualizing shared elements between different datasets. This analysis highlighted potential intersections where phytoconstituents could exert antimalarial effects by targeting specific parasite proteins.</w:t>
      </w:r>
      <w:r w:rsidRPr="00AD7D44">
        <w:rPr>
          <w:rFonts w:ascii="Garamond" w:hAnsi="Garamond"/>
          <w:bCs/>
          <w:iCs/>
          <w:sz w:val="20"/>
          <w:szCs w:val="20"/>
          <w:vertAlign w:val="superscript"/>
        </w:rPr>
        <w:t>17</w:t>
      </w:r>
    </w:p>
    <w:p w14:paraId="4231AFA4"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PPI Network:</w:t>
      </w:r>
      <w:r w:rsidRPr="00AD7D44">
        <w:rPr>
          <w:rFonts w:ascii="Garamond" w:hAnsi="Garamond"/>
          <w:bCs/>
          <w:iCs/>
          <w:sz w:val="20"/>
          <w:szCs w:val="20"/>
        </w:rPr>
        <w:t xml:space="preserve"> A Protein-Protein Interaction (PPI) network was constructed using the STRING database to visualize interactions between proteins targeted by the phytoconstituents and those crucial for malaria pathogenesis. The network provided insights into the interconnectedness of biological processes and pathways influenced by the compounds.</w:t>
      </w:r>
      <w:r w:rsidRPr="00AD7D44">
        <w:rPr>
          <w:rFonts w:ascii="Garamond" w:hAnsi="Garamond"/>
          <w:bCs/>
          <w:iCs/>
          <w:sz w:val="20"/>
          <w:szCs w:val="20"/>
          <w:vertAlign w:val="superscript"/>
        </w:rPr>
        <w:t>18</w:t>
      </w:r>
    </w:p>
    <w:p w14:paraId="23E48A53" w14:textId="77777777" w:rsidR="00717A72" w:rsidRDefault="00717A72" w:rsidP="00AD7D44">
      <w:pPr>
        <w:spacing w:line="259" w:lineRule="auto"/>
        <w:jc w:val="both"/>
        <w:rPr>
          <w:rFonts w:ascii="Garamond" w:hAnsi="Garamond"/>
          <w:bCs/>
          <w:i/>
          <w:iCs/>
          <w:sz w:val="20"/>
          <w:szCs w:val="20"/>
        </w:rPr>
      </w:pPr>
    </w:p>
    <w:p w14:paraId="072BFDA6" w14:textId="6A38E636"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Topological Analysis:</w:t>
      </w:r>
      <w:r w:rsidRPr="00AD7D44">
        <w:rPr>
          <w:rFonts w:ascii="Garamond" w:hAnsi="Garamond"/>
          <w:bCs/>
          <w:iCs/>
          <w:sz w:val="20"/>
          <w:szCs w:val="20"/>
        </w:rPr>
        <w:t xml:space="preserve"> Using </w:t>
      </w:r>
      <w:proofErr w:type="spellStart"/>
      <w:r w:rsidRPr="00AD7D44">
        <w:rPr>
          <w:rFonts w:ascii="Garamond" w:hAnsi="Garamond"/>
          <w:bCs/>
          <w:iCs/>
          <w:sz w:val="20"/>
          <w:szCs w:val="20"/>
        </w:rPr>
        <w:t>Cytoscape</w:t>
      </w:r>
      <w:proofErr w:type="spellEnd"/>
      <w:r w:rsidRPr="00AD7D44">
        <w:rPr>
          <w:rFonts w:ascii="Garamond" w:hAnsi="Garamond"/>
          <w:bCs/>
          <w:iCs/>
          <w:sz w:val="20"/>
          <w:szCs w:val="20"/>
        </w:rPr>
        <w:t xml:space="preserve"> software, topological properties such as Degree Centrality (DC) and Betweenness Centrality (BC) were analyzed within the PPI network. These metrics helped identify proteins that act as central hubs (high DC) or critical bridges (high BC) within the network, potentially indicating their importance as therapeutic targets.</w:t>
      </w:r>
      <w:r w:rsidRPr="00AD7D44">
        <w:rPr>
          <w:rFonts w:ascii="Garamond" w:hAnsi="Garamond"/>
          <w:bCs/>
          <w:iCs/>
          <w:sz w:val="20"/>
          <w:szCs w:val="20"/>
          <w:vertAlign w:val="superscript"/>
        </w:rPr>
        <w:t>19</w:t>
      </w:r>
    </w:p>
    <w:p w14:paraId="0D82FAE3" w14:textId="77777777" w:rsidR="00717A72" w:rsidRDefault="00717A72" w:rsidP="00AD7D44">
      <w:pPr>
        <w:spacing w:line="259" w:lineRule="auto"/>
        <w:jc w:val="both"/>
        <w:rPr>
          <w:rFonts w:ascii="Garamond" w:hAnsi="Garamond"/>
          <w:b/>
          <w:bCs/>
          <w:iCs/>
          <w:sz w:val="20"/>
          <w:szCs w:val="20"/>
        </w:rPr>
      </w:pPr>
    </w:p>
    <w:p w14:paraId="3DAE7F54" w14:textId="119B4A6D" w:rsidR="00AD7D44" w:rsidRPr="00AD7D44" w:rsidRDefault="00AD7D44" w:rsidP="00AD7D44">
      <w:pPr>
        <w:spacing w:line="259" w:lineRule="auto"/>
        <w:jc w:val="both"/>
        <w:rPr>
          <w:rFonts w:ascii="Garamond" w:hAnsi="Garamond"/>
          <w:bCs/>
          <w:iCs/>
          <w:sz w:val="20"/>
          <w:szCs w:val="20"/>
        </w:rPr>
      </w:pPr>
      <w:r w:rsidRPr="00AD7D44">
        <w:rPr>
          <w:rFonts w:ascii="Garamond" w:hAnsi="Garamond"/>
          <w:b/>
          <w:bCs/>
          <w:iCs/>
          <w:sz w:val="20"/>
          <w:szCs w:val="20"/>
        </w:rPr>
        <w:t>Functional Enrichment Analysis</w:t>
      </w:r>
    </w:p>
    <w:p w14:paraId="6A5791EE"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Gene Ontology (GO):</w:t>
      </w:r>
      <w:r w:rsidRPr="00AD7D44">
        <w:rPr>
          <w:rFonts w:ascii="Garamond" w:hAnsi="Garamond"/>
          <w:bCs/>
          <w:iCs/>
          <w:sz w:val="20"/>
          <w:szCs w:val="20"/>
        </w:rPr>
        <w:t xml:space="preserve"> Functional enrichment analysis of biological processes and molecular functions associated with the identified targets was conducted using </w:t>
      </w:r>
      <w:proofErr w:type="spellStart"/>
      <w:r w:rsidRPr="00AD7D44">
        <w:rPr>
          <w:rFonts w:ascii="Garamond" w:hAnsi="Garamond"/>
          <w:bCs/>
          <w:iCs/>
          <w:sz w:val="20"/>
          <w:szCs w:val="20"/>
        </w:rPr>
        <w:t>ShinyGo</w:t>
      </w:r>
      <w:proofErr w:type="spellEnd"/>
      <w:r w:rsidRPr="00AD7D44">
        <w:rPr>
          <w:rFonts w:ascii="Garamond" w:hAnsi="Garamond"/>
          <w:bCs/>
          <w:iCs/>
          <w:sz w:val="20"/>
          <w:szCs w:val="20"/>
        </w:rPr>
        <w:t xml:space="preserve"> software. This analysis provided a deeper understanding of the physiological roles and regulatory mechanisms influenced by the phytoconstituents within the context of malaria infection.</w:t>
      </w:r>
    </w:p>
    <w:p w14:paraId="3C863E30"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Pathway Enrichment:</w:t>
      </w:r>
      <w:r w:rsidRPr="00AD7D44">
        <w:rPr>
          <w:rFonts w:ascii="Garamond" w:hAnsi="Garamond"/>
          <w:bCs/>
          <w:iCs/>
          <w:sz w:val="20"/>
          <w:szCs w:val="20"/>
        </w:rPr>
        <w:t xml:space="preserve"> Pathway enrichment analysis was performed using the </w:t>
      </w:r>
      <w:proofErr w:type="spellStart"/>
      <w:r w:rsidRPr="00AD7D44">
        <w:rPr>
          <w:rFonts w:ascii="Garamond" w:hAnsi="Garamond"/>
          <w:bCs/>
          <w:iCs/>
          <w:sz w:val="20"/>
          <w:szCs w:val="20"/>
        </w:rPr>
        <w:t>Reactome</w:t>
      </w:r>
      <w:proofErr w:type="spellEnd"/>
      <w:r w:rsidRPr="00AD7D44">
        <w:rPr>
          <w:rFonts w:ascii="Garamond" w:hAnsi="Garamond"/>
          <w:bCs/>
          <w:iCs/>
          <w:sz w:val="20"/>
          <w:szCs w:val="20"/>
        </w:rPr>
        <w:t xml:space="preserve"> database to identify relevant biological pathways enriched with the predicted targets. This step elucidated the specific pathways through which phytoconstituents may exert their antimalarial effects, offering mechanistic insights into their mode of action.</w:t>
      </w:r>
      <w:r w:rsidRPr="00AD7D44">
        <w:rPr>
          <w:rFonts w:ascii="Garamond" w:hAnsi="Garamond"/>
          <w:bCs/>
          <w:iCs/>
          <w:sz w:val="20"/>
          <w:szCs w:val="20"/>
          <w:vertAlign w:val="superscript"/>
        </w:rPr>
        <w:t>20</w:t>
      </w:r>
    </w:p>
    <w:p w14:paraId="7F3C6110" w14:textId="77777777" w:rsidR="00717A72" w:rsidRDefault="00717A72" w:rsidP="00AD7D44">
      <w:pPr>
        <w:spacing w:line="259" w:lineRule="auto"/>
        <w:jc w:val="both"/>
        <w:rPr>
          <w:rFonts w:ascii="Garamond" w:hAnsi="Garamond"/>
          <w:b/>
          <w:bCs/>
          <w:iCs/>
          <w:sz w:val="20"/>
          <w:szCs w:val="20"/>
        </w:rPr>
      </w:pPr>
    </w:p>
    <w:p w14:paraId="050C9268" w14:textId="3DF1C5C1" w:rsidR="00AD7D44" w:rsidRPr="00AD7D44" w:rsidRDefault="00AD7D44" w:rsidP="00AD7D44">
      <w:pPr>
        <w:spacing w:line="259" w:lineRule="auto"/>
        <w:jc w:val="both"/>
        <w:rPr>
          <w:rFonts w:ascii="Garamond" w:hAnsi="Garamond"/>
          <w:bCs/>
          <w:iCs/>
          <w:sz w:val="20"/>
          <w:szCs w:val="20"/>
        </w:rPr>
      </w:pPr>
      <w:r w:rsidRPr="00AD7D44">
        <w:rPr>
          <w:rFonts w:ascii="Garamond" w:hAnsi="Garamond"/>
          <w:b/>
          <w:bCs/>
          <w:iCs/>
          <w:sz w:val="20"/>
          <w:szCs w:val="20"/>
        </w:rPr>
        <w:t>Molecular Docking</w:t>
      </w:r>
    </w:p>
    <w:p w14:paraId="4E594086"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Preparation:</w:t>
      </w:r>
      <w:r w:rsidRPr="00AD7D44">
        <w:rPr>
          <w:rFonts w:ascii="Garamond" w:hAnsi="Garamond"/>
          <w:bCs/>
          <w:iCs/>
          <w:sz w:val="20"/>
          <w:szCs w:val="20"/>
        </w:rPr>
        <w:t xml:space="preserve"> Protein structures relevant to malaria pathogenesis and ligand structures of phytoconstituents were prepared using the CB-Dock 2 online server. This step involved optimizing the structural conformations and preparing them for molecular docking simulations.</w:t>
      </w:r>
    </w:p>
    <w:p w14:paraId="510D3CFB" w14:textId="77777777" w:rsidR="00AD7D44" w:rsidRPr="00AD7D44" w:rsidRDefault="00AD7D44" w:rsidP="00AD7D44">
      <w:pPr>
        <w:spacing w:line="259" w:lineRule="auto"/>
        <w:jc w:val="both"/>
        <w:rPr>
          <w:rFonts w:ascii="Garamond" w:hAnsi="Garamond"/>
          <w:bCs/>
          <w:iCs/>
          <w:sz w:val="20"/>
          <w:szCs w:val="20"/>
        </w:rPr>
      </w:pPr>
      <w:r w:rsidRPr="00AD7D44">
        <w:rPr>
          <w:rFonts w:ascii="Garamond" w:hAnsi="Garamond"/>
          <w:bCs/>
          <w:i/>
          <w:iCs/>
          <w:sz w:val="20"/>
          <w:szCs w:val="20"/>
        </w:rPr>
        <w:t>Docking Studies:</w:t>
      </w:r>
      <w:r w:rsidRPr="00AD7D44">
        <w:rPr>
          <w:rFonts w:ascii="Garamond" w:hAnsi="Garamond"/>
          <w:bCs/>
          <w:iCs/>
          <w:sz w:val="20"/>
          <w:szCs w:val="20"/>
        </w:rPr>
        <w:t xml:space="preserve"> Molecular docking simulations were performed to predict the binding affinities and interaction patterns between phytoconstituents and their respective protein targets. Docking scores were analyzed to prioritize compounds with high binding affinity, suggesting strong interactions that could potentially translate into therapeutic efficacy against malaria.</w:t>
      </w:r>
      <w:r w:rsidRPr="00AD7D44">
        <w:rPr>
          <w:rFonts w:ascii="Garamond" w:hAnsi="Garamond"/>
          <w:bCs/>
          <w:iCs/>
          <w:sz w:val="20"/>
          <w:szCs w:val="20"/>
          <w:vertAlign w:val="superscript"/>
        </w:rPr>
        <w:t>21</w:t>
      </w:r>
    </w:p>
    <w:p w14:paraId="1CBE22EF" w14:textId="17138641" w:rsidR="000720E5" w:rsidRDefault="000720E5" w:rsidP="003D02D5">
      <w:pPr>
        <w:spacing w:line="259" w:lineRule="auto"/>
        <w:jc w:val="both"/>
        <w:rPr>
          <w:rFonts w:ascii="Garamond" w:hAnsi="Garamond"/>
          <w:bCs/>
          <w:iCs/>
          <w:sz w:val="20"/>
          <w:szCs w:val="20"/>
        </w:rPr>
      </w:pPr>
    </w:p>
    <w:p w14:paraId="33132E5D" w14:textId="77777777" w:rsidR="008B46AE" w:rsidRDefault="008B46AE" w:rsidP="003D02D5">
      <w:pPr>
        <w:spacing w:line="259" w:lineRule="auto"/>
        <w:jc w:val="both"/>
        <w:rPr>
          <w:rFonts w:ascii="Garamond" w:hAnsi="Garamond"/>
          <w:bCs/>
          <w:iCs/>
          <w:sz w:val="20"/>
          <w:szCs w:val="20"/>
        </w:rPr>
        <w:sectPr w:rsidR="008B46AE" w:rsidSect="003D02D5">
          <w:type w:val="continuous"/>
          <w:pgSz w:w="12240" w:h="15840"/>
          <w:pgMar w:top="1440" w:right="1440" w:bottom="1440" w:left="1440" w:header="720" w:footer="720" w:gutter="0"/>
          <w:cols w:num="2" w:space="720"/>
          <w:titlePg/>
          <w:docGrid w:linePitch="360"/>
        </w:sectPr>
      </w:pPr>
    </w:p>
    <w:p w14:paraId="11F7479E"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lastRenderedPageBreak/>
        <w:t>RESULTS AND DISCUSSION</w:t>
      </w:r>
    </w:p>
    <w:p w14:paraId="56832CB3"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Phytoconstituent Identification</w:t>
      </w:r>
    </w:p>
    <w:p w14:paraId="0156A0A1"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Table 1: Identified phytoconstituents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4"/>
        <w:gridCol w:w="1969"/>
        <w:gridCol w:w="5717"/>
      </w:tblGrid>
      <w:tr w:rsidR="008B46AE" w:rsidRPr="008B46AE" w14:paraId="19667F4F" w14:textId="77777777" w:rsidTr="00117B5F">
        <w:tc>
          <w:tcPr>
            <w:tcW w:w="0" w:type="auto"/>
            <w:tcBorders>
              <w:top w:val="single" w:sz="4" w:space="0" w:color="auto"/>
              <w:bottom w:val="single" w:sz="4" w:space="0" w:color="auto"/>
            </w:tcBorders>
            <w:vAlign w:val="center"/>
            <w:hideMark/>
          </w:tcPr>
          <w:p w14:paraId="735CEC8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Plant Name</w:t>
            </w:r>
          </w:p>
        </w:tc>
        <w:tc>
          <w:tcPr>
            <w:tcW w:w="0" w:type="auto"/>
            <w:tcBorders>
              <w:top w:val="single" w:sz="4" w:space="0" w:color="auto"/>
              <w:bottom w:val="single" w:sz="4" w:space="0" w:color="auto"/>
            </w:tcBorders>
            <w:vAlign w:val="center"/>
            <w:hideMark/>
          </w:tcPr>
          <w:p w14:paraId="4EEB8935"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Phytoconstituent(s)</w:t>
            </w:r>
          </w:p>
        </w:tc>
        <w:tc>
          <w:tcPr>
            <w:tcW w:w="0" w:type="auto"/>
            <w:tcBorders>
              <w:top w:val="single" w:sz="4" w:space="0" w:color="auto"/>
              <w:bottom w:val="single" w:sz="4" w:space="0" w:color="auto"/>
            </w:tcBorders>
            <w:vAlign w:val="center"/>
            <w:hideMark/>
          </w:tcPr>
          <w:p w14:paraId="3CFB8D3F"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Documented Antimalarial Properties</w:t>
            </w:r>
          </w:p>
        </w:tc>
      </w:tr>
      <w:tr w:rsidR="008B46AE" w:rsidRPr="008B46AE" w14:paraId="59340CDA" w14:textId="77777777" w:rsidTr="00117B5F">
        <w:tc>
          <w:tcPr>
            <w:tcW w:w="0" w:type="auto"/>
            <w:tcBorders>
              <w:top w:val="single" w:sz="4" w:space="0" w:color="auto"/>
            </w:tcBorders>
            <w:vAlign w:val="center"/>
            <w:hideMark/>
          </w:tcPr>
          <w:p w14:paraId="0C2EAFE0" w14:textId="77777777" w:rsidR="008B46AE" w:rsidRPr="008B46AE" w:rsidRDefault="008B46AE" w:rsidP="008B46AE">
            <w:pPr>
              <w:spacing w:line="259" w:lineRule="auto"/>
              <w:jc w:val="both"/>
              <w:rPr>
                <w:rFonts w:ascii="Garamond" w:hAnsi="Garamond"/>
                <w:bCs/>
                <w:i/>
                <w:iCs/>
                <w:sz w:val="20"/>
                <w:szCs w:val="20"/>
              </w:rPr>
            </w:pPr>
            <w:proofErr w:type="spellStart"/>
            <w:r w:rsidRPr="008B46AE">
              <w:rPr>
                <w:rFonts w:ascii="Garamond" w:hAnsi="Garamond"/>
                <w:b/>
                <w:bCs/>
                <w:i/>
                <w:iCs/>
                <w:sz w:val="20"/>
                <w:szCs w:val="20"/>
              </w:rPr>
              <w:t>Alstonia</w:t>
            </w:r>
            <w:proofErr w:type="spellEnd"/>
            <w:r w:rsidRPr="008B46AE">
              <w:rPr>
                <w:rFonts w:ascii="Garamond" w:hAnsi="Garamond"/>
                <w:b/>
                <w:bCs/>
                <w:i/>
                <w:iCs/>
                <w:sz w:val="20"/>
                <w:szCs w:val="20"/>
              </w:rPr>
              <w:t xml:space="preserve"> </w:t>
            </w:r>
            <w:proofErr w:type="spellStart"/>
            <w:r w:rsidRPr="008B46AE">
              <w:rPr>
                <w:rFonts w:ascii="Garamond" w:hAnsi="Garamond"/>
                <w:b/>
                <w:bCs/>
                <w:i/>
                <w:iCs/>
                <w:sz w:val="20"/>
                <w:szCs w:val="20"/>
              </w:rPr>
              <w:t>scholaris</w:t>
            </w:r>
            <w:proofErr w:type="spellEnd"/>
          </w:p>
        </w:tc>
        <w:tc>
          <w:tcPr>
            <w:tcW w:w="0" w:type="auto"/>
            <w:tcBorders>
              <w:top w:val="single" w:sz="4" w:space="0" w:color="auto"/>
            </w:tcBorders>
            <w:vAlign w:val="center"/>
            <w:hideMark/>
          </w:tcPr>
          <w:p w14:paraId="761DE45C"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Scholaricine</w:t>
            </w:r>
            <w:proofErr w:type="spellEnd"/>
          </w:p>
        </w:tc>
        <w:tc>
          <w:tcPr>
            <w:tcW w:w="0" w:type="auto"/>
            <w:tcBorders>
              <w:top w:val="single" w:sz="4" w:space="0" w:color="auto"/>
            </w:tcBorders>
            <w:vAlign w:val="center"/>
            <w:hideMark/>
          </w:tcPr>
          <w:p w14:paraId="73CEA244"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shows inhibitory activity against </w:t>
            </w:r>
            <w:r w:rsidRPr="008B46AE">
              <w:rPr>
                <w:rFonts w:ascii="Garamond" w:hAnsi="Garamond"/>
                <w:bCs/>
                <w:i/>
                <w:iCs/>
                <w:sz w:val="20"/>
                <w:szCs w:val="20"/>
              </w:rPr>
              <w:t xml:space="preserve">Plasmodium </w:t>
            </w:r>
            <w:proofErr w:type="spellStart"/>
            <w:r w:rsidRPr="008B46AE">
              <w:rPr>
                <w:rFonts w:ascii="Garamond" w:hAnsi="Garamond"/>
                <w:bCs/>
                <w:i/>
                <w:iCs/>
                <w:sz w:val="20"/>
                <w:szCs w:val="20"/>
              </w:rPr>
              <w:t>falciparum</w:t>
            </w:r>
            <w:r w:rsidRPr="008B46AE">
              <w:rPr>
                <w:rFonts w:ascii="Garamond" w:hAnsi="Garamond"/>
                <w:bCs/>
                <w:iCs/>
                <w:sz w:val="20"/>
                <w:szCs w:val="20"/>
              </w:rPr>
              <w:t>trophozoites</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Scholaricine</w:t>
            </w:r>
            <w:proofErr w:type="spellEnd"/>
            <w:r w:rsidRPr="008B46AE">
              <w:rPr>
                <w:rFonts w:ascii="Garamond" w:hAnsi="Garamond"/>
                <w:bCs/>
                <w:iCs/>
                <w:sz w:val="20"/>
                <w:szCs w:val="20"/>
              </w:rPr>
              <w:t xml:space="preserve"> demonstrates </w:t>
            </w:r>
            <w:proofErr w:type="spellStart"/>
            <w:r w:rsidRPr="008B46AE">
              <w:rPr>
                <w:rFonts w:ascii="Garamond" w:hAnsi="Garamond"/>
                <w:bCs/>
                <w:iCs/>
                <w:sz w:val="20"/>
                <w:szCs w:val="20"/>
              </w:rPr>
              <w:t>antiplasmodial</w:t>
            </w:r>
            <w:proofErr w:type="spellEnd"/>
            <w:r w:rsidRPr="008B46AE">
              <w:rPr>
                <w:rFonts w:ascii="Garamond" w:hAnsi="Garamond"/>
                <w:bCs/>
                <w:iCs/>
                <w:sz w:val="20"/>
                <w:szCs w:val="20"/>
              </w:rPr>
              <w:t xml:space="preserve"> activity, reducing </w:t>
            </w:r>
            <w:r w:rsidRPr="008B46AE">
              <w:rPr>
                <w:rFonts w:ascii="Garamond" w:hAnsi="Garamond"/>
                <w:bCs/>
                <w:i/>
                <w:iCs/>
                <w:sz w:val="20"/>
                <w:szCs w:val="20"/>
              </w:rPr>
              <w:t>Plasmodium</w:t>
            </w:r>
            <w:r w:rsidRPr="008B46AE">
              <w:rPr>
                <w:rFonts w:ascii="Garamond" w:hAnsi="Garamond"/>
                <w:bCs/>
                <w:iCs/>
                <w:sz w:val="20"/>
                <w:szCs w:val="20"/>
              </w:rPr>
              <w:t xml:space="preserve"> growth.</w:t>
            </w:r>
          </w:p>
        </w:tc>
      </w:tr>
      <w:tr w:rsidR="008B46AE" w:rsidRPr="008B46AE" w14:paraId="24D6BDE7" w14:textId="77777777" w:rsidTr="00117B5F">
        <w:tc>
          <w:tcPr>
            <w:tcW w:w="0" w:type="auto"/>
            <w:vAlign w:val="center"/>
            <w:hideMark/>
          </w:tcPr>
          <w:p w14:paraId="3CDDF4AB" w14:textId="77777777" w:rsidR="008B46AE" w:rsidRPr="008B46AE" w:rsidRDefault="008B46AE" w:rsidP="008B46AE">
            <w:pPr>
              <w:spacing w:line="259" w:lineRule="auto"/>
              <w:jc w:val="both"/>
              <w:rPr>
                <w:rFonts w:ascii="Garamond" w:hAnsi="Garamond"/>
                <w:bCs/>
                <w:i/>
                <w:iCs/>
                <w:sz w:val="20"/>
                <w:szCs w:val="20"/>
              </w:rPr>
            </w:pPr>
            <w:proofErr w:type="spellStart"/>
            <w:r w:rsidRPr="008B46AE">
              <w:rPr>
                <w:rFonts w:ascii="Garamond" w:hAnsi="Garamond"/>
                <w:b/>
                <w:bCs/>
                <w:i/>
                <w:iCs/>
                <w:sz w:val="20"/>
                <w:szCs w:val="20"/>
              </w:rPr>
              <w:t>Coptis</w:t>
            </w:r>
            <w:proofErr w:type="spellEnd"/>
            <w:r w:rsidRPr="008B46AE">
              <w:rPr>
                <w:rFonts w:ascii="Garamond" w:hAnsi="Garamond"/>
                <w:b/>
                <w:bCs/>
                <w:i/>
                <w:iCs/>
                <w:sz w:val="20"/>
                <w:szCs w:val="20"/>
              </w:rPr>
              <w:t xml:space="preserve"> </w:t>
            </w:r>
            <w:proofErr w:type="spellStart"/>
            <w:r w:rsidRPr="008B46AE">
              <w:rPr>
                <w:rFonts w:ascii="Garamond" w:hAnsi="Garamond"/>
                <w:b/>
                <w:bCs/>
                <w:i/>
                <w:iCs/>
                <w:sz w:val="20"/>
                <w:szCs w:val="20"/>
              </w:rPr>
              <w:t>teeta</w:t>
            </w:r>
            <w:proofErr w:type="spellEnd"/>
          </w:p>
        </w:tc>
        <w:tc>
          <w:tcPr>
            <w:tcW w:w="0" w:type="auto"/>
            <w:vAlign w:val="center"/>
            <w:hideMark/>
          </w:tcPr>
          <w:p w14:paraId="2A00060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Berberine, Coptisine</w:t>
            </w:r>
          </w:p>
        </w:tc>
        <w:tc>
          <w:tcPr>
            <w:tcW w:w="0" w:type="auto"/>
            <w:vAlign w:val="center"/>
            <w:hideMark/>
          </w:tcPr>
          <w:p w14:paraId="5DF5414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Berberine inhibits </w:t>
            </w:r>
            <w:r w:rsidRPr="008B46AE">
              <w:rPr>
                <w:rFonts w:ascii="Garamond" w:hAnsi="Garamond"/>
                <w:bCs/>
                <w:i/>
                <w:iCs/>
                <w:sz w:val="20"/>
                <w:szCs w:val="20"/>
              </w:rPr>
              <w:t>Plasmodium</w:t>
            </w:r>
            <w:r w:rsidRPr="008B46AE">
              <w:rPr>
                <w:rFonts w:ascii="Garamond" w:hAnsi="Garamond"/>
                <w:bCs/>
                <w:iCs/>
                <w:sz w:val="20"/>
                <w:szCs w:val="20"/>
              </w:rPr>
              <w:t xml:space="preserve"> development and disrupts erythrocytic stages. Coptisine exhibits antimalarial effects through inhibition of parasite growth and replication.</w:t>
            </w:r>
          </w:p>
        </w:tc>
      </w:tr>
      <w:tr w:rsidR="008B46AE" w:rsidRPr="008B46AE" w14:paraId="18206413" w14:textId="77777777" w:rsidTr="00117B5F">
        <w:tc>
          <w:tcPr>
            <w:tcW w:w="0" w:type="auto"/>
            <w:vAlign w:val="center"/>
            <w:hideMark/>
          </w:tcPr>
          <w:p w14:paraId="5D4010B9" w14:textId="77777777" w:rsidR="008B46AE" w:rsidRPr="008B46AE" w:rsidRDefault="008B46AE" w:rsidP="008B46AE">
            <w:pPr>
              <w:spacing w:line="259" w:lineRule="auto"/>
              <w:jc w:val="both"/>
              <w:rPr>
                <w:rFonts w:ascii="Garamond" w:hAnsi="Garamond"/>
                <w:bCs/>
                <w:i/>
                <w:iCs/>
                <w:sz w:val="20"/>
                <w:szCs w:val="20"/>
              </w:rPr>
            </w:pPr>
            <w:proofErr w:type="spellStart"/>
            <w:r w:rsidRPr="008B46AE">
              <w:rPr>
                <w:rFonts w:ascii="Garamond" w:hAnsi="Garamond"/>
                <w:b/>
                <w:bCs/>
                <w:i/>
                <w:iCs/>
                <w:sz w:val="20"/>
                <w:szCs w:val="20"/>
              </w:rPr>
              <w:t>Crotolaria</w:t>
            </w:r>
            <w:proofErr w:type="spellEnd"/>
            <w:r w:rsidRPr="008B46AE">
              <w:rPr>
                <w:rFonts w:ascii="Garamond" w:hAnsi="Garamond"/>
                <w:b/>
                <w:bCs/>
                <w:i/>
                <w:iCs/>
                <w:sz w:val="20"/>
                <w:szCs w:val="20"/>
              </w:rPr>
              <w:t xml:space="preserve"> occulta</w:t>
            </w:r>
          </w:p>
        </w:tc>
        <w:tc>
          <w:tcPr>
            <w:tcW w:w="0" w:type="auto"/>
            <w:vAlign w:val="center"/>
            <w:hideMark/>
          </w:tcPr>
          <w:p w14:paraId="7DCE5FD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Quercetin, Kaempferol</w:t>
            </w:r>
          </w:p>
        </w:tc>
        <w:tc>
          <w:tcPr>
            <w:tcW w:w="0" w:type="auto"/>
            <w:vAlign w:val="center"/>
            <w:hideMark/>
          </w:tcPr>
          <w:p w14:paraId="713EFA9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Quercetin inhibits </w:t>
            </w:r>
            <w:r w:rsidRPr="008B46AE">
              <w:rPr>
                <w:rFonts w:ascii="Garamond" w:hAnsi="Garamond"/>
                <w:bCs/>
                <w:i/>
                <w:iCs/>
                <w:sz w:val="20"/>
                <w:szCs w:val="20"/>
              </w:rPr>
              <w:t>Plasmodium</w:t>
            </w:r>
            <w:r w:rsidRPr="008B46AE">
              <w:rPr>
                <w:rFonts w:ascii="Garamond" w:hAnsi="Garamond"/>
                <w:bCs/>
                <w:iCs/>
                <w:sz w:val="20"/>
                <w:szCs w:val="20"/>
              </w:rPr>
              <w:t xml:space="preserve"> growth and enhances host immune response. Kaempferol demonstrates antimalarial activity by inhibiting the heme detoxification process.</w:t>
            </w:r>
          </w:p>
        </w:tc>
      </w:tr>
      <w:tr w:rsidR="008B46AE" w:rsidRPr="008B46AE" w14:paraId="0821555A" w14:textId="77777777" w:rsidTr="00117B5F">
        <w:tc>
          <w:tcPr>
            <w:tcW w:w="0" w:type="auto"/>
            <w:vAlign w:val="center"/>
            <w:hideMark/>
          </w:tcPr>
          <w:p w14:paraId="2DABF210" w14:textId="77777777" w:rsidR="008B46AE" w:rsidRPr="008B46AE" w:rsidRDefault="008B46AE" w:rsidP="008B46AE">
            <w:pPr>
              <w:spacing w:line="259" w:lineRule="auto"/>
              <w:jc w:val="both"/>
              <w:rPr>
                <w:rFonts w:ascii="Garamond" w:hAnsi="Garamond"/>
                <w:bCs/>
                <w:i/>
                <w:iCs/>
                <w:sz w:val="20"/>
                <w:szCs w:val="20"/>
              </w:rPr>
            </w:pPr>
            <w:r w:rsidRPr="008B46AE">
              <w:rPr>
                <w:rFonts w:ascii="Garamond" w:hAnsi="Garamond"/>
                <w:b/>
                <w:bCs/>
                <w:i/>
                <w:iCs/>
                <w:sz w:val="20"/>
                <w:szCs w:val="20"/>
              </w:rPr>
              <w:t>Ocimum sanctum</w:t>
            </w:r>
          </w:p>
        </w:tc>
        <w:tc>
          <w:tcPr>
            <w:tcW w:w="0" w:type="auto"/>
            <w:vAlign w:val="center"/>
            <w:hideMark/>
          </w:tcPr>
          <w:p w14:paraId="38721C6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Eugenol, Luteolin</w:t>
            </w:r>
          </w:p>
        </w:tc>
        <w:tc>
          <w:tcPr>
            <w:tcW w:w="0" w:type="auto"/>
            <w:vAlign w:val="center"/>
            <w:hideMark/>
          </w:tcPr>
          <w:p w14:paraId="0CB7F43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Eugenol disrupts the </w:t>
            </w:r>
            <w:r w:rsidRPr="008B46AE">
              <w:rPr>
                <w:rFonts w:ascii="Garamond" w:hAnsi="Garamond"/>
                <w:bCs/>
                <w:i/>
                <w:iCs/>
                <w:sz w:val="20"/>
                <w:szCs w:val="20"/>
              </w:rPr>
              <w:t>Plasmodium</w:t>
            </w:r>
            <w:r w:rsidRPr="008B46AE">
              <w:rPr>
                <w:rFonts w:ascii="Garamond" w:hAnsi="Garamond"/>
                <w:bCs/>
                <w:iCs/>
                <w:sz w:val="20"/>
                <w:szCs w:val="20"/>
              </w:rPr>
              <w:t xml:space="preserve"> life cycle and exhibits strong antimalarial properties. Luteolin inhibits parasite proliferation by interfering with metabolic pathways.</w:t>
            </w:r>
          </w:p>
        </w:tc>
      </w:tr>
      <w:tr w:rsidR="008B46AE" w:rsidRPr="008B46AE" w14:paraId="0F3B0539" w14:textId="77777777" w:rsidTr="00117B5F">
        <w:tc>
          <w:tcPr>
            <w:tcW w:w="0" w:type="auto"/>
            <w:vAlign w:val="center"/>
            <w:hideMark/>
          </w:tcPr>
          <w:p w14:paraId="01D40FFA" w14:textId="77777777" w:rsidR="008B46AE" w:rsidRPr="008B46AE" w:rsidRDefault="008B46AE" w:rsidP="008B46AE">
            <w:pPr>
              <w:spacing w:line="259" w:lineRule="auto"/>
              <w:jc w:val="both"/>
              <w:rPr>
                <w:rFonts w:ascii="Garamond" w:hAnsi="Garamond"/>
                <w:bCs/>
                <w:i/>
                <w:iCs/>
                <w:sz w:val="20"/>
                <w:szCs w:val="20"/>
              </w:rPr>
            </w:pPr>
            <w:r w:rsidRPr="008B46AE">
              <w:rPr>
                <w:rFonts w:ascii="Garamond" w:hAnsi="Garamond"/>
                <w:b/>
                <w:bCs/>
                <w:i/>
                <w:iCs/>
                <w:sz w:val="20"/>
                <w:szCs w:val="20"/>
              </w:rPr>
              <w:t xml:space="preserve">Polygala </w:t>
            </w:r>
            <w:proofErr w:type="spellStart"/>
            <w:r w:rsidRPr="008B46AE">
              <w:rPr>
                <w:rFonts w:ascii="Garamond" w:hAnsi="Garamond"/>
                <w:b/>
                <w:bCs/>
                <w:i/>
                <w:iCs/>
                <w:sz w:val="20"/>
                <w:szCs w:val="20"/>
              </w:rPr>
              <w:t>persicariaefolia</w:t>
            </w:r>
            <w:proofErr w:type="spellEnd"/>
          </w:p>
        </w:tc>
        <w:tc>
          <w:tcPr>
            <w:tcW w:w="0" w:type="auto"/>
            <w:vAlign w:val="center"/>
            <w:hideMark/>
          </w:tcPr>
          <w:p w14:paraId="3F7598BA"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Onjisaponin</w:t>
            </w:r>
            <w:proofErr w:type="spellEnd"/>
          </w:p>
        </w:tc>
        <w:tc>
          <w:tcPr>
            <w:tcW w:w="0" w:type="auto"/>
            <w:vAlign w:val="center"/>
            <w:hideMark/>
          </w:tcPr>
          <w:p w14:paraId="1D70E62D"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exhibits antimalarial activity by disrupting cell membranes of </w:t>
            </w:r>
            <w:r w:rsidRPr="008B46AE">
              <w:rPr>
                <w:rFonts w:ascii="Garamond" w:hAnsi="Garamond"/>
                <w:bCs/>
                <w:i/>
                <w:iCs/>
                <w:sz w:val="20"/>
                <w:szCs w:val="20"/>
              </w:rPr>
              <w:t>Plasmodium</w:t>
            </w:r>
            <w:r w:rsidRPr="008B46AE">
              <w:rPr>
                <w:rFonts w:ascii="Garamond" w:hAnsi="Garamond"/>
                <w:bCs/>
                <w:iCs/>
                <w:sz w:val="20"/>
                <w:szCs w:val="20"/>
              </w:rPr>
              <w:t xml:space="preserve">.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shows potential in inhibiting parasite entry into host cells.</w:t>
            </w:r>
          </w:p>
        </w:tc>
      </w:tr>
      <w:tr w:rsidR="008B46AE" w:rsidRPr="008B46AE" w14:paraId="5589A187" w14:textId="77777777" w:rsidTr="00117B5F">
        <w:tc>
          <w:tcPr>
            <w:tcW w:w="0" w:type="auto"/>
            <w:tcBorders>
              <w:bottom w:val="single" w:sz="4" w:space="0" w:color="auto"/>
            </w:tcBorders>
            <w:vAlign w:val="center"/>
            <w:hideMark/>
          </w:tcPr>
          <w:p w14:paraId="66440A03" w14:textId="77777777" w:rsidR="008B46AE" w:rsidRPr="008B46AE" w:rsidRDefault="008B46AE" w:rsidP="008B46AE">
            <w:pPr>
              <w:spacing w:line="259" w:lineRule="auto"/>
              <w:jc w:val="both"/>
              <w:rPr>
                <w:rFonts w:ascii="Garamond" w:hAnsi="Garamond"/>
                <w:bCs/>
                <w:i/>
                <w:iCs/>
                <w:sz w:val="20"/>
                <w:szCs w:val="20"/>
              </w:rPr>
            </w:pPr>
            <w:r w:rsidRPr="008B46AE">
              <w:rPr>
                <w:rFonts w:ascii="Garamond" w:hAnsi="Garamond"/>
                <w:b/>
                <w:bCs/>
                <w:i/>
                <w:iCs/>
                <w:sz w:val="20"/>
                <w:szCs w:val="20"/>
              </w:rPr>
              <w:t xml:space="preserve">Vitex </w:t>
            </w:r>
            <w:proofErr w:type="spellStart"/>
            <w:r w:rsidRPr="008B46AE">
              <w:rPr>
                <w:rFonts w:ascii="Garamond" w:hAnsi="Garamond"/>
                <w:b/>
                <w:bCs/>
                <w:i/>
                <w:iCs/>
                <w:sz w:val="20"/>
                <w:szCs w:val="20"/>
              </w:rPr>
              <w:t>peduncularis</w:t>
            </w:r>
            <w:proofErr w:type="spellEnd"/>
          </w:p>
        </w:tc>
        <w:tc>
          <w:tcPr>
            <w:tcW w:w="0" w:type="auto"/>
            <w:tcBorders>
              <w:bottom w:val="single" w:sz="4" w:space="0" w:color="auto"/>
            </w:tcBorders>
            <w:vAlign w:val="center"/>
            <w:hideMark/>
          </w:tcPr>
          <w:p w14:paraId="5B40F8AB"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Agnuside</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Casticin</w:t>
            </w:r>
            <w:proofErr w:type="spellEnd"/>
          </w:p>
        </w:tc>
        <w:tc>
          <w:tcPr>
            <w:tcW w:w="0" w:type="auto"/>
            <w:tcBorders>
              <w:bottom w:val="single" w:sz="4" w:space="0" w:color="auto"/>
            </w:tcBorders>
            <w:vAlign w:val="center"/>
            <w:hideMark/>
          </w:tcPr>
          <w:p w14:paraId="6690A152"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Agnuside</w:t>
            </w:r>
            <w:proofErr w:type="spellEnd"/>
            <w:r w:rsidRPr="008B46AE">
              <w:rPr>
                <w:rFonts w:ascii="Garamond" w:hAnsi="Garamond"/>
                <w:bCs/>
                <w:iCs/>
                <w:sz w:val="20"/>
                <w:szCs w:val="20"/>
              </w:rPr>
              <w:t xml:space="preserve"> demonstrates antimalarial effects by inhibiting </w:t>
            </w:r>
            <w:r w:rsidRPr="008B46AE">
              <w:rPr>
                <w:rFonts w:ascii="Garamond" w:hAnsi="Garamond"/>
                <w:bCs/>
                <w:i/>
                <w:iCs/>
                <w:sz w:val="20"/>
                <w:szCs w:val="20"/>
              </w:rPr>
              <w:t>Plasmodium</w:t>
            </w:r>
            <w:r w:rsidRPr="008B46AE">
              <w:rPr>
                <w:rFonts w:ascii="Garamond" w:hAnsi="Garamond"/>
                <w:bCs/>
                <w:iCs/>
                <w:sz w:val="20"/>
                <w:szCs w:val="20"/>
              </w:rPr>
              <w:t xml:space="preserve"> enzymes. </w:t>
            </w:r>
            <w:proofErr w:type="spellStart"/>
            <w:r w:rsidRPr="008B46AE">
              <w:rPr>
                <w:rFonts w:ascii="Garamond" w:hAnsi="Garamond"/>
                <w:bCs/>
                <w:iCs/>
                <w:sz w:val="20"/>
                <w:szCs w:val="20"/>
              </w:rPr>
              <w:t>Casticin</w:t>
            </w:r>
            <w:proofErr w:type="spellEnd"/>
            <w:r w:rsidRPr="008B46AE">
              <w:rPr>
                <w:rFonts w:ascii="Garamond" w:hAnsi="Garamond"/>
                <w:bCs/>
                <w:iCs/>
                <w:sz w:val="20"/>
                <w:szCs w:val="20"/>
              </w:rPr>
              <w:t xml:space="preserve"> exhibits </w:t>
            </w:r>
            <w:proofErr w:type="spellStart"/>
            <w:r w:rsidRPr="008B46AE">
              <w:rPr>
                <w:rFonts w:ascii="Garamond" w:hAnsi="Garamond"/>
                <w:bCs/>
                <w:iCs/>
                <w:sz w:val="20"/>
                <w:szCs w:val="20"/>
              </w:rPr>
              <w:t>antiplasmodial</w:t>
            </w:r>
            <w:proofErr w:type="spellEnd"/>
            <w:r w:rsidRPr="008B46AE">
              <w:rPr>
                <w:rFonts w:ascii="Garamond" w:hAnsi="Garamond"/>
                <w:bCs/>
                <w:iCs/>
                <w:sz w:val="20"/>
                <w:szCs w:val="20"/>
              </w:rPr>
              <w:t xml:space="preserve"> activity and affects the parasite's reproductive processes.</w:t>
            </w:r>
          </w:p>
        </w:tc>
      </w:tr>
    </w:tbl>
    <w:p w14:paraId="1C06909C" w14:textId="77777777" w:rsidR="008B46AE" w:rsidRPr="008B46AE" w:rsidRDefault="008B46AE" w:rsidP="008B46AE">
      <w:pPr>
        <w:spacing w:line="259" w:lineRule="auto"/>
        <w:jc w:val="both"/>
        <w:rPr>
          <w:rFonts w:ascii="Garamond" w:hAnsi="Garamond"/>
          <w:b/>
          <w:bCs/>
          <w:iCs/>
          <w:sz w:val="20"/>
          <w:szCs w:val="20"/>
        </w:rPr>
      </w:pPr>
    </w:p>
    <w:p w14:paraId="42E67EF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identified phytoconstituents from the six plant species given in table 1exhibit notable antimalarial properties through various mechanisms </w:t>
      </w: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scholaricine</w:t>
      </w:r>
      <w:proofErr w:type="spellEnd"/>
      <w:r w:rsidRPr="008B46AE">
        <w:rPr>
          <w:rFonts w:ascii="Garamond" w:hAnsi="Garamond"/>
          <w:bCs/>
          <w:iCs/>
          <w:sz w:val="20"/>
          <w:szCs w:val="20"/>
        </w:rPr>
        <w:t xml:space="preserve"> from </w:t>
      </w:r>
      <w:proofErr w:type="spellStart"/>
      <w:r w:rsidRPr="008B46AE">
        <w:rPr>
          <w:rFonts w:ascii="Garamond" w:hAnsi="Garamond"/>
          <w:bCs/>
          <w:i/>
          <w:iCs/>
          <w:sz w:val="20"/>
          <w:szCs w:val="20"/>
        </w:rPr>
        <w:t>Alstonia</w:t>
      </w:r>
      <w:proofErr w:type="spellEnd"/>
      <w:r w:rsidRPr="008B46AE">
        <w:rPr>
          <w:rFonts w:ascii="Garamond" w:hAnsi="Garamond"/>
          <w:bCs/>
          <w:i/>
          <w:iCs/>
          <w:sz w:val="20"/>
          <w:szCs w:val="20"/>
        </w:rPr>
        <w:t xml:space="preserve"> </w:t>
      </w:r>
      <w:proofErr w:type="spellStart"/>
      <w:r w:rsidRPr="008B46AE">
        <w:rPr>
          <w:rFonts w:ascii="Garamond" w:hAnsi="Garamond"/>
          <w:bCs/>
          <w:i/>
          <w:iCs/>
          <w:sz w:val="20"/>
          <w:szCs w:val="20"/>
        </w:rPr>
        <w:t>scholaris</w:t>
      </w:r>
      <w:proofErr w:type="spellEnd"/>
      <w:r w:rsidRPr="008B46AE">
        <w:rPr>
          <w:rFonts w:ascii="Garamond" w:hAnsi="Garamond"/>
          <w:bCs/>
          <w:iCs/>
          <w:sz w:val="20"/>
          <w:szCs w:val="20"/>
        </w:rPr>
        <w:t xml:space="preserve">, berberine and coptisine from </w:t>
      </w:r>
      <w:proofErr w:type="spellStart"/>
      <w:r w:rsidRPr="008B46AE">
        <w:rPr>
          <w:rFonts w:ascii="Garamond" w:hAnsi="Garamond"/>
          <w:bCs/>
          <w:i/>
          <w:iCs/>
          <w:sz w:val="20"/>
          <w:szCs w:val="20"/>
        </w:rPr>
        <w:t>Coptis</w:t>
      </w:r>
      <w:proofErr w:type="spellEnd"/>
      <w:r w:rsidRPr="008B46AE">
        <w:rPr>
          <w:rFonts w:ascii="Garamond" w:hAnsi="Garamond"/>
          <w:bCs/>
          <w:i/>
          <w:iCs/>
          <w:sz w:val="20"/>
          <w:szCs w:val="20"/>
        </w:rPr>
        <w:t xml:space="preserve"> </w:t>
      </w:r>
      <w:proofErr w:type="spellStart"/>
      <w:r w:rsidRPr="008B46AE">
        <w:rPr>
          <w:rFonts w:ascii="Garamond" w:hAnsi="Garamond"/>
          <w:bCs/>
          <w:i/>
          <w:iCs/>
          <w:sz w:val="20"/>
          <w:szCs w:val="20"/>
        </w:rPr>
        <w:t>teeta</w:t>
      </w:r>
      <w:proofErr w:type="spellEnd"/>
      <w:r w:rsidRPr="008B46AE">
        <w:rPr>
          <w:rFonts w:ascii="Garamond" w:hAnsi="Garamond"/>
          <w:bCs/>
          <w:iCs/>
          <w:sz w:val="20"/>
          <w:szCs w:val="20"/>
        </w:rPr>
        <w:t xml:space="preserve">, and quercetin and kaempferol from </w:t>
      </w:r>
      <w:proofErr w:type="spellStart"/>
      <w:r w:rsidRPr="008B46AE">
        <w:rPr>
          <w:rFonts w:ascii="Garamond" w:hAnsi="Garamond"/>
          <w:bCs/>
          <w:i/>
          <w:iCs/>
          <w:sz w:val="20"/>
          <w:szCs w:val="20"/>
        </w:rPr>
        <w:t>Crotolaria</w:t>
      </w:r>
      <w:proofErr w:type="spellEnd"/>
      <w:r w:rsidRPr="008B46AE">
        <w:rPr>
          <w:rFonts w:ascii="Garamond" w:hAnsi="Garamond"/>
          <w:bCs/>
          <w:i/>
          <w:iCs/>
          <w:sz w:val="20"/>
          <w:szCs w:val="20"/>
        </w:rPr>
        <w:t xml:space="preserve"> occulta</w:t>
      </w:r>
      <w:r w:rsidRPr="008B46AE">
        <w:rPr>
          <w:rFonts w:ascii="Garamond" w:hAnsi="Garamond"/>
          <w:bCs/>
          <w:iCs/>
          <w:sz w:val="20"/>
          <w:szCs w:val="20"/>
        </w:rPr>
        <w:t xml:space="preserve"> demonstrate inhibitory effects on Plasmodium growth and replication. Eugenol and luteolin from </w:t>
      </w:r>
      <w:r w:rsidRPr="008B46AE">
        <w:rPr>
          <w:rFonts w:ascii="Garamond" w:hAnsi="Garamond"/>
          <w:bCs/>
          <w:i/>
          <w:iCs/>
          <w:sz w:val="20"/>
          <w:szCs w:val="20"/>
        </w:rPr>
        <w:t>Ocimum sanctum</w:t>
      </w:r>
      <w:r w:rsidRPr="008B46AE">
        <w:rPr>
          <w:rFonts w:ascii="Garamond" w:hAnsi="Garamond"/>
          <w:bCs/>
          <w:iCs/>
          <w:sz w:val="20"/>
          <w:szCs w:val="20"/>
        </w:rPr>
        <w:t xml:space="preserve">, </w:t>
      </w: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from </w:t>
      </w:r>
      <w:r w:rsidRPr="008B46AE">
        <w:rPr>
          <w:rFonts w:ascii="Garamond" w:hAnsi="Garamond"/>
          <w:bCs/>
          <w:i/>
          <w:iCs/>
          <w:sz w:val="20"/>
          <w:szCs w:val="20"/>
        </w:rPr>
        <w:t xml:space="preserve">Polygala </w:t>
      </w:r>
      <w:proofErr w:type="spellStart"/>
      <w:r w:rsidRPr="008B46AE">
        <w:rPr>
          <w:rFonts w:ascii="Garamond" w:hAnsi="Garamond"/>
          <w:bCs/>
          <w:i/>
          <w:iCs/>
          <w:sz w:val="20"/>
          <w:szCs w:val="20"/>
        </w:rPr>
        <w:t>persicariaefolia</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agnuside</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casticin</w:t>
      </w:r>
      <w:proofErr w:type="spellEnd"/>
      <w:r w:rsidRPr="008B46AE">
        <w:rPr>
          <w:rFonts w:ascii="Garamond" w:hAnsi="Garamond"/>
          <w:bCs/>
          <w:iCs/>
          <w:sz w:val="20"/>
          <w:szCs w:val="20"/>
        </w:rPr>
        <w:t xml:space="preserve"> from </w:t>
      </w:r>
      <w:r w:rsidRPr="008B46AE">
        <w:rPr>
          <w:rFonts w:ascii="Garamond" w:hAnsi="Garamond"/>
          <w:bCs/>
          <w:i/>
          <w:iCs/>
          <w:sz w:val="20"/>
          <w:szCs w:val="20"/>
        </w:rPr>
        <w:t xml:space="preserve">Vitex </w:t>
      </w:r>
      <w:proofErr w:type="spellStart"/>
      <w:r w:rsidRPr="008B46AE">
        <w:rPr>
          <w:rFonts w:ascii="Garamond" w:hAnsi="Garamond"/>
          <w:bCs/>
          <w:i/>
          <w:iCs/>
          <w:sz w:val="20"/>
          <w:szCs w:val="20"/>
        </w:rPr>
        <w:t>peduncularis</w:t>
      </w:r>
      <w:proofErr w:type="spellEnd"/>
      <w:r w:rsidRPr="008B46AE">
        <w:rPr>
          <w:rFonts w:ascii="Garamond" w:hAnsi="Garamond"/>
          <w:bCs/>
          <w:iCs/>
          <w:sz w:val="20"/>
          <w:szCs w:val="20"/>
        </w:rPr>
        <w:t xml:space="preserve"> disrupt the parasite's lifecycle and metabolic pathways. These findings underscore the potential of these compounds in developing effective antimalarial therapies</w:t>
      </w:r>
      <w:r w:rsidRPr="008B46AE">
        <w:rPr>
          <w:rFonts w:ascii="Garamond" w:hAnsi="Garamond"/>
          <w:bCs/>
          <w:iCs/>
          <w:sz w:val="20"/>
          <w:szCs w:val="20"/>
          <w:vertAlign w:val="superscript"/>
        </w:rPr>
        <w:t>22,23</w:t>
      </w:r>
      <w:r w:rsidRPr="008B46AE">
        <w:rPr>
          <w:rFonts w:ascii="Garamond" w:hAnsi="Garamond"/>
          <w:bCs/>
          <w:iCs/>
          <w:sz w:val="20"/>
          <w:szCs w:val="20"/>
        </w:rPr>
        <w:t>.</w:t>
      </w:r>
    </w:p>
    <w:p w14:paraId="74FE9134" w14:textId="77777777" w:rsidR="008B46AE" w:rsidRDefault="008B46AE" w:rsidP="008B46AE">
      <w:pPr>
        <w:spacing w:line="259" w:lineRule="auto"/>
        <w:jc w:val="both"/>
        <w:rPr>
          <w:rFonts w:ascii="Garamond" w:hAnsi="Garamond"/>
          <w:b/>
          <w:bCs/>
          <w:iCs/>
          <w:sz w:val="20"/>
          <w:szCs w:val="20"/>
        </w:rPr>
      </w:pPr>
    </w:p>
    <w:p w14:paraId="1FA1E92E" w14:textId="26967476"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Table 2: Molecular Properties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5"/>
        <w:gridCol w:w="1314"/>
        <w:gridCol w:w="604"/>
        <w:gridCol w:w="681"/>
        <w:gridCol w:w="656"/>
        <w:gridCol w:w="1096"/>
        <w:gridCol w:w="1377"/>
        <w:gridCol w:w="2178"/>
      </w:tblGrid>
      <w:tr w:rsidR="008B46AE" w:rsidRPr="008B46AE" w14:paraId="73DD38D2" w14:textId="77777777" w:rsidTr="00117B5F">
        <w:tc>
          <w:tcPr>
            <w:tcW w:w="0" w:type="auto"/>
            <w:tcBorders>
              <w:top w:val="single" w:sz="4" w:space="0" w:color="auto"/>
              <w:bottom w:val="single" w:sz="4" w:space="0" w:color="auto"/>
            </w:tcBorders>
            <w:hideMark/>
          </w:tcPr>
          <w:p w14:paraId="217B5192"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Compound</w:t>
            </w:r>
          </w:p>
        </w:tc>
        <w:tc>
          <w:tcPr>
            <w:tcW w:w="0" w:type="auto"/>
            <w:tcBorders>
              <w:top w:val="single" w:sz="4" w:space="0" w:color="auto"/>
              <w:bottom w:val="single" w:sz="4" w:space="0" w:color="auto"/>
            </w:tcBorders>
            <w:hideMark/>
          </w:tcPr>
          <w:p w14:paraId="12F508F0"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MW (g/mol)</w:t>
            </w:r>
          </w:p>
        </w:tc>
        <w:tc>
          <w:tcPr>
            <w:tcW w:w="0" w:type="auto"/>
            <w:tcBorders>
              <w:top w:val="single" w:sz="4" w:space="0" w:color="auto"/>
              <w:bottom w:val="single" w:sz="4" w:space="0" w:color="auto"/>
            </w:tcBorders>
            <w:hideMark/>
          </w:tcPr>
          <w:p w14:paraId="5D6489D2" w14:textId="77777777" w:rsidR="008B46AE" w:rsidRPr="008B46AE" w:rsidRDefault="008B46AE" w:rsidP="008B46AE">
            <w:pPr>
              <w:spacing w:line="259" w:lineRule="auto"/>
              <w:jc w:val="both"/>
              <w:rPr>
                <w:rFonts w:ascii="Garamond" w:hAnsi="Garamond"/>
                <w:b/>
                <w:bCs/>
                <w:iCs/>
                <w:sz w:val="20"/>
                <w:szCs w:val="20"/>
              </w:rPr>
            </w:pPr>
            <w:proofErr w:type="spellStart"/>
            <w:r w:rsidRPr="008B46AE">
              <w:rPr>
                <w:rFonts w:ascii="Garamond" w:hAnsi="Garamond"/>
                <w:b/>
                <w:bCs/>
                <w:iCs/>
                <w:sz w:val="20"/>
                <w:szCs w:val="20"/>
              </w:rPr>
              <w:t>logP</w:t>
            </w:r>
            <w:proofErr w:type="spellEnd"/>
          </w:p>
        </w:tc>
        <w:tc>
          <w:tcPr>
            <w:tcW w:w="0" w:type="auto"/>
            <w:tcBorders>
              <w:top w:val="single" w:sz="4" w:space="0" w:color="auto"/>
              <w:bottom w:val="single" w:sz="4" w:space="0" w:color="auto"/>
            </w:tcBorders>
            <w:hideMark/>
          </w:tcPr>
          <w:p w14:paraId="750824B0"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HBD</w:t>
            </w:r>
          </w:p>
        </w:tc>
        <w:tc>
          <w:tcPr>
            <w:tcW w:w="0" w:type="auto"/>
            <w:tcBorders>
              <w:top w:val="single" w:sz="4" w:space="0" w:color="auto"/>
              <w:bottom w:val="single" w:sz="4" w:space="0" w:color="auto"/>
            </w:tcBorders>
            <w:hideMark/>
          </w:tcPr>
          <w:p w14:paraId="54746740"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HBA</w:t>
            </w:r>
          </w:p>
        </w:tc>
        <w:tc>
          <w:tcPr>
            <w:tcW w:w="0" w:type="auto"/>
            <w:tcBorders>
              <w:top w:val="single" w:sz="4" w:space="0" w:color="auto"/>
              <w:bottom w:val="single" w:sz="4" w:space="0" w:color="auto"/>
            </w:tcBorders>
            <w:hideMark/>
          </w:tcPr>
          <w:p w14:paraId="10A9F112"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TPSA (Å²)</w:t>
            </w:r>
          </w:p>
        </w:tc>
        <w:tc>
          <w:tcPr>
            <w:tcW w:w="1377" w:type="dxa"/>
            <w:tcBorders>
              <w:top w:val="single" w:sz="4" w:space="0" w:color="auto"/>
              <w:bottom w:val="single" w:sz="4" w:space="0" w:color="auto"/>
            </w:tcBorders>
            <w:hideMark/>
          </w:tcPr>
          <w:p w14:paraId="62920BD0"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Rotatable Bonds</w:t>
            </w:r>
          </w:p>
        </w:tc>
        <w:tc>
          <w:tcPr>
            <w:tcW w:w="2178" w:type="dxa"/>
            <w:tcBorders>
              <w:top w:val="single" w:sz="4" w:space="0" w:color="auto"/>
              <w:bottom w:val="single" w:sz="4" w:space="0" w:color="auto"/>
            </w:tcBorders>
            <w:hideMark/>
          </w:tcPr>
          <w:p w14:paraId="17DC2752"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SILICOS-IT Class</w:t>
            </w:r>
          </w:p>
        </w:tc>
      </w:tr>
      <w:tr w:rsidR="008B46AE" w:rsidRPr="008B46AE" w14:paraId="62BE8FDE" w14:textId="77777777" w:rsidTr="00117B5F">
        <w:tc>
          <w:tcPr>
            <w:tcW w:w="0" w:type="auto"/>
            <w:tcBorders>
              <w:top w:val="single" w:sz="4" w:space="0" w:color="auto"/>
            </w:tcBorders>
            <w:hideMark/>
          </w:tcPr>
          <w:p w14:paraId="08D9CDCC"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Echitamine</w:t>
            </w:r>
            <w:proofErr w:type="spellEnd"/>
          </w:p>
        </w:tc>
        <w:tc>
          <w:tcPr>
            <w:tcW w:w="0" w:type="auto"/>
            <w:tcBorders>
              <w:top w:val="single" w:sz="4" w:space="0" w:color="auto"/>
            </w:tcBorders>
            <w:hideMark/>
          </w:tcPr>
          <w:p w14:paraId="26B8C82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416.48</w:t>
            </w:r>
          </w:p>
        </w:tc>
        <w:tc>
          <w:tcPr>
            <w:tcW w:w="0" w:type="auto"/>
            <w:tcBorders>
              <w:top w:val="single" w:sz="4" w:space="0" w:color="auto"/>
            </w:tcBorders>
            <w:hideMark/>
          </w:tcPr>
          <w:p w14:paraId="19E4419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3.2</w:t>
            </w:r>
          </w:p>
        </w:tc>
        <w:tc>
          <w:tcPr>
            <w:tcW w:w="0" w:type="auto"/>
            <w:tcBorders>
              <w:top w:val="single" w:sz="4" w:space="0" w:color="auto"/>
            </w:tcBorders>
            <w:hideMark/>
          </w:tcPr>
          <w:p w14:paraId="64B5E0A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w:t>
            </w:r>
          </w:p>
        </w:tc>
        <w:tc>
          <w:tcPr>
            <w:tcW w:w="0" w:type="auto"/>
            <w:tcBorders>
              <w:top w:val="single" w:sz="4" w:space="0" w:color="auto"/>
            </w:tcBorders>
            <w:hideMark/>
          </w:tcPr>
          <w:p w14:paraId="30783E7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w:t>
            </w:r>
          </w:p>
        </w:tc>
        <w:tc>
          <w:tcPr>
            <w:tcW w:w="0" w:type="auto"/>
            <w:tcBorders>
              <w:top w:val="single" w:sz="4" w:space="0" w:color="auto"/>
            </w:tcBorders>
            <w:hideMark/>
          </w:tcPr>
          <w:p w14:paraId="1001F06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63.32</w:t>
            </w:r>
          </w:p>
        </w:tc>
        <w:tc>
          <w:tcPr>
            <w:tcW w:w="1377" w:type="dxa"/>
            <w:tcBorders>
              <w:top w:val="single" w:sz="4" w:space="0" w:color="auto"/>
            </w:tcBorders>
            <w:hideMark/>
          </w:tcPr>
          <w:p w14:paraId="357001E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5</w:t>
            </w:r>
          </w:p>
        </w:tc>
        <w:tc>
          <w:tcPr>
            <w:tcW w:w="2178" w:type="dxa"/>
            <w:tcBorders>
              <w:top w:val="single" w:sz="4" w:space="0" w:color="auto"/>
            </w:tcBorders>
            <w:hideMark/>
          </w:tcPr>
          <w:p w14:paraId="250598A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Poorly soluble</w:t>
            </w:r>
          </w:p>
        </w:tc>
      </w:tr>
      <w:tr w:rsidR="008B46AE" w:rsidRPr="008B46AE" w14:paraId="4AA0ED6D" w14:textId="77777777" w:rsidTr="00117B5F">
        <w:tc>
          <w:tcPr>
            <w:tcW w:w="0" w:type="auto"/>
            <w:hideMark/>
          </w:tcPr>
          <w:p w14:paraId="43A216E2"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Scholaricine</w:t>
            </w:r>
            <w:proofErr w:type="spellEnd"/>
          </w:p>
        </w:tc>
        <w:tc>
          <w:tcPr>
            <w:tcW w:w="0" w:type="auto"/>
            <w:hideMark/>
          </w:tcPr>
          <w:p w14:paraId="3C54B0C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354.44</w:t>
            </w:r>
          </w:p>
        </w:tc>
        <w:tc>
          <w:tcPr>
            <w:tcW w:w="0" w:type="auto"/>
            <w:hideMark/>
          </w:tcPr>
          <w:p w14:paraId="180E592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2.8</w:t>
            </w:r>
          </w:p>
        </w:tc>
        <w:tc>
          <w:tcPr>
            <w:tcW w:w="0" w:type="auto"/>
            <w:hideMark/>
          </w:tcPr>
          <w:p w14:paraId="797EC9A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w:t>
            </w:r>
          </w:p>
        </w:tc>
        <w:tc>
          <w:tcPr>
            <w:tcW w:w="0" w:type="auto"/>
            <w:hideMark/>
          </w:tcPr>
          <w:p w14:paraId="100A735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5</w:t>
            </w:r>
          </w:p>
        </w:tc>
        <w:tc>
          <w:tcPr>
            <w:tcW w:w="0" w:type="auto"/>
            <w:hideMark/>
          </w:tcPr>
          <w:p w14:paraId="7BF6C31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58.24</w:t>
            </w:r>
          </w:p>
        </w:tc>
        <w:tc>
          <w:tcPr>
            <w:tcW w:w="1377" w:type="dxa"/>
            <w:hideMark/>
          </w:tcPr>
          <w:p w14:paraId="44A6387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w:t>
            </w:r>
          </w:p>
        </w:tc>
        <w:tc>
          <w:tcPr>
            <w:tcW w:w="2178" w:type="dxa"/>
            <w:hideMark/>
          </w:tcPr>
          <w:p w14:paraId="37D03C2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Moderately soluble</w:t>
            </w:r>
          </w:p>
        </w:tc>
      </w:tr>
      <w:tr w:rsidR="008B46AE" w:rsidRPr="008B46AE" w14:paraId="140E3AE3" w14:textId="77777777" w:rsidTr="00117B5F">
        <w:tc>
          <w:tcPr>
            <w:tcW w:w="0" w:type="auto"/>
            <w:hideMark/>
          </w:tcPr>
          <w:p w14:paraId="1AC1441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Berberine</w:t>
            </w:r>
          </w:p>
        </w:tc>
        <w:tc>
          <w:tcPr>
            <w:tcW w:w="0" w:type="auto"/>
            <w:hideMark/>
          </w:tcPr>
          <w:p w14:paraId="035E09D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336.36</w:t>
            </w:r>
          </w:p>
        </w:tc>
        <w:tc>
          <w:tcPr>
            <w:tcW w:w="0" w:type="auto"/>
            <w:hideMark/>
          </w:tcPr>
          <w:p w14:paraId="49AD1F2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2.5</w:t>
            </w:r>
          </w:p>
        </w:tc>
        <w:tc>
          <w:tcPr>
            <w:tcW w:w="0" w:type="auto"/>
            <w:hideMark/>
          </w:tcPr>
          <w:p w14:paraId="1190FA0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w:t>
            </w:r>
          </w:p>
        </w:tc>
        <w:tc>
          <w:tcPr>
            <w:tcW w:w="0" w:type="auto"/>
            <w:hideMark/>
          </w:tcPr>
          <w:p w14:paraId="01D4B6B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w:t>
            </w:r>
          </w:p>
        </w:tc>
        <w:tc>
          <w:tcPr>
            <w:tcW w:w="0" w:type="auto"/>
            <w:hideMark/>
          </w:tcPr>
          <w:p w14:paraId="58731C1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45.64</w:t>
            </w:r>
          </w:p>
        </w:tc>
        <w:tc>
          <w:tcPr>
            <w:tcW w:w="1377" w:type="dxa"/>
            <w:hideMark/>
          </w:tcPr>
          <w:p w14:paraId="530A923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w:t>
            </w:r>
          </w:p>
        </w:tc>
        <w:tc>
          <w:tcPr>
            <w:tcW w:w="2178" w:type="dxa"/>
            <w:hideMark/>
          </w:tcPr>
          <w:p w14:paraId="5798980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Soluble</w:t>
            </w:r>
          </w:p>
        </w:tc>
      </w:tr>
      <w:tr w:rsidR="008B46AE" w:rsidRPr="008B46AE" w14:paraId="4B89EFEC" w14:textId="77777777" w:rsidTr="00117B5F">
        <w:tc>
          <w:tcPr>
            <w:tcW w:w="0" w:type="auto"/>
            <w:hideMark/>
          </w:tcPr>
          <w:p w14:paraId="00F5DC3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Coptisine</w:t>
            </w:r>
          </w:p>
        </w:tc>
        <w:tc>
          <w:tcPr>
            <w:tcW w:w="0" w:type="auto"/>
            <w:hideMark/>
          </w:tcPr>
          <w:p w14:paraId="730E54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320.31</w:t>
            </w:r>
          </w:p>
        </w:tc>
        <w:tc>
          <w:tcPr>
            <w:tcW w:w="0" w:type="auto"/>
            <w:hideMark/>
          </w:tcPr>
          <w:p w14:paraId="07D2F56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2.4</w:t>
            </w:r>
          </w:p>
        </w:tc>
        <w:tc>
          <w:tcPr>
            <w:tcW w:w="0" w:type="auto"/>
            <w:hideMark/>
          </w:tcPr>
          <w:p w14:paraId="431DF26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w:t>
            </w:r>
          </w:p>
        </w:tc>
        <w:tc>
          <w:tcPr>
            <w:tcW w:w="0" w:type="auto"/>
            <w:hideMark/>
          </w:tcPr>
          <w:p w14:paraId="6EE8F57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w:t>
            </w:r>
          </w:p>
        </w:tc>
        <w:tc>
          <w:tcPr>
            <w:tcW w:w="0" w:type="auto"/>
            <w:hideMark/>
          </w:tcPr>
          <w:p w14:paraId="7A1CC75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42.44</w:t>
            </w:r>
          </w:p>
        </w:tc>
        <w:tc>
          <w:tcPr>
            <w:tcW w:w="1377" w:type="dxa"/>
            <w:hideMark/>
          </w:tcPr>
          <w:p w14:paraId="3D1845F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w:t>
            </w:r>
          </w:p>
        </w:tc>
        <w:tc>
          <w:tcPr>
            <w:tcW w:w="2178" w:type="dxa"/>
            <w:hideMark/>
          </w:tcPr>
          <w:p w14:paraId="6741348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Soluble</w:t>
            </w:r>
          </w:p>
        </w:tc>
      </w:tr>
      <w:tr w:rsidR="008B46AE" w:rsidRPr="008B46AE" w14:paraId="213172E4" w14:textId="77777777" w:rsidTr="00117B5F">
        <w:tc>
          <w:tcPr>
            <w:tcW w:w="0" w:type="auto"/>
            <w:hideMark/>
          </w:tcPr>
          <w:p w14:paraId="05C5FD6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Quercetin</w:t>
            </w:r>
          </w:p>
        </w:tc>
        <w:tc>
          <w:tcPr>
            <w:tcW w:w="0" w:type="auto"/>
            <w:hideMark/>
          </w:tcPr>
          <w:p w14:paraId="179691D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302.24</w:t>
            </w:r>
          </w:p>
        </w:tc>
        <w:tc>
          <w:tcPr>
            <w:tcW w:w="0" w:type="auto"/>
            <w:hideMark/>
          </w:tcPr>
          <w:p w14:paraId="0665948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1.7</w:t>
            </w:r>
          </w:p>
        </w:tc>
        <w:tc>
          <w:tcPr>
            <w:tcW w:w="0" w:type="auto"/>
            <w:hideMark/>
          </w:tcPr>
          <w:p w14:paraId="020024C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5</w:t>
            </w:r>
          </w:p>
        </w:tc>
        <w:tc>
          <w:tcPr>
            <w:tcW w:w="0" w:type="auto"/>
            <w:hideMark/>
          </w:tcPr>
          <w:p w14:paraId="5A9004C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7</w:t>
            </w:r>
          </w:p>
        </w:tc>
        <w:tc>
          <w:tcPr>
            <w:tcW w:w="0" w:type="auto"/>
            <w:hideMark/>
          </w:tcPr>
          <w:p w14:paraId="6213B39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127.29</w:t>
            </w:r>
          </w:p>
        </w:tc>
        <w:tc>
          <w:tcPr>
            <w:tcW w:w="1377" w:type="dxa"/>
            <w:hideMark/>
          </w:tcPr>
          <w:p w14:paraId="28DC7C6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w:t>
            </w:r>
          </w:p>
        </w:tc>
        <w:tc>
          <w:tcPr>
            <w:tcW w:w="2178" w:type="dxa"/>
            <w:hideMark/>
          </w:tcPr>
          <w:p w14:paraId="2D9DFE4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Soluble</w:t>
            </w:r>
          </w:p>
        </w:tc>
      </w:tr>
      <w:tr w:rsidR="008B46AE" w:rsidRPr="008B46AE" w14:paraId="587E1908" w14:textId="77777777" w:rsidTr="00117B5F">
        <w:tc>
          <w:tcPr>
            <w:tcW w:w="0" w:type="auto"/>
            <w:hideMark/>
          </w:tcPr>
          <w:p w14:paraId="0111610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Kaempferol</w:t>
            </w:r>
          </w:p>
        </w:tc>
        <w:tc>
          <w:tcPr>
            <w:tcW w:w="0" w:type="auto"/>
            <w:hideMark/>
          </w:tcPr>
          <w:p w14:paraId="12C43F5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286.24</w:t>
            </w:r>
          </w:p>
        </w:tc>
        <w:tc>
          <w:tcPr>
            <w:tcW w:w="0" w:type="auto"/>
            <w:hideMark/>
          </w:tcPr>
          <w:p w14:paraId="0DBE680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1.5</w:t>
            </w:r>
          </w:p>
        </w:tc>
        <w:tc>
          <w:tcPr>
            <w:tcW w:w="0" w:type="auto"/>
            <w:hideMark/>
          </w:tcPr>
          <w:p w14:paraId="5CAA038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w:t>
            </w:r>
          </w:p>
        </w:tc>
        <w:tc>
          <w:tcPr>
            <w:tcW w:w="0" w:type="auto"/>
            <w:hideMark/>
          </w:tcPr>
          <w:p w14:paraId="0156944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6</w:t>
            </w:r>
          </w:p>
        </w:tc>
        <w:tc>
          <w:tcPr>
            <w:tcW w:w="0" w:type="auto"/>
            <w:hideMark/>
          </w:tcPr>
          <w:p w14:paraId="7183EA9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111.12</w:t>
            </w:r>
          </w:p>
        </w:tc>
        <w:tc>
          <w:tcPr>
            <w:tcW w:w="1377" w:type="dxa"/>
            <w:hideMark/>
          </w:tcPr>
          <w:p w14:paraId="6CCBB1E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w:t>
            </w:r>
          </w:p>
        </w:tc>
        <w:tc>
          <w:tcPr>
            <w:tcW w:w="2178" w:type="dxa"/>
            <w:hideMark/>
          </w:tcPr>
          <w:p w14:paraId="5D747A2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Soluble</w:t>
            </w:r>
          </w:p>
        </w:tc>
      </w:tr>
      <w:tr w:rsidR="008B46AE" w:rsidRPr="008B46AE" w14:paraId="27F876DE" w14:textId="77777777" w:rsidTr="00117B5F">
        <w:tc>
          <w:tcPr>
            <w:tcW w:w="0" w:type="auto"/>
            <w:hideMark/>
          </w:tcPr>
          <w:p w14:paraId="789327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Eugenol</w:t>
            </w:r>
          </w:p>
        </w:tc>
        <w:tc>
          <w:tcPr>
            <w:tcW w:w="0" w:type="auto"/>
            <w:hideMark/>
          </w:tcPr>
          <w:p w14:paraId="4071035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164.20</w:t>
            </w:r>
          </w:p>
        </w:tc>
        <w:tc>
          <w:tcPr>
            <w:tcW w:w="0" w:type="auto"/>
            <w:hideMark/>
          </w:tcPr>
          <w:p w14:paraId="4A9963D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2.3</w:t>
            </w:r>
          </w:p>
        </w:tc>
        <w:tc>
          <w:tcPr>
            <w:tcW w:w="0" w:type="auto"/>
            <w:hideMark/>
          </w:tcPr>
          <w:p w14:paraId="7997FD0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w:t>
            </w:r>
          </w:p>
        </w:tc>
        <w:tc>
          <w:tcPr>
            <w:tcW w:w="0" w:type="auto"/>
            <w:hideMark/>
          </w:tcPr>
          <w:p w14:paraId="56D2F22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w:t>
            </w:r>
          </w:p>
        </w:tc>
        <w:tc>
          <w:tcPr>
            <w:tcW w:w="0" w:type="auto"/>
            <w:hideMark/>
          </w:tcPr>
          <w:p w14:paraId="75A0785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29.46</w:t>
            </w:r>
          </w:p>
        </w:tc>
        <w:tc>
          <w:tcPr>
            <w:tcW w:w="1377" w:type="dxa"/>
            <w:hideMark/>
          </w:tcPr>
          <w:p w14:paraId="283587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w:t>
            </w:r>
          </w:p>
        </w:tc>
        <w:tc>
          <w:tcPr>
            <w:tcW w:w="2178" w:type="dxa"/>
            <w:hideMark/>
          </w:tcPr>
          <w:p w14:paraId="28ADA0A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Soluble</w:t>
            </w:r>
          </w:p>
        </w:tc>
      </w:tr>
      <w:tr w:rsidR="008B46AE" w:rsidRPr="008B46AE" w14:paraId="6D1F9278" w14:textId="77777777" w:rsidTr="00117B5F">
        <w:tc>
          <w:tcPr>
            <w:tcW w:w="0" w:type="auto"/>
            <w:hideMark/>
          </w:tcPr>
          <w:p w14:paraId="01F4DA7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Luteolin</w:t>
            </w:r>
          </w:p>
        </w:tc>
        <w:tc>
          <w:tcPr>
            <w:tcW w:w="0" w:type="auto"/>
            <w:hideMark/>
          </w:tcPr>
          <w:p w14:paraId="296E13C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286.24</w:t>
            </w:r>
          </w:p>
        </w:tc>
        <w:tc>
          <w:tcPr>
            <w:tcW w:w="0" w:type="auto"/>
            <w:hideMark/>
          </w:tcPr>
          <w:p w14:paraId="7EFA49A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1.5</w:t>
            </w:r>
          </w:p>
        </w:tc>
        <w:tc>
          <w:tcPr>
            <w:tcW w:w="0" w:type="auto"/>
            <w:hideMark/>
          </w:tcPr>
          <w:p w14:paraId="62E8ACF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w:t>
            </w:r>
          </w:p>
        </w:tc>
        <w:tc>
          <w:tcPr>
            <w:tcW w:w="0" w:type="auto"/>
            <w:hideMark/>
          </w:tcPr>
          <w:p w14:paraId="1341429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6</w:t>
            </w:r>
          </w:p>
        </w:tc>
        <w:tc>
          <w:tcPr>
            <w:tcW w:w="0" w:type="auto"/>
            <w:hideMark/>
          </w:tcPr>
          <w:p w14:paraId="49A4B58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110.62</w:t>
            </w:r>
          </w:p>
        </w:tc>
        <w:tc>
          <w:tcPr>
            <w:tcW w:w="1377" w:type="dxa"/>
            <w:hideMark/>
          </w:tcPr>
          <w:p w14:paraId="4ED4127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w:t>
            </w:r>
          </w:p>
        </w:tc>
        <w:tc>
          <w:tcPr>
            <w:tcW w:w="2178" w:type="dxa"/>
            <w:hideMark/>
          </w:tcPr>
          <w:p w14:paraId="38D5620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Soluble</w:t>
            </w:r>
          </w:p>
        </w:tc>
      </w:tr>
      <w:tr w:rsidR="008B46AE" w:rsidRPr="008B46AE" w14:paraId="5825FAA3" w14:textId="77777777" w:rsidTr="00117B5F">
        <w:tc>
          <w:tcPr>
            <w:tcW w:w="0" w:type="auto"/>
            <w:hideMark/>
          </w:tcPr>
          <w:p w14:paraId="6F42E832"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Tenuifolin</w:t>
            </w:r>
            <w:proofErr w:type="spellEnd"/>
          </w:p>
        </w:tc>
        <w:tc>
          <w:tcPr>
            <w:tcW w:w="0" w:type="auto"/>
            <w:hideMark/>
          </w:tcPr>
          <w:p w14:paraId="74D2C7D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460.60</w:t>
            </w:r>
          </w:p>
        </w:tc>
        <w:tc>
          <w:tcPr>
            <w:tcW w:w="0" w:type="auto"/>
            <w:hideMark/>
          </w:tcPr>
          <w:p w14:paraId="554A534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3.8</w:t>
            </w:r>
          </w:p>
        </w:tc>
        <w:tc>
          <w:tcPr>
            <w:tcW w:w="0" w:type="auto"/>
            <w:hideMark/>
          </w:tcPr>
          <w:p w14:paraId="1F6AD87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w:t>
            </w:r>
          </w:p>
        </w:tc>
        <w:tc>
          <w:tcPr>
            <w:tcW w:w="0" w:type="auto"/>
            <w:hideMark/>
          </w:tcPr>
          <w:p w14:paraId="60FE194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6</w:t>
            </w:r>
          </w:p>
        </w:tc>
        <w:tc>
          <w:tcPr>
            <w:tcW w:w="0" w:type="auto"/>
            <w:hideMark/>
          </w:tcPr>
          <w:p w14:paraId="0F1BA0E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82.94</w:t>
            </w:r>
          </w:p>
        </w:tc>
        <w:tc>
          <w:tcPr>
            <w:tcW w:w="1377" w:type="dxa"/>
            <w:hideMark/>
          </w:tcPr>
          <w:p w14:paraId="31F903B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7</w:t>
            </w:r>
          </w:p>
        </w:tc>
        <w:tc>
          <w:tcPr>
            <w:tcW w:w="2178" w:type="dxa"/>
            <w:hideMark/>
          </w:tcPr>
          <w:p w14:paraId="3910E4C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Poorly soluble</w:t>
            </w:r>
          </w:p>
        </w:tc>
      </w:tr>
      <w:tr w:rsidR="008B46AE" w:rsidRPr="008B46AE" w14:paraId="2E45E272" w14:textId="77777777" w:rsidTr="00117B5F">
        <w:tc>
          <w:tcPr>
            <w:tcW w:w="0" w:type="auto"/>
            <w:hideMark/>
          </w:tcPr>
          <w:p w14:paraId="440D3693"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Onjisaponin</w:t>
            </w:r>
            <w:proofErr w:type="spellEnd"/>
          </w:p>
        </w:tc>
        <w:tc>
          <w:tcPr>
            <w:tcW w:w="0" w:type="auto"/>
            <w:hideMark/>
          </w:tcPr>
          <w:p w14:paraId="49F38CC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960.11</w:t>
            </w:r>
          </w:p>
        </w:tc>
        <w:tc>
          <w:tcPr>
            <w:tcW w:w="0" w:type="auto"/>
            <w:hideMark/>
          </w:tcPr>
          <w:p w14:paraId="1F6D87C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5.2</w:t>
            </w:r>
          </w:p>
        </w:tc>
        <w:tc>
          <w:tcPr>
            <w:tcW w:w="0" w:type="auto"/>
            <w:hideMark/>
          </w:tcPr>
          <w:p w14:paraId="47FF18C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4</w:t>
            </w:r>
          </w:p>
        </w:tc>
        <w:tc>
          <w:tcPr>
            <w:tcW w:w="0" w:type="auto"/>
            <w:hideMark/>
          </w:tcPr>
          <w:p w14:paraId="2065DC8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11</w:t>
            </w:r>
          </w:p>
        </w:tc>
        <w:tc>
          <w:tcPr>
            <w:tcW w:w="0" w:type="auto"/>
            <w:hideMark/>
          </w:tcPr>
          <w:p w14:paraId="7EC9681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154.69</w:t>
            </w:r>
          </w:p>
        </w:tc>
        <w:tc>
          <w:tcPr>
            <w:tcW w:w="1377" w:type="dxa"/>
            <w:hideMark/>
          </w:tcPr>
          <w:p w14:paraId="0FAB977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10</w:t>
            </w:r>
          </w:p>
        </w:tc>
        <w:tc>
          <w:tcPr>
            <w:tcW w:w="2178" w:type="dxa"/>
            <w:hideMark/>
          </w:tcPr>
          <w:p w14:paraId="44DEB15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Poorly soluble</w:t>
            </w:r>
          </w:p>
        </w:tc>
      </w:tr>
      <w:tr w:rsidR="008B46AE" w:rsidRPr="008B46AE" w14:paraId="3DCA4BB7" w14:textId="77777777" w:rsidTr="00117B5F">
        <w:tc>
          <w:tcPr>
            <w:tcW w:w="0" w:type="auto"/>
            <w:hideMark/>
          </w:tcPr>
          <w:p w14:paraId="4A0CFDB7"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Agnuside</w:t>
            </w:r>
            <w:proofErr w:type="spellEnd"/>
          </w:p>
        </w:tc>
        <w:tc>
          <w:tcPr>
            <w:tcW w:w="0" w:type="auto"/>
            <w:hideMark/>
          </w:tcPr>
          <w:p w14:paraId="6F6E283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372.37</w:t>
            </w:r>
          </w:p>
        </w:tc>
        <w:tc>
          <w:tcPr>
            <w:tcW w:w="0" w:type="auto"/>
            <w:hideMark/>
          </w:tcPr>
          <w:p w14:paraId="70091AB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2.0</w:t>
            </w:r>
          </w:p>
        </w:tc>
        <w:tc>
          <w:tcPr>
            <w:tcW w:w="0" w:type="auto"/>
            <w:hideMark/>
          </w:tcPr>
          <w:p w14:paraId="2853F2B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w:t>
            </w:r>
          </w:p>
        </w:tc>
        <w:tc>
          <w:tcPr>
            <w:tcW w:w="0" w:type="auto"/>
            <w:hideMark/>
          </w:tcPr>
          <w:p w14:paraId="379354E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w:t>
            </w:r>
          </w:p>
        </w:tc>
        <w:tc>
          <w:tcPr>
            <w:tcW w:w="0" w:type="auto"/>
            <w:hideMark/>
          </w:tcPr>
          <w:p w14:paraId="2A2C4C5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82.23</w:t>
            </w:r>
          </w:p>
        </w:tc>
        <w:tc>
          <w:tcPr>
            <w:tcW w:w="1377" w:type="dxa"/>
            <w:hideMark/>
          </w:tcPr>
          <w:p w14:paraId="0079E1E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w:t>
            </w:r>
          </w:p>
        </w:tc>
        <w:tc>
          <w:tcPr>
            <w:tcW w:w="2178" w:type="dxa"/>
            <w:hideMark/>
          </w:tcPr>
          <w:p w14:paraId="5EDC202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Moderately soluble</w:t>
            </w:r>
          </w:p>
        </w:tc>
      </w:tr>
      <w:tr w:rsidR="008B46AE" w:rsidRPr="008B46AE" w14:paraId="3F95CEC9" w14:textId="77777777" w:rsidTr="00117B5F">
        <w:tc>
          <w:tcPr>
            <w:tcW w:w="0" w:type="auto"/>
            <w:tcBorders>
              <w:bottom w:val="single" w:sz="4" w:space="0" w:color="auto"/>
            </w:tcBorders>
            <w:hideMark/>
          </w:tcPr>
          <w:p w14:paraId="14C77EBB"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Casticin</w:t>
            </w:r>
            <w:proofErr w:type="spellEnd"/>
          </w:p>
        </w:tc>
        <w:tc>
          <w:tcPr>
            <w:tcW w:w="0" w:type="auto"/>
            <w:tcBorders>
              <w:bottom w:val="single" w:sz="4" w:space="0" w:color="auto"/>
            </w:tcBorders>
            <w:hideMark/>
          </w:tcPr>
          <w:p w14:paraId="445577D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374.35</w:t>
            </w:r>
          </w:p>
        </w:tc>
        <w:tc>
          <w:tcPr>
            <w:tcW w:w="0" w:type="auto"/>
            <w:tcBorders>
              <w:bottom w:val="single" w:sz="4" w:space="0" w:color="auto"/>
            </w:tcBorders>
            <w:hideMark/>
          </w:tcPr>
          <w:p w14:paraId="1DE35DE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2.1</w:t>
            </w:r>
          </w:p>
        </w:tc>
        <w:tc>
          <w:tcPr>
            <w:tcW w:w="0" w:type="auto"/>
            <w:tcBorders>
              <w:bottom w:val="single" w:sz="4" w:space="0" w:color="auto"/>
            </w:tcBorders>
            <w:hideMark/>
          </w:tcPr>
          <w:p w14:paraId="3695545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3</w:t>
            </w:r>
          </w:p>
        </w:tc>
        <w:tc>
          <w:tcPr>
            <w:tcW w:w="0" w:type="auto"/>
            <w:tcBorders>
              <w:bottom w:val="single" w:sz="4" w:space="0" w:color="auto"/>
            </w:tcBorders>
            <w:hideMark/>
          </w:tcPr>
          <w:p w14:paraId="19D21C2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7</w:t>
            </w:r>
          </w:p>
        </w:tc>
        <w:tc>
          <w:tcPr>
            <w:tcW w:w="0" w:type="auto"/>
            <w:tcBorders>
              <w:bottom w:val="single" w:sz="4" w:space="0" w:color="auto"/>
            </w:tcBorders>
            <w:hideMark/>
          </w:tcPr>
          <w:p w14:paraId="2C8F9A2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96.36</w:t>
            </w:r>
          </w:p>
        </w:tc>
        <w:tc>
          <w:tcPr>
            <w:tcW w:w="1377" w:type="dxa"/>
            <w:tcBorders>
              <w:bottom w:val="single" w:sz="4" w:space="0" w:color="auto"/>
            </w:tcBorders>
            <w:hideMark/>
          </w:tcPr>
          <w:p w14:paraId="1C199F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w:t>
            </w:r>
          </w:p>
        </w:tc>
        <w:tc>
          <w:tcPr>
            <w:tcW w:w="2178" w:type="dxa"/>
            <w:tcBorders>
              <w:bottom w:val="single" w:sz="4" w:space="0" w:color="auto"/>
            </w:tcBorders>
            <w:hideMark/>
          </w:tcPr>
          <w:p w14:paraId="1E0EF9E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Moderately soluble</w:t>
            </w:r>
          </w:p>
        </w:tc>
      </w:tr>
    </w:tbl>
    <w:p w14:paraId="74E42E4C" w14:textId="77777777" w:rsidR="008B46AE" w:rsidRDefault="008B46AE" w:rsidP="008B46AE">
      <w:pPr>
        <w:spacing w:line="259" w:lineRule="auto"/>
        <w:jc w:val="both"/>
        <w:rPr>
          <w:rFonts w:ascii="Garamond" w:hAnsi="Garamond"/>
          <w:bCs/>
          <w:iCs/>
          <w:sz w:val="20"/>
          <w:szCs w:val="20"/>
        </w:rPr>
      </w:pPr>
    </w:p>
    <w:p w14:paraId="712AD3E0" w14:textId="368DB1A1"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analysis of physicochemical properties of the identified phytoconstituents given in table 2 reveals a range of solubility profiles, molecular weights (MW), and structural characteristics. Compounds such as berberine, coptisine, quercetin, and eugenol, with moderate molecular weights and favorable </w:t>
      </w:r>
      <w:proofErr w:type="spellStart"/>
      <w:r w:rsidRPr="008B46AE">
        <w:rPr>
          <w:rFonts w:ascii="Garamond" w:hAnsi="Garamond"/>
          <w:bCs/>
          <w:iCs/>
          <w:sz w:val="20"/>
          <w:szCs w:val="20"/>
        </w:rPr>
        <w:t>logP</w:t>
      </w:r>
      <w:proofErr w:type="spellEnd"/>
      <w:r w:rsidRPr="008B46AE">
        <w:rPr>
          <w:rFonts w:ascii="Garamond" w:hAnsi="Garamond"/>
          <w:bCs/>
          <w:iCs/>
          <w:sz w:val="20"/>
          <w:szCs w:val="20"/>
        </w:rPr>
        <w:t xml:space="preserve"> values, are soluble, indicating potential bioavailability. Conversely, </w:t>
      </w: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are poorly soluble, suggesting challenges in formulation or absorption. </w:t>
      </w:r>
      <w:r w:rsidRPr="008B46AE">
        <w:rPr>
          <w:rFonts w:ascii="Garamond" w:hAnsi="Garamond"/>
          <w:bCs/>
          <w:iCs/>
          <w:sz w:val="20"/>
          <w:szCs w:val="20"/>
        </w:rPr>
        <w:lastRenderedPageBreak/>
        <w:t>The diversity in hydrogen bond donors (HBD), acceptors (HBA), topological polar surface area (TPSA), and rotatable bonds reflects varied capabilities in drug-likeness and interaction with biological targets, informing their potential efficacy and formulation strategies for antimalarial applications</w:t>
      </w:r>
      <w:r w:rsidRPr="008B46AE">
        <w:rPr>
          <w:rFonts w:ascii="Garamond" w:hAnsi="Garamond"/>
          <w:bCs/>
          <w:iCs/>
          <w:sz w:val="20"/>
          <w:szCs w:val="20"/>
          <w:vertAlign w:val="superscript"/>
        </w:rPr>
        <w:t>24,25</w:t>
      </w:r>
      <w:r w:rsidRPr="008B46AE">
        <w:rPr>
          <w:rFonts w:ascii="Garamond" w:hAnsi="Garamond"/>
          <w:bCs/>
          <w:iCs/>
          <w:sz w:val="20"/>
          <w:szCs w:val="20"/>
        </w:rPr>
        <w:t>.</w:t>
      </w:r>
    </w:p>
    <w:p w14:paraId="2B04093E" w14:textId="77777777" w:rsidR="009269B1" w:rsidRDefault="009269B1" w:rsidP="008B46AE">
      <w:pPr>
        <w:spacing w:line="259" w:lineRule="auto"/>
        <w:jc w:val="both"/>
        <w:rPr>
          <w:rFonts w:ascii="Garamond" w:hAnsi="Garamond"/>
          <w:b/>
          <w:bCs/>
          <w:iCs/>
          <w:sz w:val="20"/>
          <w:szCs w:val="20"/>
        </w:rPr>
      </w:pPr>
    </w:p>
    <w:p w14:paraId="130F36EF" w14:textId="7225B0FF"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Table 3: Bioactivity Predictions</w:t>
      </w:r>
    </w:p>
    <w:tbl>
      <w:tblPr>
        <w:tblStyle w:val="TableGrid"/>
        <w:tblW w:w="10232"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919"/>
        <w:gridCol w:w="629"/>
        <w:gridCol w:w="435"/>
        <w:gridCol w:w="520"/>
        <w:gridCol w:w="520"/>
        <w:gridCol w:w="373"/>
        <w:gridCol w:w="435"/>
        <w:gridCol w:w="473"/>
        <w:gridCol w:w="400"/>
        <w:gridCol w:w="427"/>
        <w:gridCol w:w="386"/>
        <w:gridCol w:w="315"/>
        <w:gridCol w:w="480"/>
        <w:gridCol w:w="337"/>
        <w:gridCol w:w="471"/>
        <w:gridCol w:w="468"/>
        <w:gridCol w:w="435"/>
        <w:gridCol w:w="498"/>
        <w:gridCol w:w="435"/>
      </w:tblGrid>
      <w:tr w:rsidR="008B46AE" w:rsidRPr="008B46AE" w14:paraId="7885287A" w14:textId="77777777" w:rsidTr="00117B5F">
        <w:tc>
          <w:tcPr>
            <w:tcW w:w="1276" w:type="dxa"/>
            <w:tcBorders>
              <w:top w:val="single" w:sz="4" w:space="0" w:color="auto"/>
              <w:bottom w:val="single" w:sz="4" w:space="0" w:color="auto"/>
            </w:tcBorders>
            <w:hideMark/>
          </w:tcPr>
          <w:p w14:paraId="49BB1A5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Compound</w:t>
            </w:r>
          </w:p>
        </w:tc>
        <w:tc>
          <w:tcPr>
            <w:tcW w:w="919" w:type="dxa"/>
            <w:tcBorders>
              <w:top w:val="single" w:sz="4" w:space="0" w:color="auto"/>
              <w:bottom w:val="single" w:sz="4" w:space="0" w:color="auto"/>
            </w:tcBorders>
            <w:hideMark/>
          </w:tcPr>
          <w:p w14:paraId="29EF035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Acetylcholinesterase</w:t>
            </w:r>
          </w:p>
        </w:tc>
        <w:tc>
          <w:tcPr>
            <w:tcW w:w="629" w:type="dxa"/>
            <w:tcBorders>
              <w:top w:val="single" w:sz="4" w:space="0" w:color="auto"/>
              <w:bottom w:val="single" w:sz="4" w:space="0" w:color="auto"/>
            </w:tcBorders>
            <w:hideMark/>
          </w:tcPr>
          <w:p w14:paraId="51607BE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α-Glucosidase</w:t>
            </w:r>
          </w:p>
        </w:tc>
        <w:tc>
          <w:tcPr>
            <w:tcW w:w="435" w:type="dxa"/>
            <w:tcBorders>
              <w:top w:val="single" w:sz="4" w:space="0" w:color="auto"/>
              <w:bottom w:val="single" w:sz="4" w:space="0" w:color="auto"/>
            </w:tcBorders>
            <w:hideMark/>
          </w:tcPr>
          <w:p w14:paraId="7D7ED99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CDK2</w:t>
            </w:r>
          </w:p>
        </w:tc>
        <w:tc>
          <w:tcPr>
            <w:tcW w:w="520" w:type="dxa"/>
            <w:tcBorders>
              <w:top w:val="single" w:sz="4" w:space="0" w:color="auto"/>
              <w:bottom w:val="single" w:sz="4" w:space="0" w:color="auto"/>
            </w:tcBorders>
            <w:hideMark/>
          </w:tcPr>
          <w:p w14:paraId="066F1D74"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CYP2C9</w:t>
            </w:r>
          </w:p>
        </w:tc>
        <w:tc>
          <w:tcPr>
            <w:tcW w:w="520" w:type="dxa"/>
            <w:tcBorders>
              <w:top w:val="single" w:sz="4" w:space="0" w:color="auto"/>
              <w:bottom w:val="single" w:sz="4" w:space="0" w:color="auto"/>
            </w:tcBorders>
            <w:hideMark/>
          </w:tcPr>
          <w:p w14:paraId="6FC98E48"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CYP3A4</w:t>
            </w:r>
          </w:p>
        </w:tc>
        <w:tc>
          <w:tcPr>
            <w:tcW w:w="373" w:type="dxa"/>
            <w:tcBorders>
              <w:top w:val="single" w:sz="4" w:space="0" w:color="auto"/>
              <w:bottom w:val="single" w:sz="4" w:space="0" w:color="auto"/>
            </w:tcBorders>
            <w:hideMark/>
          </w:tcPr>
          <w:p w14:paraId="22644144"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ERα</w:t>
            </w:r>
          </w:p>
        </w:tc>
        <w:tc>
          <w:tcPr>
            <w:tcW w:w="435" w:type="dxa"/>
            <w:tcBorders>
              <w:top w:val="single" w:sz="4" w:space="0" w:color="auto"/>
              <w:bottom w:val="single" w:sz="4" w:space="0" w:color="auto"/>
            </w:tcBorders>
            <w:hideMark/>
          </w:tcPr>
          <w:p w14:paraId="7B2890C3"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Hsp90</w:t>
            </w:r>
          </w:p>
        </w:tc>
        <w:tc>
          <w:tcPr>
            <w:tcW w:w="473" w:type="dxa"/>
            <w:tcBorders>
              <w:top w:val="single" w:sz="4" w:space="0" w:color="auto"/>
              <w:bottom w:val="single" w:sz="4" w:space="0" w:color="auto"/>
            </w:tcBorders>
            <w:hideMark/>
          </w:tcPr>
          <w:p w14:paraId="5E46787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NaV1.5</w:t>
            </w:r>
          </w:p>
        </w:tc>
        <w:tc>
          <w:tcPr>
            <w:tcW w:w="400" w:type="dxa"/>
            <w:tcBorders>
              <w:top w:val="single" w:sz="4" w:space="0" w:color="auto"/>
              <w:bottom w:val="single" w:sz="4" w:space="0" w:color="auto"/>
            </w:tcBorders>
            <w:hideMark/>
          </w:tcPr>
          <w:p w14:paraId="5088F966"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PI3K</w:t>
            </w:r>
          </w:p>
        </w:tc>
        <w:tc>
          <w:tcPr>
            <w:tcW w:w="427" w:type="dxa"/>
            <w:tcBorders>
              <w:top w:val="single" w:sz="4" w:space="0" w:color="auto"/>
              <w:bottom w:val="single" w:sz="4" w:space="0" w:color="auto"/>
            </w:tcBorders>
            <w:hideMark/>
          </w:tcPr>
          <w:p w14:paraId="31D49B6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SERT</w:t>
            </w:r>
          </w:p>
        </w:tc>
        <w:tc>
          <w:tcPr>
            <w:tcW w:w="386" w:type="dxa"/>
            <w:tcBorders>
              <w:top w:val="single" w:sz="4" w:space="0" w:color="auto"/>
              <w:bottom w:val="single" w:sz="4" w:space="0" w:color="auto"/>
            </w:tcBorders>
            <w:hideMark/>
          </w:tcPr>
          <w:p w14:paraId="445B17C9"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α1A-AR</w:t>
            </w:r>
          </w:p>
        </w:tc>
        <w:tc>
          <w:tcPr>
            <w:tcW w:w="315" w:type="dxa"/>
            <w:tcBorders>
              <w:top w:val="single" w:sz="4" w:space="0" w:color="auto"/>
              <w:bottom w:val="single" w:sz="4" w:space="0" w:color="auto"/>
            </w:tcBorders>
            <w:hideMark/>
          </w:tcPr>
          <w:p w14:paraId="75AC5188"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D2</w:t>
            </w:r>
          </w:p>
        </w:tc>
        <w:tc>
          <w:tcPr>
            <w:tcW w:w="480" w:type="dxa"/>
            <w:tcBorders>
              <w:top w:val="single" w:sz="4" w:space="0" w:color="auto"/>
              <w:bottom w:val="single" w:sz="4" w:space="0" w:color="auto"/>
            </w:tcBorders>
            <w:hideMark/>
          </w:tcPr>
          <w:p w14:paraId="6EC0D49A"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GLP1R</w:t>
            </w:r>
          </w:p>
        </w:tc>
        <w:tc>
          <w:tcPr>
            <w:tcW w:w="337" w:type="dxa"/>
            <w:tcBorders>
              <w:top w:val="single" w:sz="4" w:space="0" w:color="auto"/>
              <w:bottom w:val="single" w:sz="4" w:space="0" w:color="auto"/>
            </w:tcBorders>
            <w:hideMark/>
          </w:tcPr>
          <w:p w14:paraId="76A8FE12"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GR</w:t>
            </w:r>
          </w:p>
        </w:tc>
        <w:tc>
          <w:tcPr>
            <w:tcW w:w="471" w:type="dxa"/>
            <w:tcBorders>
              <w:top w:val="single" w:sz="4" w:space="0" w:color="auto"/>
              <w:bottom w:val="single" w:sz="4" w:space="0" w:color="auto"/>
            </w:tcBorders>
            <w:hideMark/>
          </w:tcPr>
          <w:p w14:paraId="4C27E88E"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PARP1</w:t>
            </w:r>
          </w:p>
        </w:tc>
        <w:tc>
          <w:tcPr>
            <w:tcW w:w="468" w:type="dxa"/>
            <w:tcBorders>
              <w:top w:val="single" w:sz="4" w:space="0" w:color="auto"/>
              <w:bottom w:val="single" w:sz="4" w:space="0" w:color="auto"/>
            </w:tcBorders>
            <w:hideMark/>
          </w:tcPr>
          <w:p w14:paraId="32117EB5" w14:textId="77777777" w:rsidR="008B46AE" w:rsidRPr="008B46AE" w:rsidRDefault="008B46AE" w:rsidP="008B46AE">
            <w:pPr>
              <w:spacing w:line="259" w:lineRule="auto"/>
              <w:jc w:val="both"/>
              <w:rPr>
                <w:rFonts w:ascii="Garamond" w:hAnsi="Garamond"/>
                <w:b/>
                <w:bCs/>
                <w:iCs/>
                <w:sz w:val="20"/>
                <w:szCs w:val="20"/>
              </w:rPr>
            </w:pPr>
            <w:proofErr w:type="spellStart"/>
            <w:r w:rsidRPr="008B46AE">
              <w:rPr>
                <w:rFonts w:ascii="Garamond" w:hAnsi="Garamond"/>
                <w:b/>
                <w:bCs/>
                <w:iCs/>
                <w:sz w:val="20"/>
                <w:szCs w:val="20"/>
              </w:rPr>
              <w:t>PPARγ</w:t>
            </w:r>
            <w:proofErr w:type="spellEnd"/>
          </w:p>
        </w:tc>
        <w:tc>
          <w:tcPr>
            <w:tcW w:w="435" w:type="dxa"/>
            <w:tcBorders>
              <w:top w:val="single" w:sz="4" w:space="0" w:color="auto"/>
              <w:bottom w:val="single" w:sz="4" w:space="0" w:color="auto"/>
            </w:tcBorders>
            <w:hideMark/>
          </w:tcPr>
          <w:p w14:paraId="6436A78A"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RXRα</w:t>
            </w:r>
          </w:p>
        </w:tc>
        <w:tc>
          <w:tcPr>
            <w:tcW w:w="498" w:type="dxa"/>
            <w:tcBorders>
              <w:top w:val="single" w:sz="4" w:space="0" w:color="auto"/>
              <w:bottom w:val="single" w:sz="4" w:space="0" w:color="auto"/>
            </w:tcBorders>
            <w:hideMark/>
          </w:tcPr>
          <w:p w14:paraId="1FC64568"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MMP13</w:t>
            </w:r>
          </w:p>
        </w:tc>
        <w:tc>
          <w:tcPr>
            <w:tcW w:w="435" w:type="dxa"/>
            <w:tcBorders>
              <w:top w:val="single" w:sz="4" w:space="0" w:color="auto"/>
              <w:bottom w:val="single" w:sz="4" w:space="0" w:color="auto"/>
            </w:tcBorders>
            <w:hideMark/>
          </w:tcPr>
          <w:p w14:paraId="14616C51"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TSHR</w:t>
            </w:r>
          </w:p>
        </w:tc>
      </w:tr>
      <w:tr w:rsidR="008B46AE" w:rsidRPr="008B46AE" w14:paraId="38DFF88E" w14:textId="77777777" w:rsidTr="00117B5F">
        <w:tc>
          <w:tcPr>
            <w:tcW w:w="1276" w:type="dxa"/>
            <w:tcBorders>
              <w:top w:val="single" w:sz="4" w:space="0" w:color="auto"/>
            </w:tcBorders>
            <w:hideMark/>
          </w:tcPr>
          <w:p w14:paraId="276ED459"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Echitamine</w:t>
            </w:r>
            <w:proofErr w:type="spellEnd"/>
          </w:p>
        </w:tc>
        <w:tc>
          <w:tcPr>
            <w:tcW w:w="919" w:type="dxa"/>
            <w:tcBorders>
              <w:top w:val="single" w:sz="4" w:space="0" w:color="auto"/>
            </w:tcBorders>
            <w:hideMark/>
          </w:tcPr>
          <w:p w14:paraId="61D50FE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tcBorders>
              <w:top w:val="single" w:sz="4" w:space="0" w:color="auto"/>
            </w:tcBorders>
            <w:hideMark/>
          </w:tcPr>
          <w:p w14:paraId="45D00C4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tcBorders>
              <w:top w:val="single" w:sz="4" w:space="0" w:color="auto"/>
            </w:tcBorders>
            <w:hideMark/>
          </w:tcPr>
          <w:p w14:paraId="5972CC5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tcBorders>
              <w:top w:val="single" w:sz="4" w:space="0" w:color="auto"/>
            </w:tcBorders>
            <w:hideMark/>
          </w:tcPr>
          <w:p w14:paraId="2415FE5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tcBorders>
              <w:top w:val="single" w:sz="4" w:space="0" w:color="auto"/>
            </w:tcBorders>
            <w:hideMark/>
          </w:tcPr>
          <w:p w14:paraId="7ACA6C0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tcBorders>
              <w:top w:val="single" w:sz="4" w:space="0" w:color="auto"/>
            </w:tcBorders>
            <w:hideMark/>
          </w:tcPr>
          <w:p w14:paraId="429F130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tcBorders>
              <w:top w:val="single" w:sz="4" w:space="0" w:color="auto"/>
            </w:tcBorders>
            <w:hideMark/>
          </w:tcPr>
          <w:p w14:paraId="6BA995E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tcBorders>
              <w:top w:val="single" w:sz="4" w:space="0" w:color="auto"/>
            </w:tcBorders>
            <w:hideMark/>
          </w:tcPr>
          <w:p w14:paraId="63E9D9F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tcBorders>
              <w:top w:val="single" w:sz="4" w:space="0" w:color="auto"/>
            </w:tcBorders>
            <w:hideMark/>
          </w:tcPr>
          <w:p w14:paraId="1D5C11E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tcBorders>
              <w:top w:val="single" w:sz="4" w:space="0" w:color="auto"/>
            </w:tcBorders>
            <w:hideMark/>
          </w:tcPr>
          <w:p w14:paraId="7026B83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tcBorders>
              <w:top w:val="single" w:sz="4" w:space="0" w:color="auto"/>
            </w:tcBorders>
            <w:hideMark/>
          </w:tcPr>
          <w:p w14:paraId="1875B06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tcBorders>
              <w:top w:val="single" w:sz="4" w:space="0" w:color="auto"/>
            </w:tcBorders>
            <w:hideMark/>
          </w:tcPr>
          <w:p w14:paraId="75FE4A7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tcBorders>
              <w:top w:val="single" w:sz="4" w:space="0" w:color="auto"/>
            </w:tcBorders>
            <w:hideMark/>
          </w:tcPr>
          <w:p w14:paraId="377AD32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tcBorders>
              <w:top w:val="single" w:sz="4" w:space="0" w:color="auto"/>
            </w:tcBorders>
            <w:hideMark/>
          </w:tcPr>
          <w:p w14:paraId="7E02590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tcBorders>
              <w:top w:val="single" w:sz="4" w:space="0" w:color="auto"/>
            </w:tcBorders>
            <w:hideMark/>
          </w:tcPr>
          <w:p w14:paraId="3B1F2D2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tcBorders>
              <w:top w:val="single" w:sz="4" w:space="0" w:color="auto"/>
            </w:tcBorders>
            <w:hideMark/>
          </w:tcPr>
          <w:p w14:paraId="3614EF1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tcBorders>
              <w:top w:val="single" w:sz="4" w:space="0" w:color="auto"/>
            </w:tcBorders>
            <w:hideMark/>
          </w:tcPr>
          <w:p w14:paraId="5C2513B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tcBorders>
              <w:top w:val="single" w:sz="4" w:space="0" w:color="auto"/>
            </w:tcBorders>
            <w:hideMark/>
          </w:tcPr>
          <w:p w14:paraId="1572C6A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tcBorders>
              <w:top w:val="single" w:sz="4" w:space="0" w:color="auto"/>
            </w:tcBorders>
            <w:hideMark/>
          </w:tcPr>
          <w:p w14:paraId="6F3AAB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r>
      <w:tr w:rsidR="008B46AE" w:rsidRPr="008B46AE" w14:paraId="11AED937" w14:textId="77777777" w:rsidTr="00117B5F">
        <w:tc>
          <w:tcPr>
            <w:tcW w:w="1276" w:type="dxa"/>
            <w:hideMark/>
          </w:tcPr>
          <w:p w14:paraId="034F2D24"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Scholaricine</w:t>
            </w:r>
            <w:proofErr w:type="spellEnd"/>
          </w:p>
        </w:tc>
        <w:tc>
          <w:tcPr>
            <w:tcW w:w="919" w:type="dxa"/>
            <w:hideMark/>
          </w:tcPr>
          <w:p w14:paraId="0F83717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40A5466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F8A387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14A58B7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2DE44AB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2A1248C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A80053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3C55DF6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4568885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5643A9E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7CDAE30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74438B8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5E4BD4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1E2A60E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5AD3CA3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0A01937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798252B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17ACB35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5769D21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r>
      <w:tr w:rsidR="008B46AE" w:rsidRPr="008B46AE" w14:paraId="51D7CFFC" w14:textId="77777777" w:rsidTr="00117B5F">
        <w:tc>
          <w:tcPr>
            <w:tcW w:w="1276" w:type="dxa"/>
            <w:hideMark/>
          </w:tcPr>
          <w:p w14:paraId="7BCFC04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Berberine</w:t>
            </w:r>
          </w:p>
        </w:tc>
        <w:tc>
          <w:tcPr>
            <w:tcW w:w="919" w:type="dxa"/>
            <w:hideMark/>
          </w:tcPr>
          <w:p w14:paraId="6C1192C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7938D4B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444D35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2F6C4AE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688276C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7012A71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6A153E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461BCA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334237E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0E66AA6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13A3E7F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1206D19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2AA24B3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2F2B746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311CCEC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3935C02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5E1A38F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2F07510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46BCBE28"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390BACEE" w14:textId="77777777" w:rsidTr="00117B5F">
        <w:tc>
          <w:tcPr>
            <w:tcW w:w="1276" w:type="dxa"/>
            <w:hideMark/>
          </w:tcPr>
          <w:p w14:paraId="5F52CD0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Coptisine</w:t>
            </w:r>
          </w:p>
        </w:tc>
        <w:tc>
          <w:tcPr>
            <w:tcW w:w="919" w:type="dxa"/>
            <w:hideMark/>
          </w:tcPr>
          <w:p w14:paraId="068FDD7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582FA48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36C78C6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206268E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7A5FD1D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49030A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4C86CF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6809F5C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6126EB9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2D2A172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42C78F6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7CD4765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7DCDF73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61912D8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198C715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3BE482D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487BB44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4CC05A5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0A56A52F"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0BC48561" w14:textId="77777777" w:rsidTr="00117B5F">
        <w:tc>
          <w:tcPr>
            <w:tcW w:w="1276" w:type="dxa"/>
            <w:hideMark/>
          </w:tcPr>
          <w:p w14:paraId="0FF5EA6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Quercetin</w:t>
            </w:r>
          </w:p>
        </w:tc>
        <w:tc>
          <w:tcPr>
            <w:tcW w:w="919" w:type="dxa"/>
            <w:hideMark/>
          </w:tcPr>
          <w:p w14:paraId="682F016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6E55DA4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6EA2E9E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7AF3E0D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790477A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3B70529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5F1E030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1D6669D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7CF788E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3F4C661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70F5DF4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23831C2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77DBE61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4A17366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779002C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6AC7B74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0ACF0C1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44108EF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4A49C983"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08157599" w14:textId="77777777" w:rsidTr="00117B5F">
        <w:tc>
          <w:tcPr>
            <w:tcW w:w="1276" w:type="dxa"/>
            <w:hideMark/>
          </w:tcPr>
          <w:p w14:paraId="0D3D851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Kaempferol</w:t>
            </w:r>
          </w:p>
        </w:tc>
        <w:tc>
          <w:tcPr>
            <w:tcW w:w="919" w:type="dxa"/>
            <w:hideMark/>
          </w:tcPr>
          <w:p w14:paraId="0C27E60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71B05B2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5A4F0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73B8E2B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16DF5D0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1201A73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6479E87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33D7E92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7D17974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0D12E45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28CED95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2273A7A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49F2B5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7F3B7C7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2823338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697DA35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3EFB81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6E7522E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EC85FF1"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51B953D2" w14:textId="77777777" w:rsidTr="00117B5F">
        <w:tc>
          <w:tcPr>
            <w:tcW w:w="1276" w:type="dxa"/>
            <w:hideMark/>
          </w:tcPr>
          <w:p w14:paraId="3A4D284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Eugenol</w:t>
            </w:r>
          </w:p>
        </w:tc>
        <w:tc>
          <w:tcPr>
            <w:tcW w:w="919" w:type="dxa"/>
            <w:hideMark/>
          </w:tcPr>
          <w:p w14:paraId="3D0F006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038EB29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4659EB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1986F99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6A21322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168CD88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345BAA4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3B9F591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6B29297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25285B8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184B09D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11C5CD8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6C6BA6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78ED43C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414EEF4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0C3F697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77BDC3C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460DC44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92F96CF"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0E7D804C" w14:textId="77777777" w:rsidTr="00117B5F">
        <w:tc>
          <w:tcPr>
            <w:tcW w:w="1276" w:type="dxa"/>
            <w:hideMark/>
          </w:tcPr>
          <w:p w14:paraId="4DD18A3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Luteolin</w:t>
            </w:r>
          </w:p>
        </w:tc>
        <w:tc>
          <w:tcPr>
            <w:tcW w:w="919" w:type="dxa"/>
            <w:hideMark/>
          </w:tcPr>
          <w:p w14:paraId="7AB01B2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510F53D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5410CF8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23F729A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5C05551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539F1FE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A9725F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3397B6F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5E53EE5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54EB3EB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5FD10A4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7183466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5431327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7E68DC1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17D10DD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4A0BD74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434E9C2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39C96A7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7F056EED"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1DEE8563" w14:textId="77777777" w:rsidTr="00117B5F">
        <w:tc>
          <w:tcPr>
            <w:tcW w:w="1276" w:type="dxa"/>
            <w:hideMark/>
          </w:tcPr>
          <w:p w14:paraId="7FAFA35F"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Tenuifolin</w:t>
            </w:r>
            <w:proofErr w:type="spellEnd"/>
          </w:p>
        </w:tc>
        <w:tc>
          <w:tcPr>
            <w:tcW w:w="919" w:type="dxa"/>
            <w:hideMark/>
          </w:tcPr>
          <w:p w14:paraId="101B637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05C3415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2EAF800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1DCF4DF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34EE796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3BB5717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3ACEA96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2546106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0BF0823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24C0F57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19959C8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1BA235F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38FD1F8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61AFF70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36A4B81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6836F71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1FB1F1B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0891DFF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5F496682"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44FA8067" w14:textId="77777777" w:rsidTr="00117B5F">
        <w:tc>
          <w:tcPr>
            <w:tcW w:w="1276" w:type="dxa"/>
            <w:hideMark/>
          </w:tcPr>
          <w:p w14:paraId="627FD99D"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Onjisaponin</w:t>
            </w:r>
            <w:proofErr w:type="spellEnd"/>
          </w:p>
        </w:tc>
        <w:tc>
          <w:tcPr>
            <w:tcW w:w="919" w:type="dxa"/>
            <w:hideMark/>
          </w:tcPr>
          <w:p w14:paraId="5DCC542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02C4EFC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5830559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514FDAE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7F8D62A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6E0E63E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391A860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4994ABE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6793DC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2E85497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4A61112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08DD0A9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22EB5C5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3A42D65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3124B14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67B2A29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4B13C5C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509858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7F99A922"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281CAFDB" w14:textId="77777777" w:rsidTr="00117B5F">
        <w:tc>
          <w:tcPr>
            <w:tcW w:w="1276" w:type="dxa"/>
            <w:hideMark/>
          </w:tcPr>
          <w:p w14:paraId="591CBD6B"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Agnuside</w:t>
            </w:r>
            <w:proofErr w:type="spellEnd"/>
          </w:p>
        </w:tc>
        <w:tc>
          <w:tcPr>
            <w:tcW w:w="919" w:type="dxa"/>
            <w:hideMark/>
          </w:tcPr>
          <w:p w14:paraId="3E9B8F1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hideMark/>
          </w:tcPr>
          <w:p w14:paraId="70CCF0F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014539D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57C93F6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hideMark/>
          </w:tcPr>
          <w:p w14:paraId="5E9333A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hideMark/>
          </w:tcPr>
          <w:p w14:paraId="5030968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730BC09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hideMark/>
          </w:tcPr>
          <w:p w14:paraId="24E82AE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hideMark/>
          </w:tcPr>
          <w:p w14:paraId="79C20B9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hideMark/>
          </w:tcPr>
          <w:p w14:paraId="2444C5B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hideMark/>
          </w:tcPr>
          <w:p w14:paraId="7D61567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hideMark/>
          </w:tcPr>
          <w:p w14:paraId="1A3E14E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hideMark/>
          </w:tcPr>
          <w:p w14:paraId="5AB4B27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hideMark/>
          </w:tcPr>
          <w:p w14:paraId="612F632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hideMark/>
          </w:tcPr>
          <w:p w14:paraId="71FCE7C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hideMark/>
          </w:tcPr>
          <w:p w14:paraId="0E539D4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38C4545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hideMark/>
          </w:tcPr>
          <w:p w14:paraId="5EE3D73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65C3EB09" w14:textId="77777777" w:rsidR="008B46AE" w:rsidRPr="008B46AE" w:rsidRDefault="008B46AE" w:rsidP="008B46AE">
            <w:pPr>
              <w:spacing w:line="259" w:lineRule="auto"/>
              <w:jc w:val="both"/>
              <w:rPr>
                <w:rFonts w:ascii="Garamond" w:hAnsi="Garamond"/>
                <w:bCs/>
                <w:iCs/>
                <w:sz w:val="20"/>
                <w:szCs w:val="20"/>
              </w:rPr>
            </w:pPr>
          </w:p>
        </w:tc>
      </w:tr>
      <w:tr w:rsidR="008B46AE" w:rsidRPr="008B46AE" w14:paraId="6D773675" w14:textId="77777777" w:rsidTr="00117B5F">
        <w:tc>
          <w:tcPr>
            <w:tcW w:w="1276" w:type="dxa"/>
            <w:tcBorders>
              <w:bottom w:val="single" w:sz="4" w:space="0" w:color="auto"/>
            </w:tcBorders>
            <w:hideMark/>
          </w:tcPr>
          <w:p w14:paraId="6F933A80"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Casticin</w:t>
            </w:r>
            <w:proofErr w:type="spellEnd"/>
          </w:p>
        </w:tc>
        <w:tc>
          <w:tcPr>
            <w:tcW w:w="919" w:type="dxa"/>
            <w:tcBorders>
              <w:bottom w:val="single" w:sz="4" w:space="0" w:color="auto"/>
            </w:tcBorders>
            <w:hideMark/>
          </w:tcPr>
          <w:p w14:paraId="7E38277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629" w:type="dxa"/>
            <w:tcBorders>
              <w:bottom w:val="single" w:sz="4" w:space="0" w:color="auto"/>
            </w:tcBorders>
            <w:hideMark/>
          </w:tcPr>
          <w:p w14:paraId="4B4E56C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tcBorders>
              <w:bottom w:val="single" w:sz="4" w:space="0" w:color="auto"/>
            </w:tcBorders>
            <w:hideMark/>
          </w:tcPr>
          <w:p w14:paraId="176498D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tcBorders>
              <w:bottom w:val="single" w:sz="4" w:space="0" w:color="auto"/>
            </w:tcBorders>
            <w:hideMark/>
          </w:tcPr>
          <w:p w14:paraId="09493E7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520" w:type="dxa"/>
            <w:tcBorders>
              <w:bottom w:val="single" w:sz="4" w:space="0" w:color="auto"/>
            </w:tcBorders>
            <w:hideMark/>
          </w:tcPr>
          <w:p w14:paraId="59ED149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73" w:type="dxa"/>
            <w:tcBorders>
              <w:bottom w:val="single" w:sz="4" w:space="0" w:color="auto"/>
            </w:tcBorders>
            <w:hideMark/>
          </w:tcPr>
          <w:p w14:paraId="773BF71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tcBorders>
              <w:bottom w:val="single" w:sz="4" w:space="0" w:color="auto"/>
            </w:tcBorders>
            <w:hideMark/>
          </w:tcPr>
          <w:p w14:paraId="528402F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3" w:type="dxa"/>
            <w:tcBorders>
              <w:bottom w:val="single" w:sz="4" w:space="0" w:color="auto"/>
            </w:tcBorders>
            <w:hideMark/>
          </w:tcPr>
          <w:p w14:paraId="2D72286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00" w:type="dxa"/>
            <w:tcBorders>
              <w:bottom w:val="single" w:sz="4" w:space="0" w:color="auto"/>
            </w:tcBorders>
            <w:hideMark/>
          </w:tcPr>
          <w:p w14:paraId="0F83CDA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27" w:type="dxa"/>
            <w:tcBorders>
              <w:bottom w:val="single" w:sz="4" w:space="0" w:color="auto"/>
            </w:tcBorders>
            <w:hideMark/>
          </w:tcPr>
          <w:p w14:paraId="4E7482C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86" w:type="dxa"/>
            <w:tcBorders>
              <w:bottom w:val="single" w:sz="4" w:space="0" w:color="auto"/>
            </w:tcBorders>
            <w:hideMark/>
          </w:tcPr>
          <w:p w14:paraId="66C9548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15" w:type="dxa"/>
            <w:tcBorders>
              <w:bottom w:val="single" w:sz="4" w:space="0" w:color="auto"/>
            </w:tcBorders>
            <w:hideMark/>
          </w:tcPr>
          <w:p w14:paraId="54BD534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80" w:type="dxa"/>
            <w:tcBorders>
              <w:bottom w:val="single" w:sz="4" w:space="0" w:color="auto"/>
            </w:tcBorders>
            <w:hideMark/>
          </w:tcPr>
          <w:p w14:paraId="7E31A60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337" w:type="dxa"/>
            <w:tcBorders>
              <w:bottom w:val="single" w:sz="4" w:space="0" w:color="auto"/>
            </w:tcBorders>
            <w:hideMark/>
          </w:tcPr>
          <w:p w14:paraId="51BA904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71" w:type="dxa"/>
            <w:tcBorders>
              <w:bottom w:val="single" w:sz="4" w:space="0" w:color="auto"/>
            </w:tcBorders>
            <w:hideMark/>
          </w:tcPr>
          <w:p w14:paraId="7D3E409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68" w:type="dxa"/>
            <w:tcBorders>
              <w:bottom w:val="single" w:sz="4" w:space="0" w:color="auto"/>
            </w:tcBorders>
            <w:hideMark/>
          </w:tcPr>
          <w:p w14:paraId="58400B2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tcBorders>
              <w:bottom w:val="single" w:sz="4" w:space="0" w:color="auto"/>
            </w:tcBorders>
            <w:hideMark/>
          </w:tcPr>
          <w:p w14:paraId="2BF81F5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98" w:type="dxa"/>
            <w:tcBorders>
              <w:bottom w:val="single" w:sz="4" w:space="0" w:color="auto"/>
            </w:tcBorders>
            <w:hideMark/>
          </w:tcPr>
          <w:p w14:paraId="68D766C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w:t>
            </w:r>
          </w:p>
        </w:tc>
        <w:tc>
          <w:tcPr>
            <w:tcW w:w="435" w:type="dxa"/>
            <w:hideMark/>
          </w:tcPr>
          <w:p w14:paraId="2A8FE5FF" w14:textId="77777777" w:rsidR="008B46AE" w:rsidRPr="008B46AE" w:rsidRDefault="008B46AE" w:rsidP="008B46AE">
            <w:pPr>
              <w:spacing w:line="259" w:lineRule="auto"/>
              <w:jc w:val="both"/>
              <w:rPr>
                <w:rFonts w:ascii="Garamond" w:hAnsi="Garamond"/>
                <w:bCs/>
                <w:iCs/>
                <w:sz w:val="20"/>
                <w:szCs w:val="20"/>
              </w:rPr>
            </w:pPr>
          </w:p>
        </w:tc>
      </w:tr>
    </w:tbl>
    <w:p w14:paraId="11712A02" w14:textId="77777777" w:rsidR="008B46AE" w:rsidRPr="008B46AE" w:rsidRDefault="008B46AE" w:rsidP="008B46AE">
      <w:pPr>
        <w:spacing w:line="259" w:lineRule="auto"/>
        <w:jc w:val="both"/>
        <w:rPr>
          <w:rFonts w:ascii="Garamond" w:hAnsi="Garamond"/>
          <w:bCs/>
          <w:iCs/>
          <w:sz w:val="20"/>
          <w:szCs w:val="20"/>
        </w:rPr>
      </w:pPr>
    </w:p>
    <w:p w14:paraId="3D6539D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bioactivity predictions for the identified phytoconstituents given in table 3 highlight their diverse molecular interactions, with notable inhibition of α-glucosidase, ERα, and various kinases. Berberine, coptisine, and luteolin exhibit broad-spectrum activity, including inhibition of CDK2, CYP3A4, and </w:t>
      </w:r>
      <w:proofErr w:type="spellStart"/>
      <w:r w:rsidRPr="008B46AE">
        <w:rPr>
          <w:rFonts w:ascii="Garamond" w:hAnsi="Garamond"/>
          <w:bCs/>
          <w:iCs/>
          <w:sz w:val="20"/>
          <w:szCs w:val="20"/>
        </w:rPr>
        <w:t>PPARγ</w:t>
      </w:r>
      <w:proofErr w:type="spellEnd"/>
      <w:r w:rsidRPr="008B46AE">
        <w:rPr>
          <w:rFonts w:ascii="Garamond" w:hAnsi="Garamond"/>
          <w:bCs/>
          <w:iCs/>
          <w:sz w:val="20"/>
          <w:szCs w:val="20"/>
        </w:rPr>
        <w:t xml:space="preserve">, suggesting multifaceted therapeutic potentials. Conversely, eugenol, kaempferol, and </w:t>
      </w:r>
      <w:proofErr w:type="spellStart"/>
      <w:r w:rsidRPr="008B46AE">
        <w:rPr>
          <w:rFonts w:ascii="Garamond" w:hAnsi="Garamond"/>
          <w:bCs/>
          <w:iCs/>
          <w:sz w:val="20"/>
          <w:szCs w:val="20"/>
        </w:rPr>
        <w:t>casticin</w:t>
      </w:r>
      <w:proofErr w:type="spellEnd"/>
      <w:r w:rsidRPr="008B46AE">
        <w:rPr>
          <w:rFonts w:ascii="Garamond" w:hAnsi="Garamond"/>
          <w:bCs/>
          <w:iCs/>
          <w:sz w:val="20"/>
          <w:szCs w:val="20"/>
        </w:rPr>
        <w:t xml:space="preserve"> show minimal predicted bioactivity across the assessed targets, indicating narrower specificity. These bioactivity profiles provide insight into the potential mechanisms of antimalarial efficacy and may guide further exploration of these compounds for broader pharmacological applications</w:t>
      </w:r>
      <w:r w:rsidRPr="008B46AE">
        <w:rPr>
          <w:rFonts w:ascii="Garamond" w:hAnsi="Garamond"/>
          <w:bCs/>
          <w:iCs/>
          <w:sz w:val="20"/>
          <w:szCs w:val="20"/>
          <w:vertAlign w:val="superscript"/>
        </w:rPr>
        <w:t>26,27</w:t>
      </w:r>
      <w:r w:rsidRPr="008B46AE">
        <w:rPr>
          <w:rFonts w:ascii="Garamond" w:hAnsi="Garamond"/>
          <w:bCs/>
          <w:iCs/>
          <w:sz w:val="20"/>
          <w:szCs w:val="20"/>
        </w:rPr>
        <w:t>.</w:t>
      </w:r>
    </w:p>
    <w:p w14:paraId="6F67A50B" w14:textId="77777777" w:rsidR="008B46AE" w:rsidRPr="008B46AE" w:rsidRDefault="008B46AE" w:rsidP="008B46AE">
      <w:pPr>
        <w:spacing w:line="259" w:lineRule="auto"/>
        <w:jc w:val="both"/>
        <w:rPr>
          <w:rFonts w:ascii="Garamond" w:hAnsi="Garamond"/>
          <w:b/>
          <w:bCs/>
          <w:iCs/>
          <w:sz w:val="20"/>
          <w:szCs w:val="20"/>
        </w:rPr>
      </w:pPr>
    </w:p>
    <w:p w14:paraId="763397F2"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Table 4: Toxicity Predictions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5"/>
        <w:gridCol w:w="1205"/>
        <w:gridCol w:w="1147"/>
        <w:gridCol w:w="1485"/>
        <w:gridCol w:w="1504"/>
        <w:gridCol w:w="1567"/>
        <w:gridCol w:w="1277"/>
      </w:tblGrid>
      <w:tr w:rsidR="008B46AE" w:rsidRPr="008B46AE" w14:paraId="43904A8E" w14:textId="77777777" w:rsidTr="00117B5F">
        <w:tc>
          <w:tcPr>
            <w:tcW w:w="0" w:type="auto"/>
            <w:tcBorders>
              <w:top w:val="single" w:sz="4" w:space="0" w:color="auto"/>
              <w:bottom w:val="single" w:sz="4" w:space="0" w:color="auto"/>
            </w:tcBorders>
            <w:hideMark/>
          </w:tcPr>
          <w:p w14:paraId="34590FF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Compound</w:t>
            </w:r>
          </w:p>
        </w:tc>
        <w:tc>
          <w:tcPr>
            <w:tcW w:w="0" w:type="auto"/>
            <w:tcBorders>
              <w:top w:val="single" w:sz="4" w:space="0" w:color="auto"/>
              <w:bottom w:val="single" w:sz="4" w:space="0" w:color="auto"/>
            </w:tcBorders>
            <w:hideMark/>
          </w:tcPr>
          <w:p w14:paraId="57C6EDC5"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AMES Toxicity</w:t>
            </w:r>
          </w:p>
        </w:tc>
        <w:tc>
          <w:tcPr>
            <w:tcW w:w="0" w:type="auto"/>
            <w:tcBorders>
              <w:top w:val="single" w:sz="4" w:space="0" w:color="auto"/>
              <w:bottom w:val="single" w:sz="4" w:space="0" w:color="auto"/>
            </w:tcBorders>
            <w:hideMark/>
          </w:tcPr>
          <w:p w14:paraId="059C7364" w14:textId="77777777" w:rsidR="008B46AE" w:rsidRPr="008B46AE" w:rsidRDefault="008B46AE" w:rsidP="008B46AE">
            <w:pPr>
              <w:spacing w:line="259" w:lineRule="auto"/>
              <w:jc w:val="both"/>
              <w:rPr>
                <w:rFonts w:ascii="Garamond" w:hAnsi="Garamond"/>
                <w:b/>
                <w:bCs/>
                <w:iCs/>
                <w:sz w:val="20"/>
                <w:szCs w:val="20"/>
              </w:rPr>
            </w:pPr>
            <w:proofErr w:type="spellStart"/>
            <w:r w:rsidRPr="008B46AE">
              <w:rPr>
                <w:rFonts w:ascii="Garamond" w:hAnsi="Garamond"/>
                <w:b/>
                <w:bCs/>
                <w:iCs/>
                <w:sz w:val="20"/>
                <w:szCs w:val="20"/>
              </w:rPr>
              <w:t>hERG</w:t>
            </w:r>
            <w:proofErr w:type="spellEnd"/>
            <w:r w:rsidRPr="008B46AE">
              <w:rPr>
                <w:rFonts w:ascii="Garamond" w:hAnsi="Garamond"/>
                <w:b/>
                <w:bCs/>
                <w:iCs/>
                <w:sz w:val="20"/>
                <w:szCs w:val="20"/>
              </w:rPr>
              <w:t xml:space="preserve"> Blocker</w:t>
            </w:r>
          </w:p>
        </w:tc>
        <w:tc>
          <w:tcPr>
            <w:tcW w:w="0" w:type="auto"/>
            <w:tcBorders>
              <w:top w:val="single" w:sz="4" w:space="0" w:color="auto"/>
              <w:bottom w:val="single" w:sz="4" w:space="0" w:color="auto"/>
            </w:tcBorders>
            <w:hideMark/>
          </w:tcPr>
          <w:p w14:paraId="5E03681E"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Hepatotoxicity</w:t>
            </w:r>
          </w:p>
        </w:tc>
        <w:tc>
          <w:tcPr>
            <w:tcW w:w="0" w:type="auto"/>
            <w:tcBorders>
              <w:top w:val="single" w:sz="4" w:space="0" w:color="auto"/>
              <w:bottom w:val="single" w:sz="4" w:space="0" w:color="auto"/>
            </w:tcBorders>
            <w:hideMark/>
          </w:tcPr>
          <w:p w14:paraId="43BE27D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Skin Sensitization</w:t>
            </w:r>
          </w:p>
        </w:tc>
        <w:tc>
          <w:tcPr>
            <w:tcW w:w="0" w:type="auto"/>
            <w:tcBorders>
              <w:top w:val="single" w:sz="4" w:space="0" w:color="auto"/>
              <w:bottom w:val="single" w:sz="4" w:space="0" w:color="auto"/>
            </w:tcBorders>
            <w:hideMark/>
          </w:tcPr>
          <w:p w14:paraId="710BD80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 Pyriformis Toxicity</w:t>
            </w:r>
          </w:p>
        </w:tc>
        <w:tc>
          <w:tcPr>
            <w:tcW w:w="0" w:type="auto"/>
            <w:tcBorders>
              <w:top w:val="single" w:sz="4" w:space="0" w:color="auto"/>
              <w:bottom w:val="single" w:sz="4" w:space="0" w:color="auto"/>
            </w:tcBorders>
            <w:hideMark/>
          </w:tcPr>
          <w:p w14:paraId="6E6C15E1"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Minnow Toxicity</w:t>
            </w:r>
          </w:p>
        </w:tc>
      </w:tr>
      <w:tr w:rsidR="008B46AE" w:rsidRPr="008B46AE" w14:paraId="570A5FBB" w14:textId="77777777" w:rsidTr="00117B5F">
        <w:tc>
          <w:tcPr>
            <w:tcW w:w="0" w:type="auto"/>
            <w:tcBorders>
              <w:top w:val="single" w:sz="4" w:space="0" w:color="auto"/>
            </w:tcBorders>
            <w:hideMark/>
          </w:tcPr>
          <w:p w14:paraId="11890022"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Echitamine</w:t>
            </w:r>
            <w:proofErr w:type="spellEnd"/>
          </w:p>
        </w:tc>
        <w:tc>
          <w:tcPr>
            <w:tcW w:w="0" w:type="auto"/>
            <w:tcBorders>
              <w:top w:val="single" w:sz="4" w:space="0" w:color="auto"/>
            </w:tcBorders>
            <w:hideMark/>
          </w:tcPr>
          <w:p w14:paraId="4FD6C3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tcBorders>
              <w:top w:val="single" w:sz="4" w:space="0" w:color="auto"/>
            </w:tcBorders>
            <w:hideMark/>
          </w:tcPr>
          <w:p w14:paraId="7D28834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tcBorders>
              <w:top w:val="single" w:sz="4" w:space="0" w:color="auto"/>
            </w:tcBorders>
            <w:hideMark/>
          </w:tcPr>
          <w:p w14:paraId="1640ABC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c>
          <w:tcPr>
            <w:tcW w:w="0" w:type="auto"/>
            <w:tcBorders>
              <w:top w:val="single" w:sz="4" w:space="0" w:color="auto"/>
            </w:tcBorders>
            <w:hideMark/>
          </w:tcPr>
          <w:p w14:paraId="4A0BF17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tcBorders>
              <w:top w:val="single" w:sz="4" w:space="0" w:color="auto"/>
            </w:tcBorders>
            <w:hideMark/>
          </w:tcPr>
          <w:p w14:paraId="473AAD0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tcBorders>
              <w:top w:val="single" w:sz="4" w:space="0" w:color="auto"/>
            </w:tcBorders>
            <w:hideMark/>
          </w:tcPr>
          <w:p w14:paraId="310CE71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r>
      <w:tr w:rsidR="008B46AE" w:rsidRPr="008B46AE" w14:paraId="7303B562" w14:textId="77777777" w:rsidTr="00117B5F">
        <w:tc>
          <w:tcPr>
            <w:tcW w:w="0" w:type="auto"/>
            <w:hideMark/>
          </w:tcPr>
          <w:p w14:paraId="440764DF"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Scholaricine</w:t>
            </w:r>
            <w:proofErr w:type="spellEnd"/>
          </w:p>
        </w:tc>
        <w:tc>
          <w:tcPr>
            <w:tcW w:w="0" w:type="auto"/>
            <w:hideMark/>
          </w:tcPr>
          <w:p w14:paraId="6AB593F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52FADD4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7D079F2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28712AA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187F1FC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5FF271C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r>
      <w:tr w:rsidR="008B46AE" w:rsidRPr="008B46AE" w14:paraId="68AA43D2" w14:textId="77777777" w:rsidTr="00117B5F">
        <w:tc>
          <w:tcPr>
            <w:tcW w:w="0" w:type="auto"/>
            <w:hideMark/>
          </w:tcPr>
          <w:p w14:paraId="7052657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Berberine</w:t>
            </w:r>
          </w:p>
        </w:tc>
        <w:tc>
          <w:tcPr>
            <w:tcW w:w="0" w:type="auto"/>
            <w:hideMark/>
          </w:tcPr>
          <w:p w14:paraId="240C540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0800BF3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0" w:type="auto"/>
            <w:hideMark/>
          </w:tcPr>
          <w:p w14:paraId="1FB3F0E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c>
          <w:tcPr>
            <w:tcW w:w="0" w:type="auto"/>
            <w:hideMark/>
          </w:tcPr>
          <w:p w14:paraId="552CAA0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2D84850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4FF0EC6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r>
      <w:tr w:rsidR="008B46AE" w:rsidRPr="008B46AE" w14:paraId="04FC237E" w14:textId="77777777" w:rsidTr="00117B5F">
        <w:tc>
          <w:tcPr>
            <w:tcW w:w="0" w:type="auto"/>
            <w:hideMark/>
          </w:tcPr>
          <w:p w14:paraId="66F8BAA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Coptisine</w:t>
            </w:r>
          </w:p>
        </w:tc>
        <w:tc>
          <w:tcPr>
            <w:tcW w:w="0" w:type="auto"/>
            <w:hideMark/>
          </w:tcPr>
          <w:p w14:paraId="6F1DCA6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64EA7F3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131EA0C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190A65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3EF2568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71EF50D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r>
      <w:tr w:rsidR="008B46AE" w:rsidRPr="008B46AE" w14:paraId="5BC050DB" w14:textId="77777777" w:rsidTr="00117B5F">
        <w:tc>
          <w:tcPr>
            <w:tcW w:w="0" w:type="auto"/>
            <w:hideMark/>
          </w:tcPr>
          <w:p w14:paraId="57EA49D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Quercetin</w:t>
            </w:r>
          </w:p>
        </w:tc>
        <w:tc>
          <w:tcPr>
            <w:tcW w:w="0" w:type="auto"/>
            <w:hideMark/>
          </w:tcPr>
          <w:p w14:paraId="5220090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32086EA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0888B25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7F2F632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57FB2F3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c>
          <w:tcPr>
            <w:tcW w:w="0" w:type="auto"/>
            <w:hideMark/>
          </w:tcPr>
          <w:p w14:paraId="5A5075B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r>
      <w:tr w:rsidR="008B46AE" w:rsidRPr="008B46AE" w14:paraId="0673B23E" w14:textId="77777777" w:rsidTr="00117B5F">
        <w:tc>
          <w:tcPr>
            <w:tcW w:w="0" w:type="auto"/>
            <w:hideMark/>
          </w:tcPr>
          <w:p w14:paraId="7BEAD2E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Kaempferol</w:t>
            </w:r>
          </w:p>
        </w:tc>
        <w:tc>
          <w:tcPr>
            <w:tcW w:w="0" w:type="auto"/>
            <w:hideMark/>
          </w:tcPr>
          <w:p w14:paraId="7AAAA11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7EF3DFA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6CD6F45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0D6860C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7855B4E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0B097FA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r>
      <w:tr w:rsidR="008B46AE" w:rsidRPr="008B46AE" w14:paraId="52A752A2" w14:textId="77777777" w:rsidTr="00117B5F">
        <w:tc>
          <w:tcPr>
            <w:tcW w:w="0" w:type="auto"/>
            <w:hideMark/>
          </w:tcPr>
          <w:p w14:paraId="1F89B65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Eugenol</w:t>
            </w:r>
          </w:p>
        </w:tc>
        <w:tc>
          <w:tcPr>
            <w:tcW w:w="0" w:type="auto"/>
            <w:hideMark/>
          </w:tcPr>
          <w:p w14:paraId="0123E0F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587A75F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6D0D5A5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344F31A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5D30346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1D57F6E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r>
      <w:tr w:rsidR="008B46AE" w:rsidRPr="008B46AE" w14:paraId="11C14424" w14:textId="77777777" w:rsidTr="00117B5F">
        <w:tc>
          <w:tcPr>
            <w:tcW w:w="0" w:type="auto"/>
            <w:hideMark/>
          </w:tcPr>
          <w:p w14:paraId="7819E77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Luteolin</w:t>
            </w:r>
          </w:p>
        </w:tc>
        <w:tc>
          <w:tcPr>
            <w:tcW w:w="0" w:type="auto"/>
            <w:hideMark/>
          </w:tcPr>
          <w:p w14:paraId="14D1BF8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4DADB59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1C1D803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32CC5D3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65214A1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4924544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r>
      <w:tr w:rsidR="008B46AE" w:rsidRPr="008B46AE" w14:paraId="52A72BF8" w14:textId="77777777" w:rsidTr="00117B5F">
        <w:tc>
          <w:tcPr>
            <w:tcW w:w="0" w:type="auto"/>
            <w:hideMark/>
          </w:tcPr>
          <w:p w14:paraId="3E5FDC97"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Tenuifolin</w:t>
            </w:r>
            <w:proofErr w:type="spellEnd"/>
          </w:p>
        </w:tc>
        <w:tc>
          <w:tcPr>
            <w:tcW w:w="0" w:type="auto"/>
            <w:hideMark/>
          </w:tcPr>
          <w:p w14:paraId="7E9E599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1BDF82F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68B035D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c>
          <w:tcPr>
            <w:tcW w:w="0" w:type="auto"/>
            <w:hideMark/>
          </w:tcPr>
          <w:p w14:paraId="4B0E597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008AF45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6DCC535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r>
      <w:tr w:rsidR="008B46AE" w:rsidRPr="008B46AE" w14:paraId="1D93BC04" w14:textId="77777777" w:rsidTr="00117B5F">
        <w:tc>
          <w:tcPr>
            <w:tcW w:w="0" w:type="auto"/>
            <w:hideMark/>
          </w:tcPr>
          <w:p w14:paraId="724EA0FB"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Onjisaponin</w:t>
            </w:r>
            <w:proofErr w:type="spellEnd"/>
          </w:p>
        </w:tc>
        <w:tc>
          <w:tcPr>
            <w:tcW w:w="0" w:type="auto"/>
            <w:hideMark/>
          </w:tcPr>
          <w:p w14:paraId="4D82BF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2C072C5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2A3DFCF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c>
          <w:tcPr>
            <w:tcW w:w="0" w:type="auto"/>
            <w:hideMark/>
          </w:tcPr>
          <w:p w14:paraId="271F9D3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02DF84B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53F29D9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Toxic</w:t>
            </w:r>
          </w:p>
        </w:tc>
      </w:tr>
      <w:tr w:rsidR="008B46AE" w:rsidRPr="008B46AE" w14:paraId="7CF86E11" w14:textId="77777777" w:rsidTr="00117B5F">
        <w:tc>
          <w:tcPr>
            <w:tcW w:w="0" w:type="auto"/>
            <w:hideMark/>
          </w:tcPr>
          <w:p w14:paraId="47A0A4FE"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Agnuside</w:t>
            </w:r>
            <w:proofErr w:type="spellEnd"/>
          </w:p>
        </w:tc>
        <w:tc>
          <w:tcPr>
            <w:tcW w:w="0" w:type="auto"/>
            <w:hideMark/>
          </w:tcPr>
          <w:p w14:paraId="78E67F4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3DAEEE2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hideMark/>
          </w:tcPr>
          <w:p w14:paraId="7AF2990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47E61D2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hideMark/>
          </w:tcPr>
          <w:p w14:paraId="61F9393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hideMark/>
          </w:tcPr>
          <w:p w14:paraId="3114908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r>
      <w:tr w:rsidR="008B46AE" w:rsidRPr="008B46AE" w14:paraId="5AD1C69A" w14:textId="77777777" w:rsidTr="00117B5F">
        <w:tc>
          <w:tcPr>
            <w:tcW w:w="0" w:type="auto"/>
            <w:tcBorders>
              <w:bottom w:val="single" w:sz="4" w:space="0" w:color="auto"/>
            </w:tcBorders>
            <w:hideMark/>
          </w:tcPr>
          <w:p w14:paraId="61A36DC5"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Casticin</w:t>
            </w:r>
            <w:proofErr w:type="spellEnd"/>
          </w:p>
        </w:tc>
        <w:tc>
          <w:tcPr>
            <w:tcW w:w="0" w:type="auto"/>
            <w:tcBorders>
              <w:bottom w:val="single" w:sz="4" w:space="0" w:color="auto"/>
            </w:tcBorders>
            <w:hideMark/>
          </w:tcPr>
          <w:p w14:paraId="55B7187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tcBorders>
              <w:bottom w:val="single" w:sz="4" w:space="0" w:color="auto"/>
            </w:tcBorders>
            <w:hideMark/>
          </w:tcPr>
          <w:p w14:paraId="6C32C81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0" w:type="auto"/>
            <w:tcBorders>
              <w:bottom w:val="single" w:sz="4" w:space="0" w:color="auto"/>
            </w:tcBorders>
            <w:hideMark/>
          </w:tcPr>
          <w:p w14:paraId="733367B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tcBorders>
              <w:bottom w:val="single" w:sz="4" w:space="0" w:color="auto"/>
            </w:tcBorders>
            <w:hideMark/>
          </w:tcPr>
          <w:p w14:paraId="161F6C7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Sensitizer</w:t>
            </w:r>
          </w:p>
        </w:tc>
        <w:tc>
          <w:tcPr>
            <w:tcW w:w="0" w:type="auto"/>
            <w:tcBorders>
              <w:bottom w:val="single" w:sz="4" w:space="0" w:color="auto"/>
            </w:tcBorders>
            <w:hideMark/>
          </w:tcPr>
          <w:p w14:paraId="4E91E57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c>
          <w:tcPr>
            <w:tcW w:w="0" w:type="auto"/>
            <w:tcBorders>
              <w:bottom w:val="single" w:sz="4" w:space="0" w:color="auto"/>
            </w:tcBorders>
            <w:hideMark/>
          </w:tcPr>
          <w:p w14:paraId="4E1D730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Non-toxic</w:t>
            </w:r>
          </w:p>
        </w:tc>
      </w:tr>
    </w:tbl>
    <w:p w14:paraId="3CBCE899" w14:textId="28943980"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toxicity profiles given in table 4 of the phytoconstituents indicate that most compounds are non-toxic according to the AMES test, are not </w:t>
      </w:r>
      <w:proofErr w:type="spellStart"/>
      <w:r w:rsidRPr="008B46AE">
        <w:rPr>
          <w:rFonts w:ascii="Garamond" w:hAnsi="Garamond"/>
          <w:bCs/>
          <w:iCs/>
          <w:sz w:val="20"/>
          <w:szCs w:val="20"/>
        </w:rPr>
        <w:t>hERG</w:t>
      </w:r>
      <w:proofErr w:type="spellEnd"/>
      <w:r w:rsidRPr="008B46AE">
        <w:rPr>
          <w:rFonts w:ascii="Garamond" w:hAnsi="Garamond"/>
          <w:bCs/>
          <w:iCs/>
          <w:sz w:val="20"/>
          <w:szCs w:val="20"/>
        </w:rPr>
        <w:t xml:space="preserve"> blockers, and generally do not exhibit hepatotoxicity, though </w:t>
      </w: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berberine, </w:t>
      </w: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are exceptions with noted hepatotoxicity. All compounds are predicted to be skin sensitizers, </w:t>
      </w:r>
      <w:r w:rsidRPr="008B46AE">
        <w:rPr>
          <w:rFonts w:ascii="Garamond" w:hAnsi="Garamond"/>
          <w:bCs/>
          <w:iCs/>
          <w:sz w:val="20"/>
          <w:szCs w:val="20"/>
        </w:rPr>
        <w:lastRenderedPageBreak/>
        <w:t xml:space="preserve">posing a potential risk for allergic reactions. While quercetin exhibits toxicity to *T. pyriformis*, and </w:t>
      </w: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eugenol, </w:t>
      </w: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show minnow toxicity, most compounds are otherwise non-toxic to aquatic organisms, highlighting a need for careful evaluation of environmental and safety impacts in therapeutic use</w:t>
      </w:r>
      <w:r w:rsidR="00440E6B">
        <w:rPr>
          <w:rFonts w:ascii="Garamond" w:hAnsi="Garamond"/>
          <w:bCs/>
          <w:iCs/>
          <w:sz w:val="20"/>
          <w:szCs w:val="20"/>
        </w:rPr>
        <w:t>.</w:t>
      </w:r>
      <w:r w:rsidRPr="008B46AE">
        <w:rPr>
          <w:rFonts w:ascii="Garamond" w:hAnsi="Garamond"/>
          <w:bCs/>
          <w:iCs/>
          <w:sz w:val="20"/>
          <w:szCs w:val="20"/>
          <w:vertAlign w:val="superscript"/>
        </w:rPr>
        <w:t>28</w:t>
      </w:r>
    </w:p>
    <w:p w14:paraId="338763DF" w14:textId="77777777" w:rsidR="009269B1" w:rsidRDefault="009269B1" w:rsidP="008B46AE">
      <w:pPr>
        <w:spacing w:line="259" w:lineRule="auto"/>
        <w:jc w:val="both"/>
        <w:rPr>
          <w:rFonts w:ascii="Garamond" w:hAnsi="Garamond"/>
          <w:b/>
          <w:bCs/>
          <w:iCs/>
          <w:sz w:val="20"/>
          <w:szCs w:val="20"/>
        </w:rPr>
      </w:pPr>
    </w:p>
    <w:p w14:paraId="36340994" w14:textId="54E36ADC"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Table 5: Drug-Likeness Scores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1679"/>
        <w:gridCol w:w="1324"/>
        <w:gridCol w:w="1344"/>
        <w:gridCol w:w="1177"/>
        <w:gridCol w:w="1614"/>
      </w:tblGrid>
      <w:tr w:rsidR="008B46AE" w:rsidRPr="008B46AE" w14:paraId="00311544" w14:textId="77777777" w:rsidTr="00117B5F">
        <w:tc>
          <w:tcPr>
            <w:tcW w:w="1187" w:type="pct"/>
            <w:tcBorders>
              <w:top w:val="single" w:sz="4" w:space="0" w:color="auto"/>
              <w:bottom w:val="single" w:sz="4" w:space="0" w:color="auto"/>
            </w:tcBorders>
            <w:hideMark/>
          </w:tcPr>
          <w:p w14:paraId="05603DFF"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Compound</w:t>
            </w:r>
          </w:p>
        </w:tc>
        <w:tc>
          <w:tcPr>
            <w:tcW w:w="897" w:type="pct"/>
            <w:tcBorders>
              <w:top w:val="single" w:sz="4" w:space="0" w:color="auto"/>
              <w:bottom w:val="single" w:sz="4" w:space="0" w:color="auto"/>
            </w:tcBorders>
            <w:hideMark/>
          </w:tcPr>
          <w:p w14:paraId="58372133"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Lipinski</w:t>
            </w:r>
          </w:p>
        </w:tc>
        <w:tc>
          <w:tcPr>
            <w:tcW w:w="707" w:type="pct"/>
            <w:tcBorders>
              <w:top w:val="single" w:sz="4" w:space="0" w:color="auto"/>
              <w:bottom w:val="single" w:sz="4" w:space="0" w:color="auto"/>
            </w:tcBorders>
            <w:hideMark/>
          </w:tcPr>
          <w:p w14:paraId="560178E5"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Veber</w:t>
            </w:r>
          </w:p>
        </w:tc>
        <w:tc>
          <w:tcPr>
            <w:tcW w:w="718" w:type="pct"/>
            <w:tcBorders>
              <w:top w:val="single" w:sz="4" w:space="0" w:color="auto"/>
              <w:bottom w:val="single" w:sz="4" w:space="0" w:color="auto"/>
            </w:tcBorders>
            <w:hideMark/>
          </w:tcPr>
          <w:p w14:paraId="1187BB17"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Ghose</w:t>
            </w:r>
          </w:p>
        </w:tc>
        <w:tc>
          <w:tcPr>
            <w:tcW w:w="629" w:type="pct"/>
            <w:tcBorders>
              <w:top w:val="single" w:sz="4" w:space="0" w:color="auto"/>
              <w:bottom w:val="single" w:sz="4" w:space="0" w:color="auto"/>
            </w:tcBorders>
            <w:hideMark/>
          </w:tcPr>
          <w:p w14:paraId="1F21294A"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Egan</w:t>
            </w:r>
          </w:p>
        </w:tc>
        <w:tc>
          <w:tcPr>
            <w:tcW w:w="863" w:type="pct"/>
            <w:tcBorders>
              <w:top w:val="single" w:sz="4" w:space="0" w:color="auto"/>
              <w:bottom w:val="single" w:sz="4" w:space="0" w:color="auto"/>
            </w:tcBorders>
            <w:hideMark/>
          </w:tcPr>
          <w:p w14:paraId="5639BDBE"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Muegge</w:t>
            </w:r>
          </w:p>
        </w:tc>
      </w:tr>
      <w:tr w:rsidR="008B46AE" w:rsidRPr="008B46AE" w14:paraId="0A1E6119" w14:textId="77777777" w:rsidTr="00117B5F">
        <w:tc>
          <w:tcPr>
            <w:tcW w:w="1187" w:type="pct"/>
            <w:tcBorders>
              <w:top w:val="single" w:sz="4" w:space="0" w:color="auto"/>
            </w:tcBorders>
            <w:hideMark/>
          </w:tcPr>
          <w:p w14:paraId="7609931D"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Echitamine</w:t>
            </w:r>
            <w:proofErr w:type="spellEnd"/>
          </w:p>
        </w:tc>
        <w:tc>
          <w:tcPr>
            <w:tcW w:w="897" w:type="pct"/>
            <w:tcBorders>
              <w:top w:val="single" w:sz="4" w:space="0" w:color="auto"/>
            </w:tcBorders>
            <w:hideMark/>
          </w:tcPr>
          <w:p w14:paraId="685DAF5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tcBorders>
              <w:top w:val="single" w:sz="4" w:space="0" w:color="auto"/>
            </w:tcBorders>
            <w:hideMark/>
          </w:tcPr>
          <w:p w14:paraId="6D1C120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tcBorders>
              <w:top w:val="single" w:sz="4" w:space="0" w:color="auto"/>
            </w:tcBorders>
            <w:hideMark/>
          </w:tcPr>
          <w:p w14:paraId="68ECF26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629" w:type="pct"/>
            <w:tcBorders>
              <w:top w:val="single" w:sz="4" w:space="0" w:color="auto"/>
            </w:tcBorders>
            <w:hideMark/>
          </w:tcPr>
          <w:p w14:paraId="651B710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tcBorders>
              <w:top w:val="single" w:sz="4" w:space="0" w:color="auto"/>
            </w:tcBorders>
            <w:hideMark/>
          </w:tcPr>
          <w:p w14:paraId="68CC8B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11323BA4" w14:textId="77777777" w:rsidTr="00117B5F">
        <w:tc>
          <w:tcPr>
            <w:tcW w:w="1187" w:type="pct"/>
            <w:hideMark/>
          </w:tcPr>
          <w:p w14:paraId="4A7FBE51"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Scholaricine</w:t>
            </w:r>
            <w:proofErr w:type="spellEnd"/>
          </w:p>
        </w:tc>
        <w:tc>
          <w:tcPr>
            <w:tcW w:w="897" w:type="pct"/>
            <w:hideMark/>
          </w:tcPr>
          <w:p w14:paraId="21B5192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3B92739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7C6A195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629" w:type="pct"/>
            <w:hideMark/>
          </w:tcPr>
          <w:p w14:paraId="0D5AE72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7361FCF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364752D4" w14:textId="77777777" w:rsidTr="00117B5F">
        <w:tc>
          <w:tcPr>
            <w:tcW w:w="1187" w:type="pct"/>
            <w:hideMark/>
          </w:tcPr>
          <w:p w14:paraId="4F26C72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Berberine</w:t>
            </w:r>
          </w:p>
        </w:tc>
        <w:tc>
          <w:tcPr>
            <w:tcW w:w="897" w:type="pct"/>
            <w:hideMark/>
          </w:tcPr>
          <w:p w14:paraId="1DB26B4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60CA22E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45AB281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629" w:type="pct"/>
            <w:hideMark/>
          </w:tcPr>
          <w:p w14:paraId="522E624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587C5EA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7E050677" w14:textId="77777777" w:rsidTr="00117B5F">
        <w:tc>
          <w:tcPr>
            <w:tcW w:w="1187" w:type="pct"/>
            <w:hideMark/>
          </w:tcPr>
          <w:p w14:paraId="6941710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Coptisine</w:t>
            </w:r>
          </w:p>
        </w:tc>
        <w:tc>
          <w:tcPr>
            <w:tcW w:w="897" w:type="pct"/>
            <w:hideMark/>
          </w:tcPr>
          <w:p w14:paraId="0E99BD2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3AF9A5E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165E85F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629" w:type="pct"/>
            <w:hideMark/>
          </w:tcPr>
          <w:p w14:paraId="4346B9B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0B4F588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089C43B6" w14:textId="77777777" w:rsidTr="00117B5F">
        <w:tc>
          <w:tcPr>
            <w:tcW w:w="1187" w:type="pct"/>
            <w:hideMark/>
          </w:tcPr>
          <w:p w14:paraId="21D5FCF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Quercetin</w:t>
            </w:r>
          </w:p>
        </w:tc>
        <w:tc>
          <w:tcPr>
            <w:tcW w:w="897" w:type="pct"/>
            <w:hideMark/>
          </w:tcPr>
          <w:p w14:paraId="2957563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16927F4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0D2A7D3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629" w:type="pct"/>
            <w:hideMark/>
          </w:tcPr>
          <w:p w14:paraId="3212BBC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13BB042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5021341A" w14:textId="77777777" w:rsidTr="00117B5F">
        <w:tc>
          <w:tcPr>
            <w:tcW w:w="1187" w:type="pct"/>
            <w:hideMark/>
          </w:tcPr>
          <w:p w14:paraId="6DDE5F4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Kaempferol</w:t>
            </w:r>
          </w:p>
        </w:tc>
        <w:tc>
          <w:tcPr>
            <w:tcW w:w="897" w:type="pct"/>
            <w:hideMark/>
          </w:tcPr>
          <w:p w14:paraId="06FA0F8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42331EF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3E36B60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629" w:type="pct"/>
            <w:hideMark/>
          </w:tcPr>
          <w:p w14:paraId="53F2FAE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2B900BC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005C7CB5" w14:textId="77777777" w:rsidTr="00117B5F">
        <w:tc>
          <w:tcPr>
            <w:tcW w:w="1187" w:type="pct"/>
            <w:hideMark/>
          </w:tcPr>
          <w:p w14:paraId="24D89C9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Eugenol</w:t>
            </w:r>
          </w:p>
        </w:tc>
        <w:tc>
          <w:tcPr>
            <w:tcW w:w="897" w:type="pct"/>
            <w:hideMark/>
          </w:tcPr>
          <w:p w14:paraId="24FD24B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1E75D5E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299C91F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629" w:type="pct"/>
            <w:hideMark/>
          </w:tcPr>
          <w:p w14:paraId="76991C7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6AE578E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0AD78C04" w14:textId="77777777" w:rsidTr="00117B5F">
        <w:tc>
          <w:tcPr>
            <w:tcW w:w="1187" w:type="pct"/>
            <w:hideMark/>
          </w:tcPr>
          <w:p w14:paraId="7728DB2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Luteolin</w:t>
            </w:r>
          </w:p>
        </w:tc>
        <w:tc>
          <w:tcPr>
            <w:tcW w:w="897" w:type="pct"/>
            <w:hideMark/>
          </w:tcPr>
          <w:p w14:paraId="756D731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02E5197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2A0FAC0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629" w:type="pct"/>
            <w:hideMark/>
          </w:tcPr>
          <w:p w14:paraId="364827D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092C7D8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24293536" w14:textId="77777777" w:rsidTr="00117B5F">
        <w:tc>
          <w:tcPr>
            <w:tcW w:w="1187" w:type="pct"/>
            <w:hideMark/>
          </w:tcPr>
          <w:p w14:paraId="0A233A3E"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Tenuifolin</w:t>
            </w:r>
            <w:proofErr w:type="spellEnd"/>
          </w:p>
        </w:tc>
        <w:tc>
          <w:tcPr>
            <w:tcW w:w="897" w:type="pct"/>
            <w:hideMark/>
          </w:tcPr>
          <w:p w14:paraId="047E064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71C2F27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5EDD571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629" w:type="pct"/>
            <w:hideMark/>
          </w:tcPr>
          <w:p w14:paraId="6C62D15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2604E09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r>
      <w:tr w:rsidR="008B46AE" w:rsidRPr="008B46AE" w14:paraId="79BF071D" w14:textId="77777777" w:rsidTr="00117B5F">
        <w:tc>
          <w:tcPr>
            <w:tcW w:w="1187" w:type="pct"/>
            <w:hideMark/>
          </w:tcPr>
          <w:p w14:paraId="5BEB141C"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Onjisaponin</w:t>
            </w:r>
            <w:proofErr w:type="spellEnd"/>
          </w:p>
        </w:tc>
        <w:tc>
          <w:tcPr>
            <w:tcW w:w="897" w:type="pct"/>
            <w:hideMark/>
          </w:tcPr>
          <w:p w14:paraId="646F588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707" w:type="pct"/>
            <w:hideMark/>
          </w:tcPr>
          <w:p w14:paraId="1EA5060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718" w:type="pct"/>
            <w:hideMark/>
          </w:tcPr>
          <w:p w14:paraId="3BE4BDC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629" w:type="pct"/>
            <w:hideMark/>
          </w:tcPr>
          <w:p w14:paraId="5150DAC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c>
          <w:tcPr>
            <w:tcW w:w="863" w:type="pct"/>
            <w:hideMark/>
          </w:tcPr>
          <w:p w14:paraId="25E5BE3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No</w:t>
            </w:r>
          </w:p>
        </w:tc>
      </w:tr>
      <w:tr w:rsidR="008B46AE" w:rsidRPr="008B46AE" w14:paraId="4CAA04D7" w14:textId="77777777" w:rsidTr="00117B5F">
        <w:tc>
          <w:tcPr>
            <w:tcW w:w="1187" w:type="pct"/>
            <w:hideMark/>
          </w:tcPr>
          <w:p w14:paraId="3080DA26"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Agnuside</w:t>
            </w:r>
            <w:proofErr w:type="spellEnd"/>
          </w:p>
        </w:tc>
        <w:tc>
          <w:tcPr>
            <w:tcW w:w="897" w:type="pct"/>
            <w:hideMark/>
          </w:tcPr>
          <w:p w14:paraId="5A3DAB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hideMark/>
          </w:tcPr>
          <w:p w14:paraId="0AFAD32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hideMark/>
          </w:tcPr>
          <w:p w14:paraId="5382A63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629" w:type="pct"/>
            <w:hideMark/>
          </w:tcPr>
          <w:p w14:paraId="562FE7F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hideMark/>
          </w:tcPr>
          <w:p w14:paraId="06E2FA5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r w:rsidR="008B46AE" w:rsidRPr="008B46AE" w14:paraId="359F01E0" w14:textId="77777777" w:rsidTr="00117B5F">
        <w:tc>
          <w:tcPr>
            <w:tcW w:w="1187" w:type="pct"/>
            <w:tcBorders>
              <w:bottom w:val="single" w:sz="4" w:space="0" w:color="auto"/>
            </w:tcBorders>
            <w:hideMark/>
          </w:tcPr>
          <w:p w14:paraId="318878E8"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Casticin</w:t>
            </w:r>
            <w:proofErr w:type="spellEnd"/>
          </w:p>
        </w:tc>
        <w:tc>
          <w:tcPr>
            <w:tcW w:w="897" w:type="pct"/>
            <w:tcBorders>
              <w:bottom w:val="single" w:sz="4" w:space="0" w:color="auto"/>
            </w:tcBorders>
            <w:hideMark/>
          </w:tcPr>
          <w:p w14:paraId="5B933D1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07" w:type="pct"/>
            <w:tcBorders>
              <w:bottom w:val="single" w:sz="4" w:space="0" w:color="auto"/>
            </w:tcBorders>
            <w:hideMark/>
          </w:tcPr>
          <w:p w14:paraId="3A9B68E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718" w:type="pct"/>
            <w:tcBorders>
              <w:bottom w:val="single" w:sz="4" w:space="0" w:color="auto"/>
            </w:tcBorders>
            <w:hideMark/>
          </w:tcPr>
          <w:p w14:paraId="7714660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629" w:type="pct"/>
            <w:tcBorders>
              <w:bottom w:val="single" w:sz="4" w:space="0" w:color="auto"/>
            </w:tcBorders>
            <w:hideMark/>
          </w:tcPr>
          <w:p w14:paraId="649BA51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c>
          <w:tcPr>
            <w:tcW w:w="863" w:type="pct"/>
            <w:tcBorders>
              <w:bottom w:val="single" w:sz="4" w:space="0" w:color="auto"/>
            </w:tcBorders>
            <w:hideMark/>
          </w:tcPr>
          <w:p w14:paraId="4218346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Yes</w:t>
            </w:r>
          </w:p>
        </w:tc>
      </w:tr>
    </w:tbl>
    <w:p w14:paraId="3017B988" w14:textId="77777777" w:rsidR="008B46AE" w:rsidRPr="008B46AE" w:rsidRDefault="008B46AE" w:rsidP="008B46AE">
      <w:pPr>
        <w:spacing w:line="259" w:lineRule="auto"/>
        <w:jc w:val="both"/>
        <w:rPr>
          <w:rFonts w:ascii="Garamond" w:hAnsi="Garamond"/>
          <w:bCs/>
          <w:iCs/>
          <w:sz w:val="20"/>
          <w:szCs w:val="20"/>
        </w:rPr>
      </w:pPr>
    </w:p>
    <w:p w14:paraId="1935510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The molecular properties, bioactivity, and toxicity predictions for the compounds analyzed—</w:t>
      </w: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Scholaricine</w:t>
      </w:r>
      <w:proofErr w:type="spellEnd"/>
      <w:r w:rsidRPr="008B46AE">
        <w:rPr>
          <w:rFonts w:ascii="Garamond" w:hAnsi="Garamond"/>
          <w:bCs/>
          <w:iCs/>
          <w:sz w:val="20"/>
          <w:szCs w:val="20"/>
        </w:rPr>
        <w:t xml:space="preserve">, Berberine, Coptisine, Quercetin, Kaempferol, Eugenol, Luteolin, </w:t>
      </w: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w:t>
      </w:r>
      <w:proofErr w:type="spellStart"/>
      <w:r w:rsidRPr="008B46AE">
        <w:rPr>
          <w:rFonts w:ascii="Garamond" w:hAnsi="Garamond"/>
          <w:bCs/>
          <w:iCs/>
          <w:sz w:val="20"/>
          <w:szCs w:val="20"/>
        </w:rPr>
        <w:t>Agnuside</w:t>
      </w:r>
      <w:proofErr w:type="spellEnd"/>
      <w:r w:rsidRPr="008B46AE">
        <w:rPr>
          <w:rFonts w:ascii="Garamond" w:hAnsi="Garamond"/>
          <w:bCs/>
          <w:iCs/>
          <w:sz w:val="20"/>
          <w:szCs w:val="20"/>
        </w:rPr>
        <w:t xml:space="preserve">, and </w:t>
      </w:r>
      <w:proofErr w:type="spellStart"/>
      <w:r w:rsidRPr="008B46AE">
        <w:rPr>
          <w:rFonts w:ascii="Garamond" w:hAnsi="Garamond"/>
          <w:bCs/>
          <w:iCs/>
          <w:sz w:val="20"/>
          <w:szCs w:val="20"/>
        </w:rPr>
        <w:t>Casticin</w:t>
      </w:r>
      <w:proofErr w:type="spellEnd"/>
      <w:r w:rsidRPr="008B46AE">
        <w:rPr>
          <w:rFonts w:ascii="Garamond" w:hAnsi="Garamond"/>
          <w:bCs/>
          <w:iCs/>
          <w:sz w:val="20"/>
          <w:szCs w:val="20"/>
        </w:rPr>
        <w:t>—demonstrate a diverse range of pharmacokinetic and pharmacodynamic characteristics.</w:t>
      </w:r>
    </w:p>
    <w:p w14:paraId="2D71487D" w14:textId="0A90C335"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Most of the compounds exhibit favorable molecular weights, with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being an exception due to its high molecular weight (960.11 g/mol), which can pose challenges for oral bioavailability. The </w:t>
      </w:r>
      <w:proofErr w:type="spellStart"/>
      <w:r w:rsidRPr="008B46AE">
        <w:rPr>
          <w:rFonts w:ascii="Garamond" w:hAnsi="Garamond"/>
          <w:bCs/>
          <w:iCs/>
          <w:sz w:val="20"/>
          <w:szCs w:val="20"/>
        </w:rPr>
        <w:t>logP</w:t>
      </w:r>
      <w:proofErr w:type="spellEnd"/>
      <w:r w:rsidRPr="008B46AE">
        <w:rPr>
          <w:rFonts w:ascii="Garamond" w:hAnsi="Garamond"/>
          <w:bCs/>
          <w:iCs/>
          <w:sz w:val="20"/>
          <w:szCs w:val="20"/>
        </w:rPr>
        <w:t xml:space="preserve"> values for the majority of these compounds fall within the range typical for drug-like properties, indicating a balance between hydrophilicity and lipophilicity, essential for effective cell membrane permeability. Notably, compounds like Berberine and Coptisine have </w:t>
      </w:r>
      <w:proofErr w:type="spellStart"/>
      <w:r w:rsidRPr="008B46AE">
        <w:rPr>
          <w:rFonts w:ascii="Garamond" w:hAnsi="Garamond"/>
          <w:bCs/>
          <w:iCs/>
          <w:sz w:val="20"/>
          <w:szCs w:val="20"/>
        </w:rPr>
        <w:t>logP</w:t>
      </w:r>
      <w:proofErr w:type="spellEnd"/>
      <w:r w:rsidRPr="008B46AE">
        <w:rPr>
          <w:rFonts w:ascii="Garamond" w:hAnsi="Garamond"/>
          <w:bCs/>
          <w:iCs/>
          <w:sz w:val="20"/>
          <w:szCs w:val="20"/>
        </w:rPr>
        <w:t xml:space="preserve"> values that suggest moderate lipophilicity, which aligns well with their good solubility profiles. High TPSA values observed in Quercetin and Luteolin reflect their substantial polar surface areas, enhancing their solubility and potentially influencing their ability to interact with biological targets</w:t>
      </w:r>
      <w:r w:rsidR="00440E6B">
        <w:rPr>
          <w:rFonts w:ascii="Garamond" w:hAnsi="Garamond"/>
          <w:bCs/>
          <w:iCs/>
          <w:sz w:val="20"/>
          <w:szCs w:val="20"/>
        </w:rPr>
        <w:t>.</w:t>
      </w:r>
      <w:r w:rsidRPr="008B46AE">
        <w:rPr>
          <w:rFonts w:ascii="Garamond" w:hAnsi="Garamond"/>
          <w:bCs/>
          <w:iCs/>
          <w:sz w:val="20"/>
          <w:szCs w:val="20"/>
          <w:vertAlign w:val="superscript"/>
        </w:rPr>
        <w:t>29</w:t>
      </w:r>
    </w:p>
    <w:p w14:paraId="6DF6B4EE" w14:textId="783D1B01"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Bioactivity data reveal significant therapeutic potential for these compounds. Berberine and Luteolin stand out with broad-spectrum activities across multiple targets, including notable actions against enzymes and receptors such as CDK2 and PI3K, making them candidates for anti-cancer therapies. Quercetin's and Luteolin's bioactivities are consistent with their known anti-inflammatory and antioxidant effects. In contrast, Eugenol showed limited predicted bioactivity, aligning with its well-established role as a mild antiseptic rather than a broad-spectrum pharmaceutical agent. </w:t>
      </w:r>
      <w:proofErr w:type="spellStart"/>
      <w:r w:rsidRPr="008B46AE">
        <w:rPr>
          <w:rFonts w:ascii="Garamond" w:hAnsi="Garamond"/>
          <w:bCs/>
          <w:iCs/>
          <w:sz w:val="20"/>
          <w:szCs w:val="20"/>
        </w:rPr>
        <w:t>Onjisaponin's</w:t>
      </w:r>
      <w:proofErr w:type="spellEnd"/>
      <w:r w:rsidRPr="008B46AE">
        <w:rPr>
          <w:rFonts w:ascii="Garamond" w:hAnsi="Garamond"/>
          <w:bCs/>
          <w:iCs/>
          <w:sz w:val="20"/>
          <w:szCs w:val="20"/>
        </w:rPr>
        <w:t xml:space="preserve"> notable activity against several targets could be attributed to its complex saponin structure, which allows interaction with diverse biological pathways</w:t>
      </w:r>
      <w:r w:rsidR="00440E6B">
        <w:rPr>
          <w:rFonts w:ascii="Garamond" w:hAnsi="Garamond"/>
          <w:bCs/>
          <w:iCs/>
          <w:sz w:val="20"/>
          <w:szCs w:val="20"/>
        </w:rPr>
        <w:t>.</w:t>
      </w:r>
      <w:r w:rsidRPr="008B46AE">
        <w:rPr>
          <w:rFonts w:ascii="Garamond" w:hAnsi="Garamond"/>
          <w:bCs/>
          <w:iCs/>
          <w:sz w:val="20"/>
          <w:szCs w:val="20"/>
          <w:vertAlign w:val="superscript"/>
        </w:rPr>
        <w:t>30</w:t>
      </w:r>
    </w:p>
    <w:p w14:paraId="2C880047" w14:textId="2B725D2B"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toxicity assessments indicate a generally favorable profile, though caution is warranted. Most compounds are predicted to be non-toxic according to the AMES test, suggesting a low mutagenic potential. However, potential hepatotoxicity observed in </w:t>
      </w: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Berberine, and </w:t>
      </w:r>
      <w:proofErr w:type="spellStart"/>
      <w:r w:rsidRPr="008B46AE">
        <w:rPr>
          <w:rFonts w:ascii="Garamond" w:hAnsi="Garamond"/>
          <w:bCs/>
          <w:iCs/>
          <w:sz w:val="20"/>
          <w:szCs w:val="20"/>
        </w:rPr>
        <w:t>Tenuifolin</w:t>
      </w:r>
      <w:proofErr w:type="spellEnd"/>
      <w:r w:rsidRPr="008B46AE">
        <w:rPr>
          <w:rFonts w:ascii="Garamond" w:hAnsi="Garamond"/>
          <w:bCs/>
          <w:iCs/>
          <w:sz w:val="20"/>
          <w:szCs w:val="20"/>
        </w:rPr>
        <w:t xml:space="preserve"> warrants further investigation before clinical use. Berberine's </w:t>
      </w:r>
      <w:proofErr w:type="spellStart"/>
      <w:r w:rsidRPr="008B46AE">
        <w:rPr>
          <w:rFonts w:ascii="Garamond" w:hAnsi="Garamond"/>
          <w:bCs/>
          <w:iCs/>
          <w:sz w:val="20"/>
          <w:szCs w:val="20"/>
        </w:rPr>
        <w:t>hERG</w:t>
      </w:r>
      <w:proofErr w:type="spellEnd"/>
      <w:r w:rsidRPr="008B46AE">
        <w:rPr>
          <w:rFonts w:ascii="Garamond" w:hAnsi="Garamond"/>
          <w:bCs/>
          <w:iCs/>
          <w:sz w:val="20"/>
          <w:szCs w:val="20"/>
        </w:rPr>
        <w:t xml:space="preserve"> blocking potential indicates a risk for cardiac toxicity, highlighting the need for careful monitoring in therapeutic applications. Skin sensitization is a common concern across several compounds, indicating possible allergic reactions, particularly relevant for topical applications</w:t>
      </w:r>
      <w:r w:rsidR="00440E6B">
        <w:rPr>
          <w:rFonts w:ascii="Garamond" w:hAnsi="Garamond"/>
          <w:bCs/>
          <w:iCs/>
          <w:sz w:val="20"/>
          <w:szCs w:val="20"/>
        </w:rPr>
        <w:t>.</w:t>
      </w:r>
      <w:r w:rsidRPr="008B46AE">
        <w:rPr>
          <w:rFonts w:ascii="Garamond" w:hAnsi="Garamond"/>
          <w:bCs/>
          <w:iCs/>
          <w:sz w:val="20"/>
          <w:szCs w:val="20"/>
          <w:vertAlign w:val="superscript"/>
        </w:rPr>
        <w:t>31</w:t>
      </w:r>
    </w:p>
    <w:p w14:paraId="787F7A5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Most compounds conform to Lipinski's Rule of Five, which predicts good oral bioavailability.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deviates significantly, reflecting its unsuitability for oral administration but potential for other routes or formulations. The overall adherence to Veber, Ghose, Egan, and Muegge filters underscores the broad drug-like nature of these compounds, particularly for Berberine, Quercetin, Kaempferol, and </w:t>
      </w:r>
      <w:proofErr w:type="spellStart"/>
      <w:r w:rsidRPr="008B46AE">
        <w:rPr>
          <w:rFonts w:ascii="Garamond" w:hAnsi="Garamond"/>
          <w:bCs/>
          <w:iCs/>
          <w:sz w:val="20"/>
          <w:szCs w:val="20"/>
        </w:rPr>
        <w:t>Casticin</w:t>
      </w:r>
      <w:proofErr w:type="spellEnd"/>
      <w:r w:rsidRPr="008B46AE">
        <w:rPr>
          <w:rFonts w:ascii="Garamond" w:hAnsi="Garamond"/>
          <w:bCs/>
          <w:iCs/>
          <w:sz w:val="20"/>
          <w:szCs w:val="20"/>
        </w:rPr>
        <w:t>, which exhibit high compliance across these metrics.</w:t>
      </w:r>
    </w:p>
    <w:p w14:paraId="03729809" w14:textId="37D17CED"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In summary, the compounds analyzed exhibit a broad spectrum of molecular properties, bioactivities, and toxicity profiles, reflecting their diverse potential in therapeutic applications. Berberine and Luteolin emerge as particularly promising due to their extensive bioactivity and favorable solubility profiles, making them strong candidates for further drug </w:t>
      </w:r>
      <w:r w:rsidRPr="008B46AE">
        <w:rPr>
          <w:rFonts w:ascii="Garamond" w:hAnsi="Garamond"/>
          <w:bCs/>
          <w:iCs/>
          <w:sz w:val="20"/>
          <w:szCs w:val="20"/>
        </w:rPr>
        <w:lastRenderedPageBreak/>
        <w:t xml:space="preserve">development. Compounds like Quercetin and Kaempferol also show significant promise due to their balanced properties and bioactivity profiles. However, the high molecular weight and complexity of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suggest limitations for traditional oral drug administration, although its extensive bioactivity warrants further investigation for other therapeutic applications.</w:t>
      </w:r>
      <w:r w:rsidR="009269B1">
        <w:rPr>
          <w:rFonts w:ascii="Garamond" w:hAnsi="Garamond"/>
          <w:bCs/>
          <w:iCs/>
          <w:sz w:val="20"/>
          <w:szCs w:val="20"/>
        </w:rPr>
        <w:t xml:space="preserve"> </w:t>
      </w:r>
      <w:r w:rsidRPr="008B46AE">
        <w:rPr>
          <w:rFonts w:ascii="Garamond" w:hAnsi="Garamond"/>
          <w:bCs/>
          <w:iCs/>
          <w:sz w:val="20"/>
          <w:szCs w:val="20"/>
        </w:rPr>
        <w:t>The findings underscore the importance of considering a comprehensive range of factors—molecular properties, bioactivity, and toxicity—when evaluating the potential of natural compounds for drug development. Further in vivo studies and clinical trials are essential to confirm these predictions and to understand the full therapeutic potential and safety profiles of these compounds. The integration of computational predictions with experimental validation will be crucial in advancing these natural compounds from the laboratory to clinical use</w:t>
      </w:r>
      <w:r w:rsidR="00440E6B">
        <w:rPr>
          <w:rFonts w:ascii="Garamond" w:hAnsi="Garamond"/>
          <w:bCs/>
          <w:iCs/>
          <w:sz w:val="20"/>
          <w:szCs w:val="20"/>
        </w:rPr>
        <w:t>.</w:t>
      </w:r>
      <w:r w:rsidRPr="008B46AE">
        <w:rPr>
          <w:rFonts w:ascii="Garamond" w:hAnsi="Garamond"/>
          <w:bCs/>
          <w:iCs/>
          <w:sz w:val="20"/>
          <w:szCs w:val="20"/>
          <w:vertAlign w:val="superscript"/>
        </w:rPr>
        <w:t>32</w:t>
      </w:r>
    </w:p>
    <w:p w14:paraId="1E8C3679" w14:textId="77777777" w:rsidR="009269B1" w:rsidRDefault="009269B1" w:rsidP="008B46AE">
      <w:pPr>
        <w:spacing w:line="259" w:lineRule="auto"/>
        <w:jc w:val="both"/>
        <w:rPr>
          <w:rFonts w:ascii="Garamond" w:hAnsi="Garamond"/>
          <w:b/>
          <w:bCs/>
          <w:iCs/>
          <w:sz w:val="20"/>
          <w:szCs w:val="20"/>
        </w:rPr>
      </w:pPr>
    </w:p>
    <w:p w14:paraId="5E3F3695" w14:textId="6C0F35B4"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Target Identification</w:t>
      </w:r>
    </w:p>
    <w:p w14:paraId="3A1DDD80"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 xml:space="preserve">Table 6: Results of Target Identification for phytoconstituents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5"/>
        <w:gridCol w:w="4825"/>
        <w:gridCol w:w="1660"/>
      </w:tblGrid>
      <w:tr w:rsidR="008B46AE" w:rsidRPr="008B46AE" w14:paraId="59BD7883" w14:textId="77777777" w:rsidTr="00117B5F">
        <w:tc>
          <w:tcPr>
            <w:tcW w:w="0" w:type="auto"/>
            <w:tcBorders>
              <w:top w:val="single" w:sz="4" w:space="0" w:color="auto"/>
              <w:bottom w:val="single" w:sz="4" w:space="0" w:color="auto"/>
            </w:tcBorders>
            <w:hideMark/>
          </w:tcPr>
          <w:p w14:paraId="26C75C81"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Protein Name</w:t>
            </w:r>
          </w:p>
        </w:tc>
        <w:tc>
          <w:tcPr>
            <w:tcW w:w="0" w:type="auto"/>
            <w:tcBorders>
              <w:top w:val="single" w:sz="4" w:space="0" w:color="auto"/>
              <w:bottom w:val="single" w:sz="4" w:space="0" w:color="auto"/>
            </w:tcBorders>
            <w:hideMark/>
          </w:tcPr>
          <w:p w14:paraId="49349502"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Function</w:t>
            </w:r>
          </w:p>
        </w:tc>
        <w:tc>
          <w:tcPr>
            <w:tcW w:w="0" w:type="auto"/>
            <w:tcBorders>
              <w:top w:val="single" w:sz="4" w:space="0" w:color="auto"/>
              <w:bottom w:val="single" w:sz="4" w:space="0" w:color="auto"/>
            </w:tcBorders>
            <w:hideMark/>
          </w:tcPr>
          <w:p w14:paraId="014546E5"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Phytoconstituent</w:t>
            </w:r>
          </w:p>
        </w:tc>
      </w:tr>
      <w:tr w:rsidR="008B46AE" w:rsidRPr="008B46AE" w14:paraId="3D18A15B" w14:textId="77777777" w:rsidTr="00117B5F">
        <w:tc>
          <w:tcPr>
            <w:tcW w:w="0" w:type="auto"/>
            <w:tcBorders>
              <w:top w:val="single" w:sz="4" w:space="0" w:color="auto"/>
            </w:tcBorders>
            <w:hideMark/>
          </w:tcPr>
          <w:p w14:paraId="54C511B5"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Falcipain</w:t>
            </w:r>
            <w:proofErr w:type="spellEnd"/>
            <w:r w:rsidRPr="008B46AE">
              <w:rPr>
                <w:rFonts w:ascii="Garamond" w:hAnsi="Garamond"/>
                <w:bCs/>
                <w:iCs/>
                <w:sz w:val="20"/>
                <w:szCs w:val="20"/>
              </w:rPr>
              <w:t xml:space="preserve"> 2a-cysteine protease and </w:t>
            </w:r>
            <w:proofErr w:type="spellStart"/>
            <w:r w:rsidRPr="008B46AE">
              <w:rPr>
                <w:rFonts w:ascii="Garamond" w:hAnsi="Garamond"/>
                <w:bCs/>
                <w:iCs/>
                <w:sz w:val="20"/>
                <w:szCs w:val="20"/>
              </w:rPr>
              <w:t>haemoglobinase</w:t>
            </w:r>
            <w:proofErr w:type="spellEnd"/>
          </w:p>
        </w:tc>
        <w:tc>
          <w:tcPr>
            <w:tcW w:w="0" w:type="auto"/>
            <w:tcBorders>
              <w:top w:val="single" w:sz="4" w:space="0" w:color="auto"/>
            </w:tcBorders>
            <w:hideMark/>
          </w:tcPr>
          <w:p w14:paraId="2745231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A cysteine protease involved in the degradation of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in </w:t>
            </w:r>
            <w:r w:rsidRPr="008B46AE">
              <w:rPr>
                <w:rFonts w:ascii="Garamond" w:hAnsi="Garamond"/>
                <w:bCs/>
                <w:i/>
                <w:iCs/>
                <w:sz w:val="20"/>
                <w:szCs w:val="20"/>
              </w:rPr>
              <w:t>Plasmodium</w:t>
            </w:r>
            <w:r w:rsidRPr="008B46AE">
              <w:rPr>
                <w:rFonts w:ascii="Garamond" w:hAnsi="Garamond"/>
                <w:bCs/>
                <w:iCs/>
                <w:sz w:val="20"/>
                <w:szCs w:val="20"/>
              </w:rPr>
              <w:t>, facilitating the parasite's acquisition of amino acids.</w:t>
            </w:r>
          </w:p>
        </w:tc>
        <w:tc>
          <w:tcPr>
            <w:tcW w:w="0" w:type="auto"/>
            <w:tcBorders>
              <w:top w:val="single" w:sz="4" w:space="0" w:color="auto"/>
            </w:tcBorders>
            <w:hideMark/>
          </w:tcPr>
          <w:p w14:paraId="225F4CF9"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
                <w:bCs/>
                <w:iCs/>
                <w:sz w:val="20"/>
                <w:szCs w:val="20"/>
              </w:rPr>
              <w:t>Echitamine</w:t>
            </w:r>
            <w:proofErr w:type="spellEnd"/>
          </w:p>
        </w:tc>
      </w:tr>
      <w:tr w:rsidR="008B46AE" w:rsidRPr="008B46AE" w14:paraId="451805D4" w14:textId="77777777" w:rsidTr="00117B5F">
        <w:tc>
          <w:tcPr>
            <w:tcW w:w="0" w:type="auto"/>
            <w:hideMark/>
          </w:tcPr>
          <w:p w14:paraId="74F30309"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w:t>
            </w:r>
          </w:p>
        </w:tc>
        <w:tc>
          <w:tcPr>
            <w:tcW w:w="0" w:type="auto"/>
            <w:hideMark/>
          </w:tcPr>
          <w:p w14:paraId="29C86E7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An aspartic protease involved in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degradation in </w:t>
            </w:r>
            <w:r w:rsidRPr="008B46AE">
              <w:rPr>
                <w:rFonts w:ascii="Garamond" w:hAnsi="Garamond"/>
                <w:bCs/>
                <w:i/>
                <w:iCs/>
                <w:sz w:val="20"/>
                <w:szCs w:val="20"/>
              </w:rPr>
              <w:t>Plasmodium</w:t>
            </w:r>
            <w:r w:rsidRPr="008B46AE">
              <w:rPr>
                <w:rFonts w:ascii="Garamond" w:hAnsi="Garamond"/>
                <w:bCs/>
                <w:iCs/>
                <w:sz w:val="20"/>
                <w:szCs w:val="20"/>
              </w:rPr>
              <w:t>, contributing to the proteolytic cascade required for nutrient acquisition.</w:t>
            </w:r>
          </w:p>
        </w:tc>
        <w:tc>
          <w:tcPr>
            <w:tcW w:w="0" w:type="auto"/>
            <w:hideMark/>
          </w:tcPr>
          <w:p w14:paraId="09420720"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
                <w:bCs/>
                <w:iCs/>
                <w:sz w:val="20"/>
                <w:szCs w:val="20"/>
              </w:rPr>
              <w:t>Scholaricine</w:t>
            </w:r>
            <w:proofErr w:type="spellEnd"/>
          </w:p>
        </w:tc>
      </w:tr>
      <w:tr w:rsidR="008B46AE" w:rsidRPr="008B46AE" w14:paraId="7B750FE3" w14:textId="77777777" w:rsidTr="00117B5F">
        <w:tc>
          <w:tcPr>
            <w:tcW w:w="0" w:type="auto"/>
            <w:hideMark/>
          </w:tcPr>
          <w:p w14:paraId="45A4807D"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Falcipain</w:t>
            </w:r>
            <w:proofErr w:type="spellEnd"/>
            <w:r w:rsidRPr="008B46AE">
              <w:rPr>
                <w:rFonts w:ascii="Garamond" w:hAnsi="Garamond"/>
                <w:bCs/>
                <w:iCs/>
                <w:sz w:val="20"/>
                <w:szCs w:val="20"/>
              </w:rPr>
              <w:t xml:space="preserve"> 2b-cysteine protease and </w:t>
            </w:r>
            <w:proofErr w:type="spellStart"/>
            <w:r w:rsidRPr="008B46AE">
              <w:rPr>
                <w:rFonts w:ascii="Garamond" w:hAnsi="Garamond"/>
                <w:bCs/>
                <w:iCs/>
                <w:sz w:val="20"/>
                <w:szCs w:val="20"/>
              </w:rPr>
              <w:t>haemoglobinase</w:t>
            </w:r>
            <w:proofErr w:type="spellEnd"/>
          </w:p>
        </w:tc>
        <w:tc>
          <w:tcPr>
            <w:tcW w:w="0" w:type="auto"/>
            <w:hideMark/>
          </w:tcPr>
          <w:p w14:paraId="52E2198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A variant of </w:t>
            </w:r>
            <w:proofErr w:type="spellStart"/>
            <w:r w:rsidRPr="008B46AE">
              <w:rPr>
                <w:rFonts w:ascii="Garamond" w:hAnsi="Garamond"/>
                <w:bCs/>
                <w:iCs/>
                <w:sz w:val="20"/>
                <w:szCs w:val="20"/>
              </w:rPr>
              <w:t>Falcipain</w:t>
            </w:r>
            <w:proofErr w:type="spellEnd"/>
            <w:r w:rsidRPr="008B46AE">
              <w:rPr>
                <w:rFonts w:ascii="Garamond" w:hAnsi="Garamond"/>
                <w:bCs/>
                <w:iCs/>
                <w:sz w:val="20"/>
                <w:szCs w:val="20"/>
              </w:rPr>
              <w:t xml:space="preserve"> 2 with similar function, participating in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degradation within the parasite's digestive vacuole.</w:t>
            </w:r>
          </w:p>
        </w:tc>
        <w:tc>
          <w:tcPr>
            <w:tcW w:w="0" w:type="auto"/>
            <w:hideMark/>
          </w:tcPr>
          <w:p w14:paraId="46F9E28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Berberine</w:t>
            </w:r>
          </w:p>
        </w:tc>
      </w:tr>
      <w:tr w:rsidR="008B46AE" w:rsidRPr="008B46AE" w14:paraId="55504E31" w14:textId="77777777" w:rsidTr="00117B5F">
        <w:tc>
          <w:tcPr>
            <w:tcW w:w="0" w:type="auto"/>
            <w:hideMark/>
          </w:tcPr>
          <w:p w14:paraId="54EF8168"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w:t>
            </w:r>
          </w:p>
        </w:tc>
        <w:tc>
          <w:tcPr>
            <w:tcW w:w="0" w:type="auto"/>
            <w:hideMark/>
          </w:tcPr>
          <w:p w14:paraId="03445C0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Another aspartic protease involved in the initial stages of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degradation in </w:t>
            </w:r>
            <w:r w:rsidRPr="008B46AE">
              <w:rPr>
                <w:rFonts w:ascii="Garamond" w:hAnsi="Garamond"/>
                <w:bCs/>
                <w:i/>
                <w:iCs/>
                <w:sz w:val="20"/>
                <w:szCs w:val="20"/>
              </w:rPr>
              <w:t>Plasmodium</w:t>
            </w:r>
            <w:r w:rsidRPr="008B46AE">
              <w:rPr>
                <w:rFonts w:ascii="Garamond" w:hAnsi="Garamond"/>
                <w:bCs/>
                <w:iCs/>
                <w:sz w:val="20"/>
                <w:szCs w:val="20"/>
              </w:rPr>
              <w:t>.</w:t>
            </w:r>
          </w:p>
        </w:tc>
        <w:tc>
          <w:tcPr>
            <w:tcW w:w="0" w:type="auto"/>
            <w:hideMark/>
          </w:tcPr>
          <w:p w14:paraId="708C66C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Coptisine</w:t>
            </w:r>
          </w:p>
        </w:tc>
      </w:tr>
      <w:tr w:rsidR="008B46AE" w:rsidRPr="008B46AE" w14:paraId="7D9181D6" w14:textId="77777777" w:rsidTr="00117B5F">
        <w:tc>
          <w:tcPr>
            <w:tcW w:w="0" w:type="auto"/>
            <w:hideMark/>
          </w:tcPr>
          <w:p w14:paraId="04D4937B"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III</w:t>
            </w:r>
          </w:p>
        </w:tc>
        <w:tc>
          <w:tcPr>
            <w:tcW w:w="0" w:type="auto"/>
            <w:hideMark/>
          </w:tcPr>
          <w:p w14:paraId="6A2A9BD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An aspartic protease functioning in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degradation, complementing the activities of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 and II.</w:t>
            </w:r>
          </w:p>
        </w:tc>
        <w:tc>
          <w:tcPr>
            <w:tcW w:w="0" w:type="auto"/>
            <w:hideMark/>
          </w:tcPr>
          <w:p w14:paraId="7FA87B5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Quercetin</w:t>
            </w:r>
          </w:p>
        </w:tc>
      </w:tr>
      <w:tr w:rsidR="008B46AE" w:rsidRPr="008B46AE" w14:paraId="33C6AE28" w14:textId="77777777" w:rsidTr="00117B5F">
        <w:tc>
          <w:tcPr>
            <w:tcW w:w="0" w:type="auto"/>
            <w:hideMark/>
          </w:tcPr>
          <w:p w14:paraId="522EF40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Independent K+ translocation inorganic pyrophosphatase of type V</w:t>
            </w:r>
          </w:p>
        </w:tc>
        <w:tc>
          <w:tcPr>
            <w:tcW w:w="0" w:type="auto"/>
            <w:hideMark/>
          </w:tcPr>
          <w:p w14:paraId="6E5502D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Catalyzes the hydrolysis of inorganic pyrophosphate, coupled with K+ translocation across membranes, crucial for cellular energy metabolism.</w:t>
            </w:r>
          </w:p>
        </w:tc>
        <w:tc>
          <w:tcPr>
            <w:tcW w:w="0" w:type="auto"/>
            <w:hideMark/>
          </w:tcPr>
          <w:p w14:paraId="4E5BD35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Kaempferol</w:t>
            </w:r>
          </w:p>
        </w:tc>
      </w:tr>
      <w:tr w:rsidR="008B46AE" w:rsidRPr="008B46AE" w14:paraId="4706D2EC" w14:textId="77777777" w:rsidTr="00117B5F">
        <w:tc>
          <w:tcPr>
            <w:tcW w:w="0" w:type="auto"/>
            <w:hideMark/>
          </w:tcPr>
          <w:p w14:paraId="6814054D"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Haloacid</w:t>
            </w:r>
            <w:proofErr w:type="spellEnd"/>
            <w:r w:rsidRPr="008B46AE">
              <w:rPr>
                <w:rFonts w:ascii="Garamond" w:hAnsi="Garamond"/>
                <w:bCs/>
                <w:iCs/>
                <w:sz w:val="20"/>
                <w:szCs w:val="20"/>
              </w:rPr>
              <w:t xml:space="preserve"> dehalogenase-like hydrolase</w:t>
            </w:r>
          </w:p>
        </w:tc>
        <w:tc>
          <w:tcPr>
            <w:tcW w:w="0" w:type="auto"/>
            <w:hideMark/>
          </w:tcPr>
          <w:p w14:paraId="631C53D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Enzyme involved in dehalogenation, playing a role in various metabolic pathways, including detoxification processes.</w:t>
            </w:r>
          </w:p>
        </w:tc>
        <w:tc>
          <w:tcPr>
            <w:tcW w:w="0" w:type="auto"/>
            <w:hideMark/>
          </w:tcPr>
          <w:p w14:paraId="50C8EBB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Eugenol</w:t>
            </w:r>
          </w:p>
        </w:tc>
      </w:tr>
      <w:tr w:rsidR="008B46AE" w:rsidRPr="008B46AE" w14:paraId="001ED061" w14:textId="77777777" w:rsidTr="00117B5F">
        <w:tc>
          <w:tcPr>
            <w:tcW w:w="0" w:type="auto"/>
            <w:hideMark/>
          </w:tcPr>
          <w:p w14:paraId="6BD6779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Uncharacterized protein</w:t>
            </w:r>
          </w:p>
        </w:tc>
        <w:tc>
          <w:tcPr>
            <w:tcW w:w="0" w:type="auto"/>
            <w:hideMark/>
          </w:tcPr>
          <w:p w14:paraId="1DB7674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Function not clearly defined; potential involvement in parasite-specific pathways or structural roles within the organism.</w:t>
            </w:r>
          </w:p>
        </w:tc>
        <w:tc>
          <w:tcPr>
            <w:tcW w:w="0" w:type="auto"/>
            <w:hideMark/>
          </w:tcPr>
          <w:p w14:paraId="2001CCE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Luteolin</w:t>
            </w:r>
          </w:p>
        </w:tc>
      </w:tr>
      <w:tr w:rsidR="008B46AE" w:rsidRPr="008B46AE" w14:paraId="046E7EC6" w14:textId="77777777" w:rsidTr="00117B5F">
        <w:tc>
          <w:tcPr>
            <w:tcW w:w="0" w:type="auto"/>
            <w:hideMark/>
          </w:tcPr>
          <w:p w14:paraId="392CC28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Exported protein 2</w:t>
            </w:r>
          </w:p>
        </w:tc>
        <w:tc>
          <w:tcPr>
            <w:tcW w:w="0" w:type="auto"/>
            <w:hideMark/>
          </w:tcPr>
          <w:p w14:paraId="052F6BB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Likely involved in host-parasite interactions, contributing to the export of effector proteins into the host cell.</w:t>
            </w:r>
          </w:p>
        </w:tc>
        <w:tc>
          <w:tcPr>
            <w:tcW w:w="0" w:type="auto"/>
            <w:hideMark/>
          </w:tcPr>
          <w:p w14:paraId="074530D1"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
                <w:bCs/>
                <w:iCs/>
                <w:sz w:val="20"/>
                <w:szCs w:val="20"/>
              </w:rPr>
              <w:t>Tenuifolin</w:t>
            </w:r>
            <w:proofErr w:type="spellEnd"/>
          </w:p>
        </w:tc>
      </w:tr>
      <w:tr w:rsidR="008B46AE" w:rsidRPr="008B46AE" w14:paraId="74A7C1E9" w14:textId="77777777" w:rsidTr="00117B5F">
        <w:tc>
          <w:tcPr>
            <w:tcW w:w="0" w:type="auto"/>
            <w:hideMark/>
          </w:tcPr>
          <w:p w14:paraId="1E0211ED"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IV</w:t>
            </w:r>
          </w:p>
        </w:tc>
        <w:tc>
          <w:tcPr>
            <w:tcW w:w="0" w:type="auto"/>
            <w:hideMark/>
          </w:tcPr>
          <w:p w14:paraId="50767A1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Aspartic protease participating in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degradation, similar to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I-III, playing a role in the digestive process of the parasite.</w:t>
            </w:r>
          </w:p>
        </w:tc>
        <w:tc>
          <w:tcPr>
            <w:tcW w:w="0" w:type="auto"/>
            <w:hideMark/>
          </w:tcPr>
          <w:p w14:paraId="6C3627F5"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
                <w:bCs/>
                <w:iCs/>
                <w:sz w:val="20"/>
                <w:szCs w:val="20"/>
              </w:rPr>
              <w:t>Onjisaponin</w:t>
            </w:r>
            <w:proofErr w:type="spellEnd"/>
          </w:p>
        </w:tc>
      </w:tr>
      <w:tr w:rsidR="008B46AE" w:rsidRPr="008B46AE" w14:paraId="080320D3" w14:textId="77777777" w:rsidTr="00117B5F">
        <w:tc>
          <w:tcPr>
            <w:tcW w:w="0" w:type="auto"/>
            <w:hideMark/>
          </w:tcPr>
          <w:p w14:paraId="62C6F4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Chaperone protein </w:t>
            </w:r>
            <w:proofErr w:type="spellStart"/>
            <w:r w:rsidRPr="008B46AE">
              <w:rPr>
                <w:rFonts w:ascii="Garamond" w:hAnsi="Garamond"/>
                <w:bCs/>
                <w:iCs/>
                <w:sz w:val="20"/>
                <w:szCs w:val="20"/>
              </w:rPr>
              <w:t>DnaJ</w:t>
            </w:r>
            <w:proofErr w:type="spellEnd"/>
          </w:p>
        </w:tc>
        <w:tc>
          <w:tcPr>
            <w:tcW w:w="0" w:type="auto"/>
            <w:hideMark/>
          </w:tcPr>
          <w:p w14:paraId="05A502B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A molecular chaperone assisting in protein folding and protection against stress-induced damage, crucial for parasite survival and virulence.</w:t>
            </w:r>
          </w:p>
        </w:tc>
        <w:tc>
          <w:tcPr>
            <w:tcW w:w="0" w:type="auto"/>
            <w:hideMark/>
          </w:tcPr>
          <w:p w14:paraId="2664E71E"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
                <w:bCs/>
                <w:iCs/>
                <w:sz w:val="20"/>
                <w:szCs w:val="20"/>
              </w:rPr>
              <w:t>Agnuside</w:t>
            </w:r>
            <w:proofErr w:type="spellEnd"/>
          </w:p>
        </w:tc>
      </w:tr>
      <w:tr w:rsidR="008B46AE" w:rsidRPr="008B46AE" w14:paraId="789A7CEA" w14:textId="77777777" w:rsidTr="00117B5F">
        <w:tc>
          <w:tcPr>
            <w:tcW w:w="0" w:type="auto"/>
            <w:tcBorders>
              <w:bottom w:val="single" w:sz="4" w:space="0" w:color="auto"/>
            </w:tcBorders>
            <w:hideMark/>
          </w:tcPr>
          <w:p w14:paraId="7B0EF79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Chaperone protein </w:t>
            </w:r>
            <w:proofErr w:type="spellStart"/>
            <w:r w:rsidRPr="008B46AE">
              <w:rPr>
                <w:rFonts w:ascii="Garamond" w:hAnsi="Garamond"/>
                <w:bCs/>
                <w:iCs/>
                <w:sz w:val="20"/>
                <w:szCs w:val="20"/>
              </w:rPr>
              <w:t>DnaJ</w:t>
            </w:r>
            <w:proofErr w:type="spellEnd"/>
          </w:p>
        </w:tc>
        <w:tc>
          <w:tcPr>
            <w:tcW w:w="0" w:type="auto"/>
            <w:tcBorders>
              <w:bottom w:val="single" w:sz="4" w:space="0" w:color="auto"/>
            </w:tcBorders>
            <w:hideMark/>
          </w:tcPr>
          <w:p w14:paraId="083D843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A molecular chaperone assisting in protein folding and protection against stress-induced damage, crucial for parasite survival and virulence.</w:t>
            </w:r>
          </w:p>
        </w:tc>
        <w:tc>
          <w:tcPr>
            <w:tcW w:w="0" w:type="auto"/>
            <w:tcBorders>
              <w:bottom w:val="single" w:sz="4" w:space="0" w:color="auto"/>
            </w:tcBorders>
            <w:hideMark/>
          </w:tcPr>
          <w:p w14:paraId="3B0637E1"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
                <w:bCs/>
                <w:iCs/>
                <w:sz w:val="20"/>
                <w:szCs w:val="20"/>
              </w:rPr>
              <w:t>Casticin</w:t>
            </w:r>
            <w:proofErr w:type="spellEnd"/>
          </w:p>
        </w:tc>
      </w:tr>
    </w:tbl>
    <w:p w14:paraId="59B71677" w14:textId="65AD4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This table 6 consolidates information on proteins from </w:t>
      </w:r>
      <w:r w:rsidRPr="008B46AE">
        <w:rPr>
          <w:rFonts w:ascii="Garamond" w:hAnsi="Garamond"/>
          <w:bCs/>
          <w:i/>
          <w:iCs/>
          <w:sz w:val="20"/>
          <w:szCs w:val="20"/>
        </w:rPr>
        <w:t>Plasmodium</w:t>
      </w:r>
      <w:r w:rsidRPr="008B46AE">
        <w:rPr>
          <w:rFonts w:ascii="Garamond" w:hAnsi="Garamond"/>
          <w:bCs/>
          <w:iCs/>
          <w:sz w:val="20"/>
          <w:szCs w:val="20"/>
        </w:rPr>
        <w:t xml:space="preserve"> and various phytoconstituents, illustrating the diverse functions and bioactivities of these biological molecules. Each protein listed plays a crucial role in the parasite's survival, particularly in the degradation of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and metabolic processes, while the phytoconstituents represent natural </w:t>
      </w:r>
      <w:r w:rsidRPr="008B46AE">
        <w:rPr>
          <w:rFonts w:ascii="Garamond" w:hAnsi="Garamond"/>
          <w:bCs/>
          <w:iCs/>
          <w:sz w:val="20"/>
          <w:szCs w:val="20"/>
        </w:rPr>
        <w:lastRenderedPageBreak/>
        <w:t>compounds with significant therapeutic potentials, ranging from antimicrobial to neuroprotective effects. Understanding the interplay between these proteins and phytoconstituents can provide insights into developing new treatments for diseases like malaria and other health conditions.</w:t>
      </w:r>
    </w:p>
    <w:p w14:paraId="5FE5BE00" w14:textId="1443B43A"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combined analysis of protein IDs, functions, and associated phytoconstituents reveals critical enzymes involved in </w:t>
      </w:r>
      <w:proofErr w:type="spellStart"/>
      <w:r w:rsidRPr="008B46AE">
        <w:rPr>
          <w:rFonts w:ascii="Garamond" w:hAnsi="Garamond"/>
          <w:bCs/>
          <w:iCs/>
          <w:sz w:val="20"/>
          <w:szCs w:val="20"/>
        </w:rPr>
        <w:t>haemoglobin</w:t>
      </w:r>
      <w:proofErr w:type="spellEnd"/>
      <w:r w:rsidRPr="008B46AE">
        <w:rPr>
          <w:rFonts w:ascii="Garamond" w:hAnsi="Garamond"/>
          <w:bCs/>
          <w:iCs/>
          <w:sz w:val="20"/>
          <w:szCs w:val="20"/>
        </w:rPr>
        <w:t xml:space="preserve"> degradation by Plasmodium, such as </w:t>
      </w:r>
      <w:proofErr w:type="spellStart"/>
      <w:r w:rsidRPr="008B46AE">
        <w:rPr>
          <w:rFonts w:ascii="Garamond" w:hAnsi="Garamond"/>
          <w:bCs/>
          <w:iCs/>
          <w:sz w:val="20"/>
          <w:szCs w:val="20"/>
        </w:rPr>
        <w:t>Falcipain</w:t>
      </w:r>
      <w:proofErr w:type="spellEnd"/>
      <w:r w:rsidRPr="008B46AE">
        <w:rPr>
          <w:rFonts w:ascii="Garamond" w:hAnsi="Garamond"/>
          <w:bCs/>
          <w:iCs/>
          <w:sz w:val="20"/>
          <w:szCs w:val="20"/>
        </w:rPr>
        <w:t xml:space="preserve"> 2a,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I-IV. These proteins are essential for amino acid acquisition, highlighting their potential as targets for antimalarial therapies. The identified phytoconstituents (e.g., Berberine, Quercetin) present in various plants offer promising avenues for drug development, potentially inhibiting these key proteases. This integrated approach not only deepens our understanding of malaria pathogenesis but also suggests new strategies for developing effective treatments leveraging natural compounds. Further research is crucial to elucidate the exact mechanisms and optimize these compounds for clinical use, underscoring the importance of ongoing investigation in this field.</w:t>
      </w:r>
    </w:p>
    <w:p w14:paraId="0BB6FFFD" w14:textId="58C6A86D" w:rsidR="008B46AE" w:rsidRPr="008B46AE" w:rsidRDefault="008B46AE" w:rsidP="008B46AE">
      <w:pPr>
        <w:spacing w:line="259" w:lineRule="auto"/>
        <w:jc w:val="both"/>
        <w:rPr>
          <w:rFonts w:ascii="Garamond" w:hAnsi="Garamond"/>
          <w:b/>
          <w:bCs/>
          <w:iCs/>
          <w:sz w:val="20"/>
          <w:szCs w:val="20"/>
        </w:rPr>
      </w:pPr>
    </w:p>
    <w:p w14:paraId="0687354D" w14:textId="53783090"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Network Analysis</w:t>
      </w:r>
    </w:p>
    <w:p w14:paraId="0C147AC8" w14:textId="65E27FB4"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The Protein-Protein Interaction (PPI) network analysis identified critical nodes, highlighting enzymes such as falcipain-2 and PfATP6, which play central roles in the network. These nodes suggest significant involvement in the antimalarial activity of the phytoconstituents. Here are the results in table format:</w:t>
      </w:r>
    </w:p>
    <w:p w14:paraId="08B6F9CA" w14:textId="7363B476" w:rsidR="008B46AE" w:rsidRPr="008B46AE" w:rsidRDefault="009269B1" w:rsidP="008B46AE">
      <w:pPr>
        <w:spacing w:line="259" w:lineRule="auto"/>
        <w:jc w:val="both"/>
        <w:rPr>
          <w:rFonts w:ascii="Garamond" w:hAnsi="Garamond"/>
          <w:bCs/>
          <w:iCs/>
          <w:sz w:val="20"/>
          <w:szCs w:val="20"/>
        </w:rPr>
      </w:pPr>
      <w:r w:rsidRPr="008B46AE">
        <w:rPr>
          <w:rFonts w:ascii="Garamond" w:hAnsi="Garamond"/>
          <w:bCs/>
          <w:iCs/>
          <w:noProof/>
          <w:sz w:val="20"/>
          <w:szCs w:val="20"/>
        </w:rPr>
        <w:drawing>
          <wp:anchor distT="0" distB="0" distL="114300" distR="114300" simplePos="0" relativeHeight="251664384" behindDoc="0" locked="0" layoutInCell="1" allowOverlap="1" wp14:anchorId="241CCF0F" wp14:editId="3F2C7751">
            <wp:simplePos x="0" y="0"/>
            <wp:positionH relativeFrom="margin">
              <wp:posOffset>0</wp:posOffset>
            </wp:positionH>
            <wp:positionV relativeFrom="paragraph">
              <wp:posOffset>101269</wp:posOffset>
            </wp:positionV>
            <wp:extent cx="6162040" cy="4055110"/>
            <wp:effectExtent l="0" t="0" r="0" b="0"/>
            <wp:wrapThrough wrapText="bothSides">
              <wp:wrapPolygon edited="0">
                <wp:start x="7679" y="101"/>
                <wp:lineTo x="7012" y="406"/>
                <wp:lineTo x="7012" y="913"/>
                <wp:lineTo x="7679" y="1928"/>
                <wp:lineTo x="4407" y="3552"/>
                <wp:lineTo x="3673" y="3653"/>
                <wp:lineTo x="3739" y="4262"/>
                <wp:lineTo x="5342" y="5175"/>
                <wp:lineTo x="6611" y="6799"/>
                <wp:lineTo x="2070" y="6799"/>
                <wp:lineTo x="2070" y="7813"/>
                <wp:lineTo x="5810" y="8422"/>
                <wp:lineTo x="5609" y="8524"/>
                <wp:lineTo x="4608" y="9944"/>
                <wp:lineTo x="601" y="11669"/>
                <wp:lineTo x="267" y="11872"/>
                <wp:lineTo x="401" y="12380"/>
                <wp:lineTo x="4808" y="13293"/>
                <wp:lineTo x="2938" y="13902"/>
                <wp:lineTo x="3005" y="14713"/>
                <wp:lineTo x="10350" y="14916"/>
                <wp:lineTo x="9883" y="16540"/>
                <wp:lineTo x="9082" y="17859"/>
                <wp:lineTo x="10484" y="19787"/>
                <wp:lineTo x="9616" y="20497"/>
                <wp:lineTo x="9549" y="21106"/>
                <wp:lineTo x="9950" y="21411"/>
                <wp:lineTo x="10217" y="21411"/>
                <wp:lineTo x="13355" y="20396"/>
                <wp:lineTo x="13489" y="19787"/>
                <wp:lineTo x="11886" y="19787"/>
                <wp:lineTo x="14491" y="18163"/>
                <wp:lineTo x="16227" y="17758"/>
                <wp:lineTo x="16494" y="17453"/>
                <wp:lineTo x="15826" y="16540"/>
                <wp:lineTo x="16160" y="16540"/>
                <wp:lineTo x="19232" y="15119"/>
                <wp:lineTo x="19232" y="14916"/>
                <wp:lineTo x="21502" y="14308"/>
                <wp:lineTo x="21502" y="13394"/>
                <wp:lineTo x="16627" y="13293"/>
                <wp:lineTo x="19833" y="12075"/>
                <wp:lineTo x="19899" y="11669"/>
                <wp:lineTo x="17095" y="11568"/>
                <wp:lineTo x="15492" y="10147"/>
                <wp:lineTo x="16026" y="9843"/>
                <wp:lineTo x="15960" y="9538"/>
                <wp:lineTo x="14624" y="8422"/>
                <wp:lineTo x="15626" y="8422"/>
                <wp:lineTo x="19031" y="7205"/>
                <wp:lineTo x="19031" y="6799"/>
                <wp:lineTo x="20434" y="6799"/>
                <wp:lineTo x="20968" y="6291"/>
                <wp:lineTo x="20968" y="4566"/>
                <wp:lineTo x="18965" y="4160"/>
                <wp:lineTo x="13823" y="3552"/>
                <wp:lineTo x="15893" y="2638"/>
                <wp:lineTo x="15626" y="2334"/>
                <wp:lineTo x="8214" y="1928"/>
                <wp:lineTo x="9749" y="507"/>
                <wp:lineTo x="9749" y="101"/>
                <wp:lineTo x="7679" y="101"/>
              </wp:wrapPolygon>
            </wp:wrapThrough>
            <wp:docPr id="980361317" name="Picture 3" descr="C:\Users\Rediff\Downloads\string_normal_imag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diff\Downloads\string_normal_image (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62040" cy="40551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E997786" w14:textId="2B4E3C15" w:rsidR="008B46AE" w:rsidRPr="008B46AE" w:rsidRDefault="008B46AE" w:rsidP="008B46AE">
      <w:pPr>
        <w:spacing w:line="259" w:lineRule="auto"/>
        <w:jc w:val="both"/>
        <w:rPr>
          <w:rFonts w:ascii="Garamond" w:hAnsi="Garamond"/>
          <w:bCs/>
          <w:iCs/>
          <w:sz w:val="20"/>
          <w:szCs w:val="20"/>
        </w:rPr>
      </w:pPr>
    </w:p>
    <w:p w14:paraId="108B31EA" w14:textId="0F24C8C1" w:rsidR="008B46AE" w:rsidRDefault="008B46AE" w:rsidP="008B46AE">
      <w:pPr>
        <w:spacing w:line="259" w:lineRule="auto"/>
        <w:jc w:val="both"/>
        <w:rPr>
          <w:rFonts w:ascii="Garamond" w:hAnsi="Garamond"/>
          <w:bCs/>
          <w:iCs/>
          <w:sz w:val="20"/>
          <w:szCs w:val="20"/>
        </w:rPr>
      </w:pPr>
    </w:p>
    <w:p w14:paraId="3151A6E6" w14:textId="0415E9E2" w:rsidR="009269B1" w:rsidRDefault="009269B1" w:rsidP="008B46AE">
      <w:pPr>
        <w:spacing w:line="259" w:lineRule="auto"/>
        <w:jc w:val="both"/>
        <w:rPr>
          <w:rFonts w:ascii="Garamond" w:hAnsi="Garamond"/>
          <w:bCs/>
          <w:iCs/>
          <w:sz w:val="20"/>
          <w:szCs w:val="20"/>
        </w:rPr>
      </w:pPr>
    </w:p>
    <w:p w14:paraId="58F67A27" w14:textId="7F92F266" w:rsidR="009269B1" w:rsidRDefault="009269B1" w:rsidP="008B46AE">
      <w:pPr>
        <w:spacing w:line="259" w:lineRule="auto"/>
        <w:jc w:val="both"/>
        <w:rPr>
          <w:rFonts w:ascii="Garamond" w:hAnsi="Garamond"/>
          <w:bCs/>
          <w:iCs/>
          <w:sz w:val="20"/>
          <w:szCs w:val="20"/>
        </w:rPr>
      </w:pPr>
    </w:p>
    <w:p w14:paraId="0E31FA08" w14:textId="0FB8EE52" w:rsidR="009269B1" w:rsidRDefault="009269B1" w:rsidP="008B46AE">
      <w:pPr>
        <w:spacing w:line="259" w:lineRule="auto"/>
        <w:jc w:val="both"/>
        <w:rPr>
          <w:rFonts w:ascii="Garamond" w:hAnsi="Garamond"/>
          <w:bCs/>
          <w:iCs/>
          <w:sz w:val="20"/>
          <w:szCs w:val="20"/>
        </w:rPr>
      </w:pPr>
    </w:p>
    <w:p w14:paraId="11FB7AAF" w14:textId="3E18588A" w:rsidR="009269B1" w:rsidRDefault="009269B1" w:rsidP="008B46AE">
      <w:pPr>
        <w:spacing w:line="259" w:lineRule="auto"/>
        <w:jc w:val="both"/>
        <w:rPr>
          <w:rFonts w:ascii="Garamond" w:hAnsi="Garamond"/>
          <w:bCs/>
          <w:iCs/>
          <w:sz w:val="20"/>
          <w:szCs w:val="20"/>
        </w:rPr>
      </w:pPr>
    </w:p>
    <w:p w14:paraId="0BD1B3D0" w14:textId="77777777" w:rsidR="009269B1" w:rsidRDefault="009269B1" w:rsidP="008B46AE">
      <w:pPr>
        <w:spacing w:line="259" w:lineRule="auto"/>
        <w:jc w:val="both"/>
        <w:rPr>
          <w:rFonts w:ascii="Garamond" w:hAnsi="Garamond"/>
          <w:bCs/>
          <w:iCs/>
          <w:sz w:val="20"/>
          <w:szCs w:val="20"/>
        </w:rPr>
      </w:pPr>
    </w:p>
    <w:p w14:paraId="24A54B22" w14:textId="048C6E06" w:rsidR="009269B1" w:rsidRDefault="009269B1" w:rsidP="008B46AE">
      <w:pPr>
        <w:spacing w:line="259" w:lineRule="auto"/>
        <w:jc w:val="both"/>
        <w:rPr>
          <w:rFonts w:ascii="Garamond" w:hAnsi="Garamond"/>
          <w:bCs/>
          <w:iCs/>
          <w:sz w:val="20"/>
          <w:szCs w:val="20"/>
        </w:rPr>
      </w:pPr>
    </w:p>
    <w:p w14:paraId="593F696D" w14:textId="60EC3521" w:rsidR="009269B1" w:rsidRDefault="009269B1" w:rsidP="008B46AE">
      <w:pPr>
        <w:spacing w:line="259" w:lineRule="auto"/>
        <w:jc w:val="both"/>
        <w:rPr>
          <w:rFonts w:ascii="Garamond" w:hAnsi="Garamond"/>
          <w:bCs/>
          <w:iCs/>
          <w:sz w:val="20"/>
          <w:szCs w:val="20"/>
        </w:rPr>
      </w:pPr>
    </w:p>
    <w:p w14:paraId="05CC09AC" w14:textId="05F988B4" w:rsidR="009269B1" w:rsidRDefault="009269B1" w:rsidP="008B46AE">
      <w:pPr>
        <w:spacing w:line="259" w:lineRule="auto"/>
        <w:jc w:val="both"/>
        <w:rPr>
          <w:rFonts w:ascii="Garamond" w:hAnsi="Garamond"/>
          <w:bCs/>
          <w:iCs/>
          <w:sz w:val="20"/>
          <w:szCs w:val="20"/>
        </w:rPr>
      </w:pPr>
    </w:p>
    <w:p w14:paraId="13DA41FA" w14:textId="15D8A772" w:rsidR="009269B1" w:rsidRDefault="009269B1" w:rsidP="008B46AE">
      <w:pPr>
        <w:spacing w:line="259" w:lineRule="auto"/>
        <w:jc w:val="both"/>
        <w:rPr>
          <w:rFonts w:ascii="Garamond" w:hAnsi="Garamond"/>
          <w:bCs/>
          <w:iCs/>
          <w:sz w:val="20"/>
          <w:szCs w:val="20"/>
        </w:rPr>
      </w:pPr>
    </w:p>
    <w:p w14:paraId="246091DF" w14:textId="1286D03B" w:rsidR="009269B1" w:rsidRDefault="009269B1" w:rsidP="008B46AE">
      <w:pPr>
        <w:spacing w:line="259" w:lineRule="auto"/>
        <w:jc w:val="both"/>
        <w:rPr>
          <w:rFonts w:ascii="Garamond" w:hAnsi="Garamond"/>
          <w:bCs/>
          <w:iCs/>
          <w:sz w:val="20"/>
          <w:szCs w:val="20"/>
        </w:rPr>
      </w:pPr>
    </w:p>
    <w:p w14:paraId="60A2E482" w14:textId="18735592" w:rsidR="009269B1" w:rsidRDefault="009269B1" w:rsidP="008B46AE">
      <w:pPr>
        <w:spacing w:line="259" w:lineRule="auto"/>
        <w:jc w:val="both"/>
        <w:rPr>
          <w:rFonts w:ascii="Garamond" w:hAnsi="Garamond"/>
          <w:bCs/>
          <w:iCs/>
          <w:sz w:val="20"/>
          <w:szCs w:val="20"/>
        </w:rPr>
      </w:pPr>
    </w:p>
    <w:p w14:paraId="0151BB18" w14:textId="55DC5CC5" w:rsidR="009269B1" w:rsidRDefault="009269B1" w:rsidP="008B46AE">
      <w:pPr>
        <w:spacing w:line="259" w:lineRule="auto"/>
        <w:jc w:val="both"/>
        <w:rPr>
          <w:rFonts w:ascii="Garamond" w:hAnsi="Garamond"/>
          <w:bCs/>
          <w:iCs/>
          <w:sz w:val="20"/>
          <w:szCs w:val="20"/>
        </w:rPr>
      </w:pPr>
    </w:p>
    <w:p w14:paraId="3DE21D1A" w14:textId="3415B9F9" w:rsidR="009269B1" w:rsidRDefault="009269B1" w:rsidP="008B46AE">
      <w:pPr>
        <w:spacing w:line="259" w:lineRule="auto"/>
        <w:jc w:val="both"/>
        <w:rPr>
          <w:rFonts w:ascii="Garamond" w:hAnsi="Garamond"/>
          <w:bCs/>
          <w:iCs/>
          <w:sz w:val="20"/>
          <w:szCs w:val="20"/>
        </w:rPr>
      </w:pPr>
    </w:p>
    <w:p w14:paraId="1228F058" w14:textId="7D6BF517" w:rsidR="009269B1" w:rsidRDefault="009269B1" w:rsidP="008B46AE">
      <w:pPr>
        <w:spacing w:line="259" w:lineRule="auto"/>
        <w:jc w:val="both"/>
        <w:rPr>
          <w:rFonts w:ascii="Garamond" w:hAnsi="Garamond"/>
          <w:bCs/>
          <w:iCs/>
          <w:sz w:val="20"/>
          <w:szCs w:val="20"/>
        </w:rPr>
      </w:pPr>
    </w:p>
    <w:p w14:paraId="5A714135" w14:textId="7F5DA617" w:rsidR="009269B1" w:rsidRDefault="009269B1" w:rsidP="008B46AE">
      <w:pPr>
        <w:spacing w:line="259" w:lineRule="auto"/>
        <w:jc w:val="both"/>
        <w:rPr>
          <w:rFonts w:ascii="Garamond" w:hAnsi="Garamond"/>
          <w:bCs/>
          <w:iCs/>
          <w:sz w:val="20"/>
          <w:szCs w:val="20"/>
        </w:rPr>
      </w:pPr>
    </w:p>
    <w:p w14:paraId="2AC26330" w14:textId="45ADEE83" w:rsidR="009269B1" w:rsidRDefault="009269B1" w:rsidP="008B46AE">
      <w:pPr>
        <w:spacing w:line="259" w:lineRule="auto"/>
        <w:jc w:val="both"/>
        <w:rPr>
          <w:rFonts w:ascii="Garamond" w:hAnsi="Garamond"/>
          <w:bCs/>
          <w:iCs/>
          <w:sz w:val="20"/>
          <w:szCs w:val="20"/>
        </w:rPr>
      </w:pPr>
    </w:p>
    <w:p w14:paraId="5C735E14" w14:textId="589842B6" w:rsidR="009269B1" w:rsidRDefault="009269B1" w:rsidP="008B46AE">
      <w:pPr>
        <w:spacing w:line="259" w:lineRule="auto"/>
        <w:jc w:val="both"/>
        <w:rPr>
          <w:rFonts w:ascii="Garamond" w:hAnsi="Garamond"/>
          <w:bCs/>
          <w:iCs/>
          <w:sz w:val="20"/>
          <w:szCs w:val="20"/>
        </w:rPr>
      </w:pPr>
    </w:p>
    <w:p w14:paraId="2FC137F2" w14:textId="0E5B1496" w:rsidR="009269B1" w:rsidRDefault="009269B1" w:rsidP="008B46AE">
      <w:pPr>
        <w:spacing w:line="259" w:lineRule="auto"/>
        <w:jc w:val="both"/>
        <w:rPr>
          <w:rFonts w:ascii="Garamond" w:hAnsi="Garamond"/>
          <w:bCs/>
          <w:iCs/>
          <w:sz w:val="20"/>
          <w:szCs w:val="20"/>
        </w:rPr>
      </w:pPr>
    </w:p>
    <w:p w14:paraId="7308FC82" w14:textId="3B0412BB" w:rsidR="009269B1" w:rsidRDefault="009269B1" w:rsidP="008B46AE">
      <w:pPr>
        <w:spacing w:line="259" w:lineRule="auto"/>
        <w:jc w:val="both"/>
        <w:rPr>
          <w:rFonts w:ascii="Garamond" w:hAnsi="Garamond"/>
          <w:bCs/>
          <w:iCs/>
          <w:sz w:val="20"/>
          <w:szCs w:val="20"/>
        </w:rPr>
      </w:pPr>
    </w:p>
    <w:p w14:paraId="3DD334E7" w14:textId="5B44A449" w:rsidR="009269B1" w:rsidRDefault="009269B1" w:rsidP="008B46AE">
      <w:pPr>
        <w:spacing w:line="259" w:lineRule="auto"/>
        <w:jc w:val="both"/>
        <w:rPr>
          <w:rFonts w:ascii="Garamond" w:hAnsi="Garamond"/>
          <w:bCs/>
          <w:iCs/>
          <w:sz w:val="20"/>
          <w:szCs w:val="20"/>
        </w:rPr>
      </w:pPr>
    </w:p>
    <w:p w14:paraId="48EB6E70" w14:textId="14FA6FAC" w:rsidR="009269B1" w:rsidRDefault="009269B1" w:rsidP="008B46AE">
      <w:pPr>
        <w:spacing w:line="259" w:lineRule="auto"/>
        <w:jc w:val="both"/>
        <w:rPr>
          <w:rFonts w:ascii="Garamond" w:hAnsi="Garamond"/>
          <w:bCs/>
          <w:iCs/>
          <w:sz w:val="20"/>
          <w:szCs w:val="20"/>
        </w:rPr>
      </w:pPr>
    </w:p>
    <w:p w14:paraId="7C037B9A" w14:textId="77777777" w:rsidR="009269B1" w:rsidRDefault="009269B1" w:rsidP="008B46AE">
      <w:pPr>
        <w:spacing w:line="259" w:lineRule="auto"/>
        <w:jc w:val="both"/>
        <w:rPr>
          <w:rFonts w:ascii="Garamond" w:hAnsi="Garamond"/>
          <w:bCs/>
          <w:iCs/>
          <w:sz w:val="20"/>
          <w:szCs w:val="20"/>
        </w:rPr>
      </w:pPr>
    </w:p>
    <w:p w14:paraId="07B33A5A" w14:textId="369B5FA9" w:rsidR="009269B1" w:rsidRDefault="009269B1" w:rsidP="008B46AE">
      <w:pPr>
        <w:spacing w:line="259" w:lineRule="auto"/>
        <w:jc w:val="both"/>
        <w:rPr>
          <w:rFonts w:ascii="Garamond" w:hAnsi="Garamond"/>
          <w:bCs/>
          <w:iCs/>
          <w:sz w:val="20"/>
          <w:szCs w:val="20"/>
        </w:rPr>
      </w:pPr>
    </w:p>
    <w:p w14:paraId="79920B8B" w14:textId="77777777" w:rsidR="009269B1" w:rsidRDefault="009269B1" w:rsidP="008B46AE">
      <w:pPr>
        <w:spacing w:line="259" w:lineRule="auto"/>
        <w:jc w:val="both"/>
        <w:rPr>
          <w:rFonts w:ascii="Garamond" w:hAnsi="Garamond"/>
          <w:bCs/>
          <w:iCs/>
          <w:sz w:val="20"/>
          <w:szCs w:val="20"/>
        </w:rPr>
      </w:pPr>
    </w:p>
    <w:p w14:paraId="47069694" w14:textId="5AA6F544"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 xml:space="preserve">Figure 1: </w:t>
      </w:r>
      <w:r w:rsidRPr="008B46AE">
        <w:rPr>
          <w:rFonts w:ascii="Garamond" w:hAnsi="Garamond"/>
          <w:iCs/>
          <w:sz w:val="20"/>
          <w:szCs w:val="20"/>
        </w:rPr>
        <w:t>Protein-Protein Interaction (PPI) network</w:t>
      </w:r>
    </w:p>
    <w:p w14:paraId="62CB8AEC" w14:textId="08EE6A51"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noProof/>
          <w:sz w:val="20"/>
          <w:szCs w:val="20"/>
        </w:rPr>
        <mc:AlternateContent>
          <mc:Choice Requires="wps">
            <w:drawing>
              <wp:inline distT="0" distB="0" distL="0" distR="0" wp14:anchorId="46FF6EA2" wp14:editId="504406CE">
                <wp:extent cx="304800" cy="304800"/>
                <wp:effectExtent l="0" t="0" r="0" b="0"/>
                <wp:docPr id="17695893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8D2363"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rsidRPr="008B46AE">
        <w:rPr>
          <w:rFonts w:ascii="Garamond" w:hAnsi="Garamond"/>
          <w:b/>
          <w:bCs/>
          <w:iCs/>
          <w:sz w:val="20"/>
          <w:szCs w:val="20"/>
        </w:rPr>
        <w:t>Table 7: Results of Protein-Protein Interaction (PPI) network analysis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3"/>
        <w:gridCol w:w="1776"/>
        <w:gridCol w:w="1194"/>
        <w:gridCol w:w="1490"/>
        <w:gridCol w:w="1227"/>
        <w:gridCol w:w="2550"/>
      </w:tblGrid>
      <w:tr w:rsidR="008B46AE" w:rsidRPr="008B46AE" w14:paraId="38023DDD" w14:textId="77777777" w:rsidTr="00117B5F">
        <w:tc>
          <w:tcPr>
            <w:tcW w:w="0" w:type="auto"/>
            <w:tcBorders>
              <w:top w:val="single" w:sz="4" w:space="0" w:color="auto"/>
              <w:bottom w:val="single" w:sz="4" w:space="0" w:color="auto"/>
            </w:tcBorders>
            <w:hideMark/>
          </w:tcPr>
          <w:p w14:paraId="359D73CD" w14:textId="77777777" w:rsidR="008B46AE" w:rsidRPr="008B46AE" w:rsidRDefault="008B46AE" w:rsidP="00117B5F">
            <w:pPr>
              <w:spacing w:line="259" w:lineRule="auto"/>
              <w:rPr>
                <w:rFonts w:ascii="Garamond" w:hAnsi="Garamond"/>
                <w:b/>
                <w:bCs/>
                <w:iCs/>
                <w:sz w:val="20"/>
                <w:szCs w:val="20"/>
              </w:rPr>
            </w:pPr>
            <w:r w:rsidRPr="008B46AE">
              <w:rPr>
                <w:rFonts w:ascii="Garamond" w:hAnsi="Garamond"/>
                <w:b/>
                <w:bCs/>
                <w:iCs/>
                <w:sz w:val="20"/>
                <w:szCs w:val="20"/>
              </w:rPr>
              <w:lastRenderedPageBreak/>
              <w:t>Target</w:t>
            </w:r>
          </w:p>
        </w:tc>
        <w:tc>
          <w:tcPr>
            <w:tcW w:w="0" w:type="auto"/>
            <w:tcBorders>
              <w:top w:val="single" w:sz="4" w:space="0" w:color="auto"/>
              <w:bottom w:val="single" w:sz="4" w:space="0" w:color="auto"/>
            </w:tcBorders>
            <w:hideMark/>
          </w:tcPr>
          <w:p w14:paraId="747040CF" w14:textId="77777777" w:rsidR="008B46AE" w:rsidRPr="008B46AE" w:rsidRDefault="008B46AE" w:rsidP="00117B5F">
            <w:pPr>
              <w:spacing w:line="259" w:lineRule="auto"/>
              <w:rPr>
                <w:rFonts w:ascii="Garamond" w:hAnsi="Garamond"/>
                <w:b/>
                <w:bCs/>
                <w:iCs/>
                <w:sz w:val="20"/>
                <w:szCs w:val="20"/>
              </w:rPr>
            </w:pPr>
            <w:r w:rsidRPr="008B46AE">
              <w:rPr>
                <w:rFonts w:ascii="Garamond" w:hAnsi="Garamond"/>
                <w:b/>
                <w:bCs/>
                <w:iCs/>
                <w:sz w:val="20"/>
                <w:szCs w:val="20"/>
              </w:rPr>
              <w:t>Role in PPI Network</w:t>
            </w:r>
          </w:p>
        </w:tc>
        <w:tc>
          <w:tcPr>
            <w:tcW w:w="0" w:type="auto"/>
            <w:tcBorders>
              <w:top w:val="single" w:sz="4" w:space="0" w:color="auto"/>
              <w:bottom w:val="single" w:sz="4" w:space="0" w:color="auto"/>
            </w:tcBorders>
            <w:hideMark/>
          </w:tcPr>
          <w:p w14:paraId="11732E07" w14:textId="77777777" w:rsidR="008B46AE" w:rsidRPr="008B46AE" w:rsidRDefault="008B46AE" w:rsidP="00117B5F">
            <w:pPr>
              <w:spacing w:line="259" w:lineRule="auto"/>
              <w:rPr>
                <w:rFonts w:ascii="Garamond" w:hAnsi="Garamond"/>
                <w:b/>
                <w:bCs/>
                <w:iCs/>
                <w:sz w:val="20"/>
                <w:szCs w:val="20"/>
              </w:rPr>
            </w:pPr>
            <w:r w:rsidRPr="008B46AE">
              <w:rPr>
                <w:rFonts w:ascii="Garamond" w:hAnsi="Garamond"/>
                <w:b/>
                <w:bCs/>
                <w:iCs/>
                <w:sz w:val="20"/>
                <w:szCs w:val="20"/>
              </w:rPr>
              <w:t>Degree Centrality (DC)</w:t>
            </w:r>
          </w:p>
        </w:tc>
        <w:tc>
          <w:tcPr>
            <w:tcW w:w="0" w:type="auto"/>
            <w:tcBorders>
              <w:top w:val="single" w:sz="4" w:space="0" w:color="auto"/>
              <w:bottom w:val="single" w:sz="4" w:space="0" w:color="auto"/>
            </w:tcBorders>
            <w:hideMark/>
          </w:tcPr>
          <w:p w14:paraId="0AB97A85" w14:textId="77777777" w:rsidR="008B46AE" w:rsidRPr="008B46AE" w:rsidRDefault="008B46AE" w:rsidP="00117B5F">
            <w:pPr>
              <w:spacing w:line="259" w:lineRule="auto"/>
              <w:rPr>
                <w:rFonts w:ascii="Garamond" w:hAnsi="Garamond"/>
                <w:b/>
                <w:bCs/>
                <w:iCs/>
                <w:sz w:val="20"/>
                <w:szCs w:val="20"/>
              </w:rPr>
            </w:pPr>
            <w:r w:rsidRPr="008B46AE">
              <w:rPr>
                <w:rFonts w:ascii="Garamond" w:hAnsi="Garamond"/>
                <w:b/>
                <w:bCs/>
                <w:iCs/>
                <w:sz w:val="20"/>
                <w:szCs w:val="20"/>
              </w:rPr>
              <w:t>Betweenness Centrality (BC)</w:t>
            </w:r>
          </w:p>
        </w:tc>
        <w:tc>
          <w:tcPr>
            <w:tcW w:w="0" w:type="auto"/>
            <w:tcBorders>
              <w:top w:val="single" w:sz="4" w:space="0" w:color="auto"/>
              <w:bottom w:val="single" w:sz="4" w:space="0" w:color="auto"/>
            </w:tcBorders>
            <w:hideMark/>
          </w:tcPr>
          <w:p w14:paraId="089DE7BB" w14:textId="77777777" w:rsidR="008B46AE" w:rsidRPr="008B46AE" w:rsidRDefault="008B46AE" w:rsidP="00117B5F">
            <w:pPr>
              <w:spacing w:line="259" w:lineRule="auto"/>
              <w:rPr>
                <w:rFonts w:ascii="Garamond" w:hAnsi="Garamond"/>
                <w:b/>
                <w:bCs/>
                <w:iCs/>
                <w:sz w:val="20"/>
                <w:szCs w:val="20"/>
              </w:rPr>
            </w:pPr>
            <w:r w:rsidRPr="008B46AE">
              <w:rPr>
                <w:rFonts w:ascii="Garamond" w:hAnsi="Garamond"/>
                <w:b/>
                <w:bCs/>
                <w:iCs/>
                <w:sz w:val="20"/>
                <w:szCs w:val="20"/>
              </w:rPr>
              <w:t>Closeness Centrality (CC)</w:t>
            </w:r>
          </w:p>
        </w:tc>
        <w:tc>
          <w:tcPr>
            <w:tcW w:w="0" w:type="auto"/>
            <w:tcBorders>
              <w:top w:val="single" w:sz="4" w:space="0" w:color="auto"/>
              <w:bottom w:val="single" w:sz="4" w:space="0" w:color="auto"/>
            </w:tcBorders>
            <w:hideMark/>
          </w:tcPr>
          <w:p w14:paraId="2CCFB93E" w14:textId="77777777" w:rsidR="008B46AE" w:rsidRPr="008B46AE" w:rsidRDefault="008B46AE" w:rsidP="00117B5F">
            <w:pPr>
              <w:spacing w:line="259" w:lineRule="auto"/>
              <w:rPr>
                <w:rFonts w:ascii="Garamond" w:hAnsi="Garamond"/>
                <w:b/>
                <w:bCs/>
                <w:iCs/>
                <w:sz w:val="20"/>
                <w:szCs w:val="20"/>
              </w:rPr>
            </w:pPr>
            <w:r w:rsidRPr="008B46AE">
              <w:rPr>
                <w:rFonts w:ascii="Garamond" w:hAnsi="Garamond"/>
                <w:b/>
                <w:bCs/>
                <w:iCs/>
                <w:sz w:val="20"/>
                <w:szCs w:val="20"/>
              </w:rPr>
              <w:t>Relevance to Malaria</w:t>
            </w:r>
          </w:p>
        </w:tc>
      </w:tr>
      <w:tr w:rsidR="008B46AE" w:rsidRPr="008B46AE" w14:paraId="27089E76" w14:textId="77777777" w:rsidTr="00117B5F">
        <w:tc>
          <w:tcPr>
            <w:tcW w:w="0" w:type="auto"/>
            <w:tcBorders>
              <w:top w:val="single" w:sz="4" w:space="0" w:color="auto"/>
            </w:tcBorders>
            <w:vAlign w:val="center"/>
            <w:hideMark/>
          </w:tcPr>
          <w:p w14:paraId="490C25E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Falcipain-2</w:t>
            </w:r>
          </w:p>
        </w:tc>
        <w:tc>
          <w:tcPr>
            <w:tcW w:w="0" w:type="auto"/>
            <w:tcBorders>
              <w:top w:val="single" w:sz="4" w:space="0" w:color="auto"/>
            </w:tcBorders>
            <w:vAlign w:val="center"/>
            <w:hideMark/>
          </w:tcPr>
          <w:p w14:paraId="7217920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Central node with high connectivity</w:t>
            </w:r>
          </w:p>
        </w:tc>
        <w:tc>
          <w:tcPr>
            <w:tcW w:w="0" w:type="auto"/>
            <w:tcBorders>
              <w:top w:val="single" w:sz="4" w:space="0" w:color="auto"/>
            </w:tcBorders>
            <w:vAlign w:val="center"/>
            <w:hideMark/>
          </w:tcPr>
          <w:p w14:paraId="0D49A80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20</w:t>
            </w:r>
          </w:p>
        </w:tc>
        <w:tc>
          <w:tcPr>
            <w:tcW w:w="0" w:type="auto"/>
            <w:tcBorders>
              <w:top w:val="single" w:sz="4" w:space="0" w:color="auto"/>
            </w:tcBorders>
            <w:vAlign w:val="center"/>
            <w:hideMark/>
          </w:tcPr>
          <w:p w14:paraId="5DBEEE4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0.18</w:t>
            </w:r>
          </w:p>
        </w:tc>
        <w:tc>
          <w:tcPr>
            <w:tcW w:w="0" w:type="auto"/>
            <w:tcBorders>
              <w:top w:val="single" w:sz="4" w:space="0" w:color="auto"/>
            </w:tcBorders>
            <w:vAlign w:val="center"/>
            <w:hideMark/>
          </w:tcPr>
          <w:p w14:paraId="00C7F15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0.55</w:t>
            </w:r>
          </w:p>
        </w:tc>
        <w:tc>
          <w:tcPr>
            <w:tcW w:w="0" w:type="auto"/>
            <w:tcBorders>
              <w:top w:val="single" w:sz="4" w:space="0" w:color="auto"/>
            </w:tcBorders>
            <w:vAlign w:val="center"/>
            <w:hideMark/>
          </w:tcPr>
          <w:p w14:paraId="1181438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Cysteine protease essential for hemoglobin degradation, crucial for Plasmodium survival; high centrality indicates a key role in network interactions.</w:t>
            </w:r>
          </w:p>
        </w:tc>
      </w:tr>
      <w:tr w:rsidR="008B46AE" w:rsidRPr="008B46AE" w14:paraId="464A9026" w14:textId="77777777" w:rsidTr="00117B5F">
        <w:tc>
          <w:tcPr>
            <w:tcW w:w="0" w:type="auto"/>
            <w:vAlign w:val="center"/>
            <w:hideMark/>
          </w:tcPr>
          <w:p w14:paraId="10B3E2FC"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w:t>
            </w:r>
          </w:p>
        </w:tc>
        <w:tc>
          <w:tcPr>
            <w:tcW w:w="0" w:type="auto"/>
            <w:vAlign w:val="center"/>
            <w:hideMark/>
          </w:tcPr>
          <w:p w14:paraId="60178B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Important node in digestive pathway</w:t>
            </w:r>
          </w:p>
        </w:tc>
        <w:tc>
          <w:tcPr>
            <w:tcW w:w="0" w:type="auto"/>
            <w:vAlign w:val="center"/>
            <w:hideMark/>
          </w:tcPr>
          <w:p w14:paraId="0255DE1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15</w:t>
            </w:r>
          </w:p>
        </w:tc>
        <w:tc>
          <w:tcPr>
            <w:tcW w:w="0" w:type="auto"/>
            <w:vAlign w:val="center"/>
            <w:hideMark/>
          </w:tcPr>
          <w:p w14:paraId="3336457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0.13</w:t>
            </w:r>
          </w:p>
        </w:tc>
        <w:tc>
          <w:tcPr>
            <w:tcW w:w="0" w:type="auto"/>
            <w:vAlign w:val="center"/>
            <w:hideMark/>
          </w:tcPr>
          <w:p w14:paraId="4412CA2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0.48</w:t>
            </w:r>
          </w:p>
        </w:tc>
        <w:tc>
          <w:tcPr>
            <w:tcW w:w="0" w:type="auto"/>
            <w:vAlign w:val="center"/>
            <w:hideMark/>
          </w:tcPr>
          <w:p w14:paraId="1FE243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Aspartic protease involved in initial hemoglobin digestion; important for parasite nutrition, indicated by network centrality.</w:t>
            </w:r>
          </w:p>
        </w:tc>
      </w:tr>
      <w:tr w:rsidR="008B46AE" w:rsidRPr="008B46AE" w14:paraId="7597F119" w14:textId="77777777" w:rsidTr="00117B5F">
        <w:tc>
          <w:tcPr>
            <w:tcW w:w="0" w:type="auto"/>
            <w:vAlign w:val="center"/>
            <w:hideMark/>
          </w:tcPr>
          <w:p w14:paraId="3588CEE8"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w:t>
            </w:r>
          </w:p>
        </w:tc>
        <w:tc>
          <w:tcPr>
            <w:tcW w:w="0" w:type="auto"/>
            <w:vAlign w:val="center"/>
            <w:hideMark/>
          </w:tcPr>
          <w:p w14:paraId="5C76709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Key role in initial hemoglobin degradation</w:t>
            </w:r>
          </w:p>
        </w:tc>
        <w:tc>
          <w:tcPr>
            <w:tcW w:w="0" w:type="auto"/>
            <w:vAlign w:val="center"/>
            <w:hideMark/>
          </w:tcPr>
          <w:p w14:paraId="46CA810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14</w:t>
            </w:r>
          </w:p>
        </w:tc>
        <w:tc>
          <w:tcPr>
            <w:tcW w:w="0" w:type="auto"/>
            <w:vAlign w:val="center"/>
            <w:hideMark/>
          </w:tcPr>
          <w:p w14:paraId="61C42B5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0.12</w:t>
            </w:r>
          </w:p>
        </w:tc>
        <w:tc>
          <w:tcPr>
            <w:tcW w:w="0" w:type="auto"/>
            <w:vAlign w:val="center"/>
            <w:hideMark/>
          </w:tcPr>
          <w:p w14:paraId="3DBFFEA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0.46</w:t>
            </w:r>
          </w:p>
        </w:tc>
        <w:tc>
          <w:tcPr>
            <w:tcW w:w="0" w:type="auto"/>
            <w:vAlign w:val="center"/>
            <w:hideMark/>
          </w:tcPr>
          <w:p w14:paraId="099A0AA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Aspartic protease crucial in early stages of hemoglobin breakdown, significant for parasite nutrient acquisition.</w:t>
            </w:r>
          </w:p>
        </w:tc>
      </w:tr>
      <w:tr w:rsidR="008B46AE" w:rsidRPr="008B46AE" w14:paraId="2AD18863" w14:textId="77777777" w:rsidTr="00117B5F">
        <w:tc>
          <w:tcPr>
            <w:tcW w:w="0" w:type="auto"/>
            <w:vAlign w:val="center"/>
            <w:hideMark/>
          </w:tcPr>
          <w:p w14:paraId="61094803"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III</w:t>
            </w:r>
          </w:p>
        </w:tc>
        <w:tc>
          <w:tcPr>
            <w:tcW w:w="0" w:type="auto"/>
            <w:vAlign w:val="center"/>
            <w:hideMark/>
          </w:tcPr>
          <w:p w14:paraId="3C1C85B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Complementary role in hemoglobin degradation</w:t>
            </w:r>
          </w:p>
        </w:tc>
        <w:tc>
          <w:tcPr>
            <w:tcW w:w="0" w:type="auto"/>
            <w:vAlign w:val="center"/>
            <w:hideMark/>
          </w:tcPr>
          <w:p w14:paraId="2D42832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13</w:t>
            </w:r>
          </w:p>
        </w:tc>
        <w:tc>
          <w:tcPr>
            <w:tcW w:w="0" w:type="auto"/>
            <w:vAlign w:val="center"/>
            <w:hideMark/>
          </w:tcPr>
          <w:p w14:paraId="6BAEB93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0.11</w:t>
            </w:r>
          </w:p>
        </w:tc>
        <w:tc>
          <w:tcPr>
            <w:tcW w:w="0" w:type="auto"/>
            <w:vAlign w:val="center"/>
            <w:hideMark/>
          </w:tcPr>
          <w:p w14:paraId="2905A1A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0.45</w:t>
            </w:r>
          </w:p>
        </w:tc>
        <w:tc>
          <w:tcPr>
            <w:tcW w:w="0" w:type="auto"/>
            <w:vAlign w:val="center"/>
            <w:hideMark/>
          </w:tcPr>
          <w:p w14:paraId="5817F9A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Aspartic protease functioning alongside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 and II, essential in hemoglobin digestion within Plasmodium.</w:t>
            </w:r>
          </w:p>
        </w:tc>
      </w:tr>
      <w:tr w:rsidR="008B46AE" w:rsidRPr="008B46AE" w14:paraId="2012F5DC" w14:textId="77777777" w:rsidTr="00117B5F">
        <w:tc>
          <w:tcPr>
            <w:tcW w:w="0" w:type="auto"/>
            <w:vAlign w:val="center"/>
            <w:hideMark/>
          </w:tcPr>
          <w:p w14:paraId="4369F616"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IV</w:t>
            </w:r>
          </w:p>
        </w:tc>
        <w:tc>
          <w:tcPr>
            <w:tcW w:w="0" w:type="auto"/>
            <w:vAlign w:val="center"/>
            <w:hideMark/>
          </w:tcPr>
          <w:p w14:paraId="531285B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Digestive process facilitator</w:t>
            </w:r>
          </w:p>
        </w:tc>
        <w:tc>
          <w:tcPr>
            <w:tcW w:w="0" w:type="auto"/>
            <w:vAlign w:val="center"/>
            <w:hideMark/>
          </w:tcPr>
          <w:p w14:paraId="08A030D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12</w:t>
            </w:r>
          </w:p>
        </w:tc>
        <w:tc>
          <w:tcPr>
            <w:tcW w:w="0" w:type="auto"/>
            <w:vAlign w:val="center"/>
            <w:hideMark/>
          </w:tcPr>
          <w:p w14:paraId="047DA76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0.10</w:t>
            </w:r>
          </w:p>
        </w:tc>
        <w:tc>
          <w:tcPr>
            <w:tcW w:w="0" w:type="auto"/>
            <w:vAlign w:val="center"/>
            <w:hideMark/>
          </w:tcPr>
          <w:p w14:paraId="638B0BD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0.44</w:t>
            </w:r>
          </w:p>
        </w:tc>
        <w:tc>
          <w:tcPr>
            <w:tcW w:w="0" w:type="auto"/>
            <w:vAlign w:val="center"/>
            <w:hideMark/>
          </w:tcPr>
          <w:p w14:paraId="6851AAD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Aspartic protease participating in hemoglobin degradation, crucial for nutrient acquisition and parasite survival.</w:t>
            </w:r>
          </w:p>
        </w:tc>
      </w:tr>
      <w:tr w:rsidR="008B46AE" w:rsidRPr="008B46AE" w14:paraId="437A1E2E" w14:textId="77777777" w:rsidTr="00117B5F">
        <w:tc>
          <w:tcPr>
            <w:tcW w:w="0" w:type="auto"/>
            <w:tcBorders>
              <w:bottom w:val="single" w:sz="4" w:space="0" w:color="auto"/>
            </w:tcBorders>
            <w:vAlign w:val="center"/>
            <w:hideMark/>
          </w:tcPr>
          <w:p w14:paraId="126EBBE9"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PfDHFR</w:t>
            </w:r>
            <w:proofErr w:type="spellEnd"/>
            <w:r w:rsidRPr="008B46AE">
              <w:rPr>
                <w:rFonts w:ascii="Garamond" w:hAnsi="Garamond"/>
                <w:bCs/>
                <w:iCs/>
                <w:sz w:val="20"/>
                <w:szCs w:val="20"/>
              </w:rPr>
              <w:t>-TS</w:t>
            </w:r>
          </w:p>
        </w:tc>
        <w:tc>
          <w:tcPr>
            <w:tcW w:w="0" w:type="auto"/>
            <w:tcBorders>
              <w:bottom w:val="single" w:sz="4" w:space="0" w:color="auto"/>
            </w:tcBorders>
            <w:vAlign w:val="center"/>
            <w:hideMark/>
          </w:tcPr>
          <w:p w14:paraId="3D2B9BF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Central in folate synthesis pathway</w:t>
            </w:r>
          </w:p>
        </w:tc>
        <w:tc>
          <w:tcPr>
            <w:tcW w:w="0" w:type="auto"/>
            <w:tcBorders>
              <w:bottom w:val="single" w:sz="4" w:space="0" w:color="auto"/>
            </w:tcBorders>
            <w:vAlign w:val="center"/>
            <w:hideMark/>
          </w:tcPr>
          <w:p w14:paraId="4D0AD65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17</w:t>
            </w:r>
          </w:p>
        </w:tc>
        <w:tc>
          <w:tcPr>
            <w:tcW w:w="0" w:type="auto"/>
            <w:tcBorders>
              <w:bottom w:val="single" w:sz="4" w:space="0" w:color="auto"/>
            </w:tcBorders>
            <w:vAlign w:val="center"/>
            <w:hideMark/>
          </w:tcPr>
          <w:p w14:paraId="33CD239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0.14</w:t>
            </w:r>
          </w:p>
        </w:tc>
        <w:tc>
          <w:tcPr>
            <w:tcW w:w="0" w:type="auto"/>
            <w:tcBorders>
              <w:bottom w:val="single" w:sz="4" w:space="0" w:color="auto"/>
            </w:tcBorders>
            <w:vAlign w:val="center"/>
            <w:hideMark/>
          </w:tcPr>
          <w:p w14:paraId="5FDA3D5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0.50</w:t>
            </w:r>
          </w:p>
        </w:tc>
        <w:tc>
          <w:tcPr>
            <w:tcW w:w="0" w:type="auto"/>
            <w:tcBorders>
              <w:bottom w:val="single" w:sz="4" w:space="0" w:color="auto"/>
            </w:tcBorders>
            <w:vAlign w:val="center"/>
            <w:hideMark/>
          </w:tcPr>
          <w:p w14:paraId="5270911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Enzyme vital for folate synthesis, pivotal in DNA replication and parasite growth; central role in malaria drug resistance.</w:t>
            </w:r>
          </w:p>
        </w:tc>
      </w:tr>
    </w:tbl>
    <w:p w14:paraId="602412DF" w14:textId="77777777" w:rsidR="009269B1" w:rsidRDefault="009269B1" w:rsidP="008B46AE">
      <w:pPr>
        <w:spacing w:line="259" w:lineRule="auto"/>
        <w:jc w:val="both"/>
        <w:rPr>
          <w:rFonts w:ascii="Garamond" w:hAnsi="Garamond"/>
          <w:bCs/>
          <w:iCs/>
          <w:sz w:val="20"/>
          <w:szCs w:val="20"/>
        </w:rPr>
      </w:pPr>
    </w:p>
    <w:p w14:paraId="3EE49EDB" w14:textId="27EA3C9D"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Table 7 summarizes the centrality metrics (Degree Centrality, Betweenness Centrality, and Closeness Centrality) and roles of each target in the Protein-Protein Interaction (PPI) network, highlighting their significance in Plasmodium biology and their relevance to malaria. Each protein's centrality metrics provide insights into its importance within the network, suggesting potential targets for therapeutic intervention and further study in malaria research.</w:t>
      </w:r>
    </w:p>
    <w:p w14:paraId="63AF10B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Protein-Protein Interaction (PPI) network given in figure 1and its analysis reveals critical insights into the roles and centrality of key proteins involved in Plasmodium biology, emphasizing their significance in malaria research. Falcipain-2 emerges as a central node with high connectivity (Degree Centrality = 20), indicating its pivotal role in network interactions related to hemoglobin degradation, essential for Plasmodium survival. Similarly,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 with a Degree Centrality of 15, plays a crucial role in initiating hemoglobin digestion, vital for nutrient acquisition by the parasite. Both proteins exhibit significant Betweenness (0.18 for Falcipain-2, 0.13 for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 and Closeness Centrality (0.55 for Falcipain-2, 0.48 for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 highlighting their influence in network communication and integrity.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 and III, though slightly lower in Degree Centrality (14 and 13, respectively), complement this digestive pathway, while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IV facilitates the process with a Degree Centrality of 12. </w:t>
      </w:r>
      <w:proofErr w:type="spellStart"/>
      <w:r w:rsidRPr="008B46AE">
        <w:rPr>
          <w:rFonts w:ascii="Garamond" w:hAnsi="Garamond"/>
          <w:bCs/>
          <w:iCs/>
          <w:sz w:val="20"/>
          <w:szCs w:val="20"/>
        </w:rPr>
        <w:t>PfDHFR</w:t>
      </w:r>
      <w:proofErr w:type="spellEnd"/>
      <w:r w:rsidRPr="008B46AE">
        <w:rPr>
          <w:rFonts w:ascii="Garamond" w:hAnsi="Garamond"/>
          <w:bCs/>
          <w:iCs/>
          <w:sz w:val="20"/>
          <w:szCs w:val="20"/>
        </w:rPr>
        <w:t>-TS, central in folate synthesis (Degree Centrality = 17), plays a vital role in DNA replication and drug resistance mechanisms, supported by its significant centrality metrics (Betweenness = 0.14, Closeness = 0.50). These findings underscore the importance of targeting these proteins for further research and therapeutic development against malaria, aiming to disrupt crucial pathways and interactions essential for parasite survival and disease progression.</w:t>
      </w:r>
    </w:p>
    <w:p w14:paraId="09952C00" w14:textId="77777777" w:rsidR="007C62EF" w:rsidRDefault="007C62EF" w:rsidP="008B46AE">
      <w:pPr>
        <w:spacing w:line="259" w:lineRule="auto"/>
        <w:jc w:val="both"/>
        <w:rPr>
          <w:rFonts w:ascii="Garamond" w:hAnsi="Garamond"/>
          <w:b/>
          <w:bCs/>
          <w:iCs/>
          <w:sz w:val="20"/>
          <w:szCs w:val="20"/>
        </w:rPr>
      </w:pPr>
    </w:p>
    <w:p w14:paraId="4E2168E4" w14:textId="314A4711"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Enrichment Analysis</w:t>
      </w:r>
    </w:p>
    <w:p w14:paraId="72C1CAF1"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Table 8: Pathway Enrichment Analysis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4"/>
        <w:gridCol w:w="2984"/>
        <w:gridCol w:w="4322"/>
      </w:tblGrid>
      <w:tr w:rsidR="008B46AE" w:rsidRPr="008B46AE" w14:paraId="129843B6" w14:textId="77777777" w:rsidTr="00117B5F">
        <w:tc>
          <w:tcPr>
            <w:tcW w:w="0" w:type="auto"/>
            <w:tcBorders>
              <w:top w:val="single" w:sz="4" w:space="0" w:color="auto"/>
              <w:bottom w:val="single" w:sz="4" w:space="0" w:color="auto"/>
            </w:tcBorders>
            <w:vAlign w:val="center"/>
            <w:hideMark/>
          </w:tcPr>
          <w:p w14:paraId="0F9370C5"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Pathway</w:t>
            </w:r>
          </w:p>
        </w:tc>
        <w:tc>
          <w:tcPr>
            <w:tcW w:w="0" w:type="auto"/>
            <w:tcBorders>
              <w:top w:val="single" w:sz="4" w:space="0" w:color="auto"/>
              <w:bottom w:val="single" w:sz="4" w:space="0" w:color="auto"/>
            </w:tcBorders>
            <w:vAlign w:val="center"/>
            <w:hideMark/>
          </w:tcPr>
          <w:p w14:paraId="2659FABA"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Description</w:t>
            </w:r>
          </w:p>
        </w:tc>
        <w:tc>
          <w:tcPr>
            <w:tcW w:w="0" w:type="auto"/>
            <w:tcBorders>
              <w:top w:val="single" w:sz="4" w:space="0" w:color="auto"/>
              <w:bottom w:val="single" w:sz="4" w:space="0" w:color="auto"/>
            </w:tcBorders>
            <w:vAlign w:val="center"/>
            <w:hideMark/>
          </w:tcPr>
          <w:p w14:paraId="64F47E25"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Relevance to Malaria</w:t>
            </w:r>
          </w:p>
        </w:tc>
      </w:tr>
      <w:tr w:rsidR="008B46AE" w:rsidRPr="008B46AE" w14:paraId="45CEBEA4" w14:textId="77777777" w:rsidTr="00117B5F">
        <w:tc>
          <w:tcPr>
            <w:tcW w:w="0" w:type="auto"/>
            <w:tcBorders>
              <w:top w:val="single" w:sz="4" w:space="0" w:color="auto"/>
            </w:tcBorders>
            <w:vAlign w:val="center"/>
            <w:hideMark/>
          </w:tcPr>
          <w:p w14:paraId="766A50A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Plasmodium Metabolism</w:t>
            </w:r>
          </w:p>
        </w:tc>
        <w:tc>
          <w:tcPr>
            <w:tcW w:w="0" w:type="auto"/>
            <w:tcBorders>
              <w:top w:val="single" w:sz="4" w:space="0" w:color="auto"/>
            </w:tcBorders>
            <w:vAlign w:val="center"/>
            <w:hideMark/>
          </w:tcPr>
          <w:p w14:paraId="67A588C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Pathways involved in the energy and nutrient metabolism of </w:t>
            </w:r>
            <w:r w:rsidRPr="008B46AE">
              <w:rPr>
                <w:rFonts w:ascii="Garamond" w:hAnsi="Garamond"/>
                <w:bCs/>
                <w:i/>
                <w:iCs/>
                <w:sz w:val="20"/>
                <w:szCs w:val="20"/>
              </w:rPr>
              <w:t>Plasmodium</w:t>
            </w:r>
          </w:p>
        </w:tc>
        <w:tc>
          <w:tcPr>
            <w:tcW w:w="0" w:type="auto"/>
            <w:tcBorders>
              <w:top w:val="single" w:sz="4" w:space="0" w:color="auto"/>
            </w:tcBorders>
            <w:vAlign w:val="center"/>
            <w:hideMark/>
          </w:tcPr>
          <w:p w14:paraId="547C762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Central to the survival and growth of </w:t>
            </w:r>
            <w:r w:rsidRPr="008B46AE">
              <w:rPr>
                <w:rFonts w:ascii="Garamond" w:hAnsi="Garamond"/>
                <w:bCs/>
                <w:i/>
                <w:iCs/>
                <w:sz w:val="20"/>
                <w:szCs w:val="20"/>
              </w:rPr>
              <w:t>Plasmodium</w:t>
            </w:r>
            <w:r w:rsidRPr="008B46AE">
              <w:rPr>
                <w:rFonts w:ascii="Garamond" w:hAnsi="Garamond"/>
                <w:bCs/>
                <w:iCs/>
                <w:sz w:val="20"/>
                <w:szCs w:val="20"/>
              </w:rPr>
              <w:t>, making these pathways key targets for therapeutic intervention.</w:t>
            </w:r>
          </w:p>
        </w:tc>
      </w:tr>
      <w:tr w:rsidR="008B46AE" w:rsidRPr="008B46AE" w14:paraId="16FDA1B5" w14:textId="77777777" w:rsidTr="00117B5F">
        <w:tc>
          <w:tcPr>
            <w:tcW w:w="0" w:type="auto"/>
            <w:vAlign w:val="center"/>
            <w:hideMark/>
          </w:tcPr>
          <w:p w14:paraId="2774840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Host-Pathogen Interactions</w:t>
            </w:r>
          </w:p>
        </w:tc>
        <w:tc>
          <w:tcPr>
            <w:tcW w:w="0" w:type="auto"/>
            <w:vAlign w:val="center"/>
            <w:hideMark/>
          </w:tcPr>
          <w:p w14:paraId="3BFAC4D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Pathways detailing the interactions between </w:t>
            </w:r>
            <w:r w:rsidRPr="008B46AE">
              <w:rPr>
                <w:rFonts w:ascii="Garamond" w:hAnsi="Garamond"/>
                <w:bCs/>
                <w:i/>
                <w:iCs/>
                <w:sz w:val="20"/>
                <w:szCs w:val="20"/>
              </w:rPr>
              <w:t>Plasmodium</w:t>
            </w:r>
            <w:r w:rsidRPr="008B46AE">
              <w:rPr>
                <w:rFonts w:ascii="Garamond" w:hAnsi="Garamond"/>
                <w:bCs/>
                <w:iCs/>
                <w:sz w:val="20"/>
                <w:szCs w:val="20"/>
              </w:rPr>
              <w:t xml:space="preserve"> and host cells</w:t>
            </w:r>
          </w:p>
        </w:tc>
        <w:tc>
          <w:tcPr>
            <w:tcW w:w="0" w:type="auto"/>
            <w:vAlign w:val="center"/>
            <w:hideMark/>
          </w:tcPr>
          <w:p w14:paraId="1E5DFE9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Important for understanding how the parasite manipulates host cells for survival and replication.</w:t>
            </w:r>
          </w:p>
        </w:tc>
      </w:tr>
      <w:tr w:rsidR="008B46AE" w:rsidRPr="008B46AE" w14:paraId="76339F1C" w14:textId="77777777" w:rsidTr="00117B5F">
        <w:tc>
          <w:tcPr>
            <w:tcW w:w="0" w:type="auto"/>
            <w:vAlign w:val="center"/>
            <w:hideMark/>
          </w:tcPr>
          <w:p w14:paraId="1B3159F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Folate Biosynthesis</w:t>
            </w:r>
          </w:p>
        </w:tc>
        <w:tc>
          <w:tcPr>
            <w:tcW w:w="0" w:type="auto"/>
            <w:vAlign w:val="center"/>
            <w:hideMark/>
          </w:tcPr>
          <w:p w14:paraId="4F55684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Pathways involved in the production of folate</w:t>
            </w:r>
          </w:p>
        </w:tc>
        <w:tc>
          <w:tcPr>
            <w:tcW w:w="0" w:type="auto"/>
            <w:vAlign w:val="center"/>
            <w:hideMark/>
          </w:tcPr>
          <w:p w14:paraId="1A8EDFF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Crucial for DNA synthesis; inhibitors can disrupt parasite replication and survival.</w:t>
            </w:r>
          </w:p>
        </w:tc>
      </w:tr>
      <w:tr w:rsidR="008B46AE" w:rsidRPr="008B46AE" w14:paraId="697A3123" w14:textId="77777777" w:rsidTr="00117B5F">
        <w:tc>
          <w:tcPr>
            <w:tcW w:w="0" w:type="auto"/>
            <w:vAlign w:val="center"/>
            <w:hideMark/>
          </w:tcPr>
          <w:p w14:paraId="356BE9D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Hemoglobin Degradation</w:t>
            </w:r>
          </w:p>
        </w:tc>
        <w:tc>
          <w:tcPr>
            <w:tcW w:w="0" w:type="auto"/>
            <w:vAlign w:val="center"/>
            <w:hideMark/>
          </w:tcPr>
          <w:p w14:paraId="07F6898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Breakdown of hemoglobin by </w:t>
            </w:r>
            <w:r w:rsidRPr="008B46AE">
              <w:rPr>
                <w:rFonts w:ascii="Garamond" w:hAnsi="Garamond"/>
                <w:bCs/>
                <w:i/>
                <w:iCs/>
                <w:sz w:val="20"/>
                <w:szCs w:val="20"/>
              </w:rPr>
              <w:t>Plasmodium</w:t>
            </w:r>
            <w:r w:rsidRPr="008B46AE">
              <w:rPr>
                <w:rFonts w:ascii="Garamond" w:hAnsi="Garamond"/>
                <w:bCs/>
                <w:iCs/>
                <w:sz w:val="20"/>
                <w:szCs w:val="20"/>
              </w:rPr>
              <w:t xml:space="preserve"> for nutrient acquisition</w:t>
            </w:r>
          </w:p>
        </w:tc>
        <w:tc>
          <w:tcPr>
            <w:tcW w:w="0" w:type="auto"/>
            <w:vAlign w:val="center"/>
            <w:hideMark/>
          </w:tcPr>
          <w:p w14:paraId="180741F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Provides essential nutrients; targeting this pathway can inhibit parasite growth.</w:t>
            </w:r>
          </w:p>
        </w:tc>
      </w:tr>
      <w:tr w:rsidR="008B46AE" w:rsidRPr="008B46AE" w14:paraId="702AA846" w14:textId="77777777" w:rsidTr="00117B5F">
        <w:tc>
          <w:tcPr>
            <w:tcW w:w="0" w:type="auto"/>
            <w:vAlign w:val="center"/>
            <w:hideMark/>
          </w:tcPr>
          <w:p w14:paraId="0FBC037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Calcium Signaling</w:t>
            </w:r>
          </w:p>
        </w:tc>
        <w:tc>
          <w:tcPr>
            <w:tcW w:w="0" w:type="auto"/>
            <w:vAlign w:val="center"/>
            <w:hideMark/>
          </w:tcPr>
          <w:p w14:paraId="3ADD36A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Pathways involved in calcium ion signaling and regulation</w:t>
            </w:r>
          </w:p>
        </w:tc>
        <w:tc>
          <w:tcPr>
            <w:tcW w:w="0" w:type="auto"/>
            <w:vAlign w:val="center"/>
            <w:hideMark/>
          </w:tcPr>
          <w:p w14:paraId="5386A9B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Critical for numerous cellular processes including signaling and enzyme activation within the parasite.</w:t>
            </w:r>
          </w:p>
        </w:tc>
      </w:tr>
      <w:tr w:rsidR="008B46AE" w:rsidRPr="008B46AE" w14:paraId="7F2C2C26" w14:textId="77777777" w:rsidTr="00117B5F">
        <w:tc>
          <w:tcPr>
            <w:tcW w:w="0" w:type="auto"/>
            <w:vAlign w:val="center"/>
            <w:hideMark/>
          </w:tcPr>
          <w:p w14:paraId="2F8685D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Oxidative Phosphorylation</w:t>
            </w:r>
          </w:p>
        </w:tc>
        <w:tc>
          <w:tcPr>
            <w:tcW w:w="0" w:type="auto"/>
            <w:vAlign w:val="center"/>
            <w:hideMark/>
          </w:tcPr>
          <w:p w14:paraId="56CA094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Pathway of energy production involving the electron transport chain</w:t>
            </w:r>
          </w:p>
        </w:tc>
        <w:tc>
          <w:tcPr>
            <w:tcW w:w="0" w:type="auto"/>
            <w:vAlign w:val="center"/>
            <w:hideMark/>
          </w:tcPr>
          <w:p w14:paraId="1FD3107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Key for ATP production; disruption can impair energy production in </w:t>
            </w:r>
            <w:r w:rsidRPr="008B46AE">
              <w:rPr>
                <w:rFonts w:ascii="Garamond" w:hAnsi="Garamond"/>
                <w:bCs/>
                <w:i/>
                <w:iCs/>
                <w:sz w:val="20"/>
                <w:szCs w:val="20"/>
              </w:rPr>
              <w:t>Plasmodium</w:t>
            </w:r>
            <w:r w:rsidRPr="008B46AE">
              <w:rPr>
                <w:rFonts w:ascii="Garamond" w:hAnsi="Garamond"/>
                <w:bCs/>
                <w:iCs/>
                <w:sz w:val="20"/>
                <w:szCs w:val="20"/>
              </w:rPr>
              <w:t>.</w:t>
            </w:r>
          </w:p>
        </w:tc>
      </w:tr>
      <w:tr w:rsidR="008B46AE" w:rsidRPr="008B46AE" w14:paraId="5D8EA8C6" w14:textId="77777777" w:rsidTr="00117B5F">
        <w:tc>
          <w:tcPr>
            <w:tcW w:w="0" w:type="auto"/>
            <w:tcBorders>
              <w:bottom w:val="single" w:sz="4" w:space="0" w:color="auto"/>
            </w:tcBorders>
            <w:vAlign w:val="center"/>
            <w:hideMark/>
          </w:tcPr>
          <w:p w14:paraId="5CA6BC7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
                <w:bCs/>
                <w:iCs/>
                <w:sz w:val="20"/>
                <w:szCs w:val="20"/>
              </w:rPr>
              <w:t>Drug Resistance Mechanisms</w:t>
            </w:r>
          </w:p>
        </w:tc>
        <w:tc>
          <w:tcPr>
            <w:tcW w:w="0" w:type="auto"/>
            <w:tcBorders>
              <w:bottom w:val="single" w:sz="4" w:space="0" w:color="auto"/>
            </w:tcBorders>
            <w:vAlign w:val="center"/>
            <w:hideMark/>
          </w:tcPr>
          <w:p w14:paraId="03991B7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Pathways related to how </w:t>
            </w:r>
            <w:r w:rsidRPr="008B46AE">
              <w:rPr>
                <w:rFonts w:ascii="Garamond" w:hAnsi="Garamond"/>
                <w:bCs/>
                <w:i/>
                <w:iCs/>
                <w:sz w:val="20"/>
                <w:szCs w:val="20"/>
              </w:rPr>
              <w:t>Plasmodium</w:t>
            </w:r>
            <w:r w:rsidRPr="008B46AE">
              <w:rPr>
                <w:rFonts w:ascii="Garamond" w:hAnsi="Garamond"/>
                <w:bCs/>
                <w:iCs/>
                <w:sz w:val="20"/>
                <w:szCs w:val="20"/>
              </w:rPr>
              <w:t xml:space="preserve"> develops resistance to drugs</w:t>
            </w:r>
          </w:p>
        </w:tc>
        <w:tc>
          <w:tcPr>
            <w:tcW w:w="0" w:type="auto"/>
            <w:tcBorders>
              <w:bottom w:val="single" w:sz="4" w:space="0" w:color="auto"/>
            </w:tcBorders>
            <w:vAlign w:val="center"/>
            <w:hideMark/>
          </w:tcPr>
          <w:p w14:paraId="23BE7B5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Understanding these mechanisms can inform strategies to overcome drug resistance in malaria treatment.</w:t>
            </w:r>
          </w:p>
        </w:tc>
      </w:tr>
    </w:tbl>
    <w:p w14:paraId="4041913E" w14:textId="77777777" w:rsidR="007C62EF" w:rsidRDefault="007C62EF" w:rsidP="008B46AE">
      <w:pPr>
        <w:spacing w:line="259" w:lineRule="auto"/>
        <w:jc w:val="both"/>
        <w:rPr>
          <w:rFonts w:ascii="Garamond" w:hAnsi="Garamond"/>
          <w:bCs/>
          <w:iCs/>
          <w:sz w:val="20"/>
          <w:szCs w:val="20"/>
        </w:rPr>
      </w:pPr>
    </w:p>
    <w:p w14:paraId="44ED8A8C" w14:textId="4DB55318"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The Pathway Enrichment Analysis given in table 8reveals key pathways essential for Plasmodium survival and their implications for malaria treatment. Plasmodium metabolism pathways, central to energy and nutrient acquisition, present promising targets for disrupting vital metabolic processes crucial for parasite growth. Understanding host-pathogen interactions provides insights into how Plasmodium manipulates host cells, offering avenues to block these interactions and inhibit parasite replication. Folate biosynthesis, critical for DNA synthesis in Plasmodium, represents a strategic target for developing inhibitors that can impair parasite replication. Similarly, targeting hemoglobin degradation pathways could starve the parasite of essential nutrients, hindering its growth. Calcium signaling and oxidative phosphorylation pathways, integral to cellular functions and energy production in Plasmodium, offer additional opportunities for therapeutic intervention by disrupting essential processes. Finally, insights into drug resistance mechanisms are crucial for developing effective treatments against resistant strains of malaria. Overall, leveraging these pathway analyses provides a comprehensive strategy to advance malaria research and develop innovative therapies aimed at combating this global health challenge effectively.</w:t>
      </w:r>
    </w:p>
    <w:p w14:paraId="4AB64657" w14:textId="77777777" w:rsidR="007C62EF" w:rsidRDefault="007C62EF" w:rsidP="008B46AE">
      <w:pPr>
        <w:spacing w:line="259" w:lineRule="auto"/>
        <w:jc w:val="both"/>
        <w:rPr>
          <w:rFonts w:ascii="Garamond" w:hAnsi="Garamond"/>
          <w:b/>
          <w:bCs/>
          <w:iCs/>
          <w:sz w:val="20"/>
          <w:szCs w:val="20"/>
        </w:rPr>
      </w:pPr>
    </w:p>
    <w:p w14:paraId="67E8F5CC" w14:textId="3AC5A0CA"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Docking Results</w:t>
      </w:r>
    </w:p>
    <w:p w14:paraId="6F2A844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Molecular docking studies assessed the binding affinities of various phytoconstituents to key </w:t>
      </w:r>
      <w:r w:rsidRPr="008B46AE">
        <w:rPr>
          <w:rFonts w:ascii="Garamond" w:hAnsi="Garamond"/>
          <w:bCs/>
          <w:i/>
          <w:iCs/>
          <w:sz w:val="20"/>
          <w:szCs w:val="20"/>
        </w:rPr>
        <w:t>Plasmodium</w:t>
      </w:r>
      <w:r w:rsidRPr="008B46AE">
        <w:rPr>
          <w:rFonts w:ascii="Garamond" w:hAnsi="Garamond"/>
          <w:bCs/>
          <w:iCs/>
          <w:sz w:val="20"/>
          <w:szCs w:val="20"/>
        </w:rPr>
        <w:t xml:space="preserve"> targets. </w:t>
      </w:r>
    </w:p>
    <w:p w14:paraId="4D206FBA"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Table 9: Results for the phytoconstituents based on their interactions with target proteins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0"/>
        <w:gridCol w:w="1281"/>
        <w:gridCol w:w="1831"/>
        <w:gridCol w:w="1522"/>
        <w:gridCol w:w="3066"/>
      </w:tblGrid>
      <w:tr w:rsidR="008B46AE" w:rsidRPr="008B46AE" w14:paraId="6CFB7054" w14:textId="77777777" w:rsidTr="00117B5F">
        <w:tc>
          <w:tcPr>
            <w:tcW w:w="0" w:type="auto"/>
            <w:tcBorders>
              <w:top w:val="single" w:sz="4" w:space="0" w:color="auto"/>
              <w:bottom w:val="single" w:sz="4" w:space="0" w:color="auto"/>
            </w:tcBorders>
            <w:hideMark/>
          </w:tcPr>
          <w:p w14:paraId="706B22BC"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Phytoconstituent</w:t>
            </w:r>
          </w:p>
        </w:tc>
        <w:tc>
          <w:tcPr>
            <w:tcW w:w="0" w:type="auto"/>
            <w:tcBorders>
              <w:top w:val="single" w:sz="4" w:space="0" w:color="auto"/>
              <w:bottom w:val="single" w:sz="4" w:space="0" w:color="auto"/>
            </w:tcBorders>
            <w:hideMark/>
          </w:tcPr>
          <w:p w14:paraId="59208347"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Target Protein</w:t>
            </w:r>
          </w:p>
        </w:tc>
        <w:tc>
          <w:tcPr>
            <w:tcW w:w="0" w:type="auto"/>
            <w:tcBorders>
              <w:top w:val="single" w:sz="4" w:space="0" w:color="auto"/>
              <w:bottom w:val="single" w:sz="4" w:space="0" w:color="auto"/>
            </w:tcBorders>
            <w:hideMark/>
          </w:tcPr>
          <w:p w14:paraId="4F5913BB"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Docking Score (kcal/mol)</w:t>
            </w:r>
          </w:p>
        </w:tc>
        <w:tc>
          <w:tcPr>
            <w:tcW w:w="0" w:type="auto"/>
            <w:tcBorders>
              <w:top w:val="single" w:sz="4" w:space="0" w:color="auto"/>
              <w:bottom w:val="single" w:sz="4" w:space="0" w:color="auto"/>
            </w:tcBorders>
            <w:hideMark/>
          </w:tcPr>
          <w:p w14:paraId="2756DE14"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Binding Affinity (</w:t>
            </w:r>
            <w:proofErr w:type="spellStart"/>
            <w:r w:rsidRPr="008B46AE">
              <w:rPr>
                <w:rFonts w:ascii="Garamond" w:hAnsi="Garamond"/>
                <w:b/>
                <w:bCs/>
                <w:iCs/>
                <w:sz w:val="20"/>
                <w:szCs w:val="20"/>
              </w:rPr>
              <w:t>μM</w:t>
            </w:r>
            <w:proofErr w:type="spellEnd"/>
            <w:r w:rsidRPr="008B46AE">
              <w:rPr>
                <w:rFonts w:ascii="Garamond" w:hAnsi="Garamond"/>
                <w:b/>
                <w:bCs/>
                <w:iCs/>
                <w:sz w:val="20"/>
                <w:szCs w:val="20"/>
              </w:rPr>
              <w:t>)</w:t>
            </w:r>
          </w:p>
        </w:tc>
        <w:tc>
          <w:tcPr>
            <w:tcW w:w="0" w:type="auto"/>
            <w:tcBorders>
              <w:top w:val="single" w:sz="4" w:space="0" w:color="auto"/>
              <w:bottom w:val="single" w:sz="4" w:space="0" w:color="auto"/>
            </w:tcBorders>
            <w:hideMark/>
          </w:tcPr>
          <w:p w14:paraId="4A926362" w14:textId="77777777"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Key Interactions</w:t>
            </w:r>
          </w:p>
        </w:tc>
      </w:tr>
      <w:tr w:rsidR="008B46AE" w:rsidRPr="008B46AE" w14:paraId="195EA5A8" w14:textId="77777777" w:rsidTr="00117B5F">
        <w:tc>
          <w:tcPr>
            <w:tcW w:w="0" w:type="auto"/>
            <w:tcBorders>
              <w:top w:val="single" w:sz="4" w:space="0" w:color="auto"/>
            </w:tcBorders>
            <w:hideMark/>
          </w:tcPr>
          <w:p w14:paraId="05113C88"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Echitamine</w:t>
            </w:r>
            <w:proofErr w:type="spellEnd"/>
          </w:p>
        </w:tc>
        <w:tc>
          <w:tcPr>
            <w:tcW w:w="0" w:type="auto"/>
            <w:tcBorders>
              <w:top w:val="single" w:sz="4" w:space="0" w:color="auto"/>
            </w:tcBorders>
            <w:hideMark/>
          </w:tcPr>
          <w:p w14:paraId="014BE42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PfATP6</w:t>
            </w:r>
          </w:p>
        </w:tc>
        <w:tc>
          <w:tcPr>
            <w:tcW w:w="0" w:type="auto"/>
            <w:tcBorders>
              <w:top w:val="single" w:sz="4" w:space="0" w:color="auto"/>
            </w:tcBorders>
            <w:hideMark/>
          </w:tcPr>
          <w:p w14:paraId="577D8A1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-10.2</w:t>
            </w:r>
          </w:p>
        </w:tc>
        <w:tc>
          <w:tcPr>
            <w:tcW w:w="0" w:type="auto"/>
            <w:tcBorders>
              <w:top w:val="single" w:sz="4" w:space="0" w:color="auto"/>
            </w:tcBorders>
            <w:hideMark/>
          </w:tcPr>
          <w:p w14:paraId="06272B8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0.45</w:t>
            </w:r>
          </w:p>
        </w:tc>
        <w:tc>
          <w:tcPr>
            <w:tcW w:w="0" w:type="auto"/>
            <w:tcBorders>
              <w:top w:val="single" w:sz="4" w:space="0" w:color="auto"/>
            </w:tcBorders>
            <w:hideMark/>
          </w:tcPr>
          <w:p w14:paraId="27BD046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hydrophobic interactions</w:t>
            </w:r>
          </w:p>
        </w:tc>
      </w:tr>
      <w:tr w:rsidR="008B46AE" w:rsidRPr="008B46AE" w14:paraId="1A527F41" w14:textId="77777777" w:rsidTr="00117B5F">
        <w:tc>
          <w:tcPr>
            <w:tcW w:w="0" w:type="auto"/>
            <w:hideMark/>
          </w:tcPr>
          <w:p w14:paraId="5F05E762"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Scholaricine</w:t>
            </w:r>
            <w:proofErr w:type="spellEnd"/>
          </w:p>
        </w:tc>
        <w:tc>
          <w:tcPr>
            <w:tcW w:w="0" w:type="auto"/>
            <w:hideMark/>
          </w:tcPr>
          <w:p w14:paraId="008A942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Falcipain-2</w:t>
            </w:r>
          </w:p>
        </w:tc>
        <w:tc>
          <w:tcPr>
            <w:tcW w:w="0" w:type="auto"/>
            <w:hideMark/>
          </w:tcPr>
          <w:p w14:paraId="5F61CE0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-9.6</w:t>
            </w:r>
          </w:p>
        </w:tc>
        <w:tc>
          <w:tcPr>
            <w:tcW w:w="0" w:type="auto"/>
            <w:hideMark/>
          </w:tcPr>
          <w:p w14:paraId="46295E5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0.68</w:t>
            </w:r>
          </w:p>
        </w:tc>
        <w:tc>
          <w:tcPr>
            <w:tcW w:w="0" w:type="auto"/>
            <w:hideMark/>
          </w:tcPr>
          <w:p w14:paraId="3C155B0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van der Waals interactions</w:t>
            </w:r>
          </w:p>
        </w:tc>
      </w:tr>
      <w:tr w:rsidR="008B46AE" w:rsidRPr="008B46AE" w14:paraId="0E459AE4" w14:textId="77777777" w:rsidTr="00117B5F">
        <w:tc>
          <w:tcPr>
            <w:tcW w:w="0" w:type="auto"/>
            <w:hideMark/>
          </w:tcPr>
          <w:p w14:paraId="69E8945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Berberine</w:t>
            </w:r>
          </w:p>
        </w:tc>
        <w:tc>
          <w:tcPr>
            <w:tcW w:w="0" w:type="auto"/>
            <w:hideMark/>
          </w:tcPr>
          <w:p w14:paraId="1A8EA7A4"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PfDHFR</w:t>
            </w:r>
            <w:proofErr w:type="spellEnd"/>
            <w:r w:rsidRPr="008B46AE">
              <w:rPr>
                <w:rFonts w:ascii="Garamond" w:hAnsi="Garamond"/>
                <w:bCs/>
                <w:iCs/>
                <w:sz w:val="20"/>
                <w:szCs w:val="20"/>
              </w:rPr>
              <w:t>-TS</w:t>
            </w:r>
          </w:p>
        </w:tc>
        <w:tc>
          <w:tcPr>
            <w:tcW w:w="0" w:type="auto"/>
            <w:hideMark/>
          </w:tcPr>
          <w:p w14:paraId="6DC20B9A"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-8.5</w:t>
            </w:r>
          </w:p>
        </w:tc>
        <w:tc>
          <w:tcPr>
            <w:tcW w:w="0" w:type="auto"/>
            <w:hideMark/>
          </w:tcPr>
          <w:p w14:paraId="484408A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1.2</w:t>
            </w:r>
          </w:p>
        </w:tc>
        <w:tc>
          <w:tcPr>
            <w:tcW w:w="0" w:type="auto"/>
            <w:hideMark/>
          </w:tcPr>
          <w:p w14:paraId="750CFCA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π-π stacking</w:t>
            </w:r>
          </w:p>
        </w:tc>
      </w:tr>
      <w:tr w:rsidR="008B46AE" w:rsidRPr="008B46AE" w14:paraId="0A8DD042" w14:textId="77777777" w:rsidTr="00117B5F">
        <w:tc>
          <w:tcPr>
            <w:tcW w:w="0" w:type="auto"/>
            <w:hideMark/>
          </w:tcPr>
          <w:p w14:paraId="1F53D8F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Coptisine</w:t>
            </w:r>
          </w:p>
        </w:tc>
        <w:tc>
          <w:tcPr>
            <w:tcW w:w="0" w:type="auto"/>
            <w:hideMark/>
          </w:tcPr>
          <w:p w14:paraId="6EB88301"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PfLDH</w:t>
            </w:r>
            <w:proofErr w:type="spellEnd"/>
          </w:p>
        </w:tc>
        <w:tc>
          <w:tcPr>
            <w:tcW w:w="0" w:type="auto"/>
            <w:hideMark/>
          </w:tcPr>
          <w:p w14:paraId="3786AB6F"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-8.1</w:t>
            </w:r>
          </w:p>
        </w:tc>
        <w:tc>
          <w:tcPr>
            <w:tcW w:w="0" w:type="auto"/>
            <w:hideMark/>
          </w:tcPr>
          <w:p w14:paraId="446B94B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1.6</w:t>
            </w:r>
          </w:p>
        </w:tc>
        <w:tc>
          <w:tcPr>
            <w:tcW w:w="0" w:type="auto"/>
            <w:hideMark/>
          </w:tcPr>
          <w:p w14:paraId="6E35370D"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hydrophobic interactions</w:t>
            </w:r>
          </w:p>
        </w:tc>
      </w:tr>
      <w:tr w:rsidR="008B46AE" w:rsidRPr="008B46AE" w14:paraId="564FC44C" w14:textId="77777777" w:rsidTr="00117B5F">
        <w:tc>
          <w:tcPr>
            <w:tcW w:w="0" w:type="auto"/>
            <w:hideMark/>
          </w:tcPr>
          <w:p w14:paraId="7D7B220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Quercetin</w:t>
            </w:r>
          </w:p>
        </w:tc>
        <w:tc>
          <w:tcPr>
            <w:tcW w:w="0" w:type="auto"/>
            <w:hideMark/>
          </w:tcPr>
          <w:p w14:paraId="77D6681F"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w:t>
            </w:r>
          </w:p>
        </w:tc>
        <w:tc>
          <w:tcPr>
            <w:tcW w:w="0" w:type="auto"/>
            <w:hideMark/>
          </w:tcPr>
          <w:p w14:paraId="776562F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-9.0</w:t>
            </w:r>
          </w:p>
        </w:tc>
        <w:tc>
          <w:tcPr>
            <w:tcW w:w="0" w:type="auto"/>
            <w:hideMark/>
          </w:tcPr>
          <w:p w14:paraId="0792D216"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0.95</w:t>
            </w:r>
          </w:p>
        </w:tc>
        <w:tc>
          <w:tcPr>
            <w:tcW w:w="0" w:type="auto"/>
            <w:hideMark/>
          </w:tcPr>
          <w:p w14:paraId="2692519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electrostatic interactions</w:t>
            </w:r>
          </w:p>
        </w:tc>
      </w:tr>
      <w:tr w:rsidR="008B46AE" w:rsidRPr="008B46AE" w14:paraId="358279C8" w14:textId="77777777" w:rsidTr="00117B5F">
        <w:tc>
          <w:tcPr>
            <w:tcW w:w="0" w:type="auto"/>
            <w:hideMark/>
          </w:tcPr>
          <w:p w14:paraId="4D2A8049"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lastRenderedPageBreak/>
              <w:t>Kaempferol</w:t>
            </w:r>
          </w:p>
        </w:tc>
        <w:tc>
          <w:tcPr>
            <w:tcW w:w="0" w:type="auto"/>
            <w:hideMark/>
          </w:tcPr>
          <w:p w14:paraId="728840D7"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PfMDR1</w:t>
            </w:r>
          </w:p>
        </w:tc>
        <w:tc>
          <w:tcPr>
            <w:tcW w:w="0" w:type="auto"/>
            <w:hideMark/>
          </w:tcPr>
          <w:p w14:paraId="702C6D8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-8.7</w:t>
            </w:r>
          </w:p>
        </w:tc>
        <w:tc>
          <w:tcPr>
            <w:tcW w:w="0" w:type="auto"/>
            <w:hideMark/>
          </w:tcPr>
          <w:p w14:paraId="7372531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1.1</w:t>
            </w:r>
          </w:p>
        </w:tc>
        <w:tc>
          <w:tcPr>
            <w:tcW w:w="0" w:type="auto"/>
            <w:hideMark/>
          </w:tcPr>
          <w:p w14:paraId="03E9A59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π-π stacking, van der Waals interactions</w:t>
            </w:r>
          </w:p>
        </w:tc>
      </w:tr>
      <w:tr w:rsidR="008B46AE" w:rsidRPr="008B46AE" w14:paraId="0BC749AB" w14:textId="77777777" w:rsidTr="00117B5F">
        <w:tc>
          <w:tcPr>
            <w:tcW w:w="0" w:type="auto"/>
            <w:hideMark/>
          </w:tcPr>
          <w:p w14:paraId="6986C50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Eugenol</w:t>
            </w:r>
          </w:p>
        </w:tc>
        <w:tc>
          <w:tcPr>
            <w:tcW w:w="0" w:type="auto"/>
            <w:hideMark/>
          </w:tcPr>
          <w:p w14:paraId="72414913"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Falcipain-2</w:t>
            </w:r>
          </w:p>
        </w:tc>
        <w:tc>
          <w:tcPr>
            <w:tcW w:w="0" w:type="auto"/>
            <w:hideMark/>
          </w:tcPr>
          <w:p w14:paraId="4D9D4C32"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-8.3</w:t>
            </w:r>
          </w:p>
        </w:tc>
        <w:tc>
          <w:tcPr>
            <w:tcW w:w="0" w:type="auto"/>
            <w:hideMark/>
          </w:tcPr>
          <w:p w14:paraId="2681026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1.4</w:t>
            </w:r>
          </w:p>
        </w:tc>
        <w:tc>
          <w:tcPr>
            <w:tcW w:w="0" w:type="auto"/>
            <w:hideMark/>
          </w:tcPr>
          <w:p w14:paraId="3E45833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hydrophobic interactions</w:t>
            </w:r>
          </w:p>
        </w:tc>
      </w:tr>
      <w:tr w:rsidR="008B46AE" w:rsidRPr="008B46AE" w14:paraId="32C932BD" w14:textId="77777777" w:rsidTr="00117B5F">
        <w:tc>
          <w:tcPr>
            <w:tcW w:w="0" w:type="auto"/>
            <w:hideMark/>
          </w:tcPr>
          <w:p w14:paraId="7761EE8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Luteolin</w:t>
            </w:r>
          </w:p>
        </w:tc>
        <w:tc>
          <w:tcPr>
            <w:tcW w:w="0" w:type="auto"/>
            <w:hideMark/>
          </w:tcPr>
          <w:p w14:paraId="0309715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PfATP6</w:t>
            </w:r>
          </w:p>
        </w:tc>
        <w:tc>
          <w:tcPr>
            <w:tcW w:w="0" w:type="auto"/>
            <w:hideMark/>
          </w:tcPr>
          <w:p w14:paraId="1C4EC40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-8.8</w:t>
            </w:r>
          </w:p>
        </w:tc>
        <w:tc>
          <w:tcPr>
            <w:tcW w:w="0" w:type="auto"/>
            <w:hideMark/>
          </w:tcPr>
          <w:p w14:paraId="14C3A9E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1.0</w:t>
            </w:r>
          </w:p>
        </w:tc>
        <w:tc>
          <w:tcPr>
            <w:tcW w:w="0" w:type="auto"/>
            <w:hideMark/>
          </w:tcPr>
          <w:p w14:paraId="3158B29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hydrophobic interactions</w:t>
            </w:r>
          </w:p>
        </w:tc>
      </w:tr>
      <w:tr w:rsidR="008B46AE" w:rsidRPr="008B46AE" w14:paraId="6B16BA7E" w14:textId="77777777" w:rsidTr="00117B5F">
        <w:tc>
          <w:tcPr>
            <w:tcW w:w="0" w:type="auto"/>
            <w:hideMark/>
          </w:tcPr>
          <w:p w14:paraId="6BAC403E"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Tenuifolin</w:t>
            </w:r>
            <w:proofErr w:type="spellEnd"/>
          </w:p>
        </w:tc>
        <w:tc>
          <w:tcPr>
            <w:tcW w:w="0" w:type="auto"/>
            <w:hideMark/>
          </w:tcPr>
          <w:p w14:paraId="4A29849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Falcipain-2</w:t>
            </w:r>
          </w:p>
        </w:tc>
        <w:tc>
          <w:tcPr>
            <w:tcW w:w="0" w:type="auto"/>
            <w:hideMark/>
          </w:tcPr>
          <w:p w14:paraId="35D01DEC"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-8.6</w:t>
            </w:r>
          </w:p>
        </w:tc>
        <w:tc>
          <w:tcPr>
            <w:tcW w:w="0" w:type="auto"/>
            <w:hideMark/>
          </w:tcPr>
          <w:p w14:paraId="0C18BFC1"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1.2</w:t>
            </w:r>
          </w:p>
        </w:tc>
        <w:tc>
          <w:tcPr>
            <w:tcW w:w="0" w:type="auto"/>
            <w:hideMark/>
          </w:tcPr>
          <w:p w14:paraId="2C80FA8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hydrophobic interactions</w:t>
            </w:r>
          </w:p>
        </w:tc>
      </w:tr>
      <w:tr w:rsidR="008B46AE" w:rsidRPr="008B46AE" w14:paraId="26D5E078" w14:textId="77777777" w:rsidTr="00117B5F">
        <w:tc>
          <w:tcPr>
            <w:tcW w:w="0" w:type="auto"/>
            <w:hideMark/>
          </w:tcPr>
          <w:p w14:paraId="61FD643D"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Onjisaponin</w:t>
            </w:r>
            <w:proofErr w:type="spellEnd"/>
          </w:p>
        </w:tc>
        <w:tc>
          <w:tcPr>
            <w:tcW w:w="0" w:type="auto"/>
            <w:hideMark/>
          </w:tcPr>
          <w:p w14:paraId="50FB6ABA"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PfDHFR</w:t>
            </w:r>
            <w:proofErr w:type="spellEnd"/>
            <w:r w:rsidRPr="008B46AE">
              <w:rPr>
                <w:rFonts w:ascii="Garamond" w:hAnsi="Garamond"/>
                <w:bCs/>
                <w:iCs/>
                <w:sz w:val="20"/>
                <w:szCs w:val="20"/>
              </w:rPr>
              <w:t>-TS</w:t>
            </w:r>
          </w:p>
        </w:tc>
        <w:tc>
          <w:tcPr>
            <w:tcW w:w="0" w:type="auto"/>
            <w:hideMark/>
          </w:tcPr>
          <w:p w14:paraId="583A30FE"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-8.9</w:t>
            </w:r>
          </w:p>
        </w:tc>
        <w:tc>
          <w:tcPr>
            <w:tcW w:w="0" w:type="auto"/>
            <w:hideMark/>
          </w:tcPr>
          <w:p w14:paraId="4B766EC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0.97</w:t>
            </w:r>
          </w:p>
        </w:tc>
        <w:tc>
          <w:tcPr>
            <w:tcW w:w="0" w:type="auto"/>
            <w:hideMark/>
          </w:tcPr>
          <w:p w14:paraId="1985388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π-π stacking</w:t>
            </w:r>
          </w:p>
        </w:tc>
      </w:tr>
      <w:tr w:rsidR="008B46AE" w:rsidRPr="008B46AE" w14:paraId="5E0AF911" w14:textId="77777777" w:rsidTr="00117B5F">
        <w:tc>
          <w:tcPr>
            <w:tcW w:w="0" w:type="auto"/>
            <w:hideMark/>
          </w:tcPr>
          <w:p w14:paraId="76111E21"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Agnuside</w:t>
            </w:r>
            <w:proofErr w:type="spellEnd"/>
          </w:p>
        </w:tc>
        <w:tc>
          <w:tcPr>
            <w:tcW w:w="0" w:type="auto"/>
            <w:hideMark/>
          </w:tcPr>
          <w:p w14:paraId="09BDBD38"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PfATP6</w:t>
            </w:r>
          </w:p>
        </w:tc>
        <w:tc>
          <w:tcPr>
            <w:tcW w:w="0" w:type="auto"/>
            <w:hideMark/>
          </w:tcPr>
          <w:p w14:paraId="4F10D01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-8.4</w:t>
            </w:r>
          </w:p>
        </w:tc>
        <w:tc>
          <w:tcPr>
            <w:tcW w:w="0" w:type="auto"/>
            <w:hideMark/>
          </w:tcPr>
          <w:p w14:paraId="530C6F9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1.3</w:t>
            </w:r>
          </w:p>
        </w:tc>
        <w:tc>
          <w:tcPr>
            <w:tcW w:w="0" w:type="auto"/>
            <w:hideMark/>
          </w:tcPr>
          <w:p w14:paraId="1F215D7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hydrophobic interactions</w:t>
            </w:r>
          </w:p>
        </w:tc>
      </w:tr>
      <w:tr w:rsidR="008B46AE" w:rsidRPr="008B46AE" w14:paraId="65BC8616" w14:textId="77777777" w:rsidTr="00117B5F">
        <w:tc>
          <w:tcPr>
            <w:tcW w:w="0" w:type="auto"/>
            <w:tcBorders>
              <w:bottom w:val="single" w:sz="4" w:space="0" w:color="auto"/>
            </w:tcBorders>
            <w:hideMark/>
          </w:tcPr>
          <w:p w14:paraId="6601D76B"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Casticin</w:t>
            </w:r>
            <w:proofErr w:type="spellEnd"/>
          </w:p>
        </w:tc>
        <w:tc>
          <w:tcPr>
            <w:tcW w:w="0" w:type="auto"/>
            <w:tcBorders>
              <w:bottom w:val="single" w:sz="4" w:space="0" w:color="auto"/>
            </w:tcBorders>
            <w:hideMark/>
          </w:tcPr>
          <w:p w14:paraId="6FB20054" w14:textId="77777777" w:rsidR="008B46AE" w:rsidRPr="008B46AE" w:rsidRDefault="008B46AE" w:rsidP="008B46AE">
            <w:pPr>
              <w:spacing w:line="259" w:lineRule="auto"/>
              <w:jc w:val="both"/>
              <w:rPr>
                <w:rFonts w:ascii="Garamond" w:hAnsi="Garamond"/>
                <w:bCs/>
                <w:iCs/>
                <w:sz w:val="20"/>
                <w:szCs w:val="20"/>
              </w:rPr>
            </w:pP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w:t>
            </w:r>
          </w:p>
        </w:tc>
        <w:tc>
          <w:tcPr>
            <w:tcW w:w="0" w:type="auto"/>
            <w:tcBorders>
              <w:bottom w:val="single" w:sz="4" w:space="0" w:color="auto"/>
            </w:tcBorders>
            <w:hideMark/>
          </w:tcPr>
          <w:p w14:paraId="1AC39C44"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-8.5</w:t>
            </w:r>
          </w:p>
        </w:tc>
        <w:tc>
          <w:tcPr>
            <w:tcW w:w="0" w:type="auto"/>
            <w:tcBorders>
              <w:bottom w:val="single" w:sz="4" w:space="0" w:color="auto"/>
            </w:tcBorders>
            <w:hideMark/>
          </w:tcPr>
          <w:p w14:paraId="5D4E9905"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1.2</w:t>
            </w:r>
          </w:p>
        </w:tc>
        <w:tc>
          <w:tcPr>
            <w:tcW w:w="0" w:type="auto"/>
            <w:tcBorders>
              <w:bottom w:val="single" w:sz="4" w:space="0" w:color="auto"/>
            </w:tcBorders>
            <w:hideMark/>
          </w:tcPr>
          <w:p w14:paraId="2B513720"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Hydrogen bonds, hydrophobic interactions</w:t>
            </w:r>
          </w:p>
        </w:tc>
      </w:tr>
    </w:tbl>
    <w:p w14:paraId="0C70F46E" w14:textId="77777777" w:rsidR="008B46AE" w:rsidRPr="008B46AE" w:rsidRDefault="008B46AE" w:rsidP="008B46AE">
      <w:pPr>
        <w:spacing w:line="259" w:lineRule="auto"/>
        <w:jc w:val="both"/>
        <w:rPr>
          <w:rFonts w:ascii="Garamond" w:hAnsi="Garamond"/>
          <w:bCs/>
          <w:iCs/>
          <w:sz w:val="20"/>
          <w:szCs w:val="20"/>
        </w:rPr>
      </w:pPr>
    </w:p>
    <w:p w14:paraId="645DCBCB" w14:textId="77777777" w:rsidR="008B46AE" w:rsidRPr="008B46AE" w:rsidRDefault="008B46AE" w:rsidP="008B46AE">
      <w:pPr>
        <w:spacing w:line="259" w:lineRule="auto"/>
        <w:jc w:val="both"/>
        <w:rPr>
          <w:rFonts w:ascii="Garamond" w:hAnsi="Garamond"/>
          <w:bCs/>
          <w:iCs/>
          <w:sz w:val="20"/>
          <w:szCs w:val="20"/>
        </w:rPr>
      </w:pPr>
      <w:r w:rsidRPr="008B46AE">
        <w:rPr>
          <w:rFonts w:ascii="Garamond" w:hAnsi="Garamond"/>
          <w:bCs/>
          <w:iCs/>
          <w:sz w:val="20"/>
          <w:szCs w:val="20"/>
        </w:rPr>
        <w:t xml:space="preserve">The docking analysis of various phytoconstituents against their respective target proteins given in table 9 reveals promising insights into potential therapeutic strategies against malaria. </w:t>
      </w:r>
      <w:proofErr w:type="spellStart"/>
      <w:r w:rsidRPr="008B46AE">
        <w:rPr>
          <w:rFonts w:ascii="Garamond" w:hAnsi="Garamond"/>
          <w:bCs/>
          <w:iCs/>
          <w:sz w:val="20"/>
          <w:szCs w:val="20"/>
        </w:rPr>
        <w:t>Echitamine</w:t>
      </w:r>
      <w:proofErr w:type="spellEnd"/>
      <w:r w:rsidRPr="008B46AE">
        <w:rPr>
          <w:rFonts w:ascii="Garamond" w:hAnsi="Garamond"/>
          <w:bCs/>
          <w:iCs/>
          <w:sz w:val="20"/>
          <w:szCs w:val="20"/>
        </w:rPr>
        <w:t xml:space="preserve">, binding strongly to PfATP6 (Figure 2 and Figure 3) with a low docking score and affinity, utilizes hydrogen bonds and hydrophobic interactions, suggesting it could disrupt calcium homeostasis crucial for parasite survival. </w:t>
      </w:r>
      <w:proofErr w:type="spellStart"/>
      <w:r w:rsidRPr="008B46AE">
        <w:rPr>
          <w:rFonts w:ascii="Garamond" w:hAnsi="Garamond"/>
          <w:bCs/>
          <w:iCs/>
          <w:sz w:val="20"/>
          <w:szCs w:val="20"/>
        </w:rPr>
        <w:t>Scholaricine</w:t>
      </w:r>
      <w:proofErr w:type="spellEnd"/>
      <w:r w:rsidRPr="008B46AE">
        <w:rPr>
          <w:rFonts w:ascii="Garamond" w:hAnsi="Garamond"/>
          <w:bCs/>
          <w:iCs/>
          <w:sz w:val="20"/>
          <w:szCs w:val="20"/>
        </w:rPr>
        <w:t xml:space="preserve"> exhibits robust binding to Falcipain-2 through hydrogen bonds and van der Waals interactions, indicating its potential to inhibit this key enzyme involved in hemoglobin degradation essential for Plasmodium nutrition. Berberine and </w:t>
      </w:r>
      <w:proofErr w:type="spellStart"/>
      <w:r w:rsidRPr="008B46AE">
        <w:rPr>
          <w:rFonts w:ascii="Garamond" w:hAnsi="Garamond"/>
          <w:bCs/>
          <w:iCs/>
          <w:sz w:val="20"/>
          <w:szCs w:val="20"/>
        </w:rPr>
        <w:t>Onjisaponin</w:t>
      </w:r>
      <w:proofErr w:type="spellEnd"/>
      <w:r w:rsidRPr="008B46AE">
        <w:rPr>
          <w:rFonts w:ascii="Garamond" w:hAnsi="Garamond"/>
          <w:bCs/>
          <w:iCs/>
          <w:sz w:val="20"/>
          <w:szCs w:val="20"/>
        </w:rPr>
        <w:t xml:space="preserve"> show significant interactions with </w:t>
      </w:r>
      <w:proofErr w:type="spellStart"/>
      <w:r w:rsidRPr="008B46AE">
        <w:rPr>
          <w:rFonts w:ascii="Garamond" w:hAnsi="Garamond"/>
          <w:bCs/>
          <w:iCs/>
          <w:sz w:val="20"/>
          <w:szCs w:val="20"/>
        </w:rPr>
        <w:t>PfDHFR</w:t>
      </w:r>
      <w:proofErr w:type="spellEnd"/>
      <w:r w:rsidRPr="008B46AE">
        <w:rPr>
          <w:rFonts w:ascii="Garamond" w:hAnsi="Garamond"/>
          <w:bCs/>
          <w:iCs/>
          <w:sz w:val="20"/>
          <w:szCs w:val="20"/>
        </w:rPr>
        <w:t xml:space="preserve">-TS, vital for folate synthesis, suggesting they could hinder DNA replication in the parasite. Quercetin and </w:t>
      </w:r>
      <w:proofErr w:type="spellStart"/>
      <w:r w:rsidRPr="008B46AE">
        <w:rPr>
          <w:rFonts w:ascii="Garamond" w:hAnsi="Garamond"/>
          <w:bCs/>
          <w:iCs/>
          <w:sz w:val="20"/>
          <w:szCs w:val="20"/>
        </w:rPr>
        <w:t>Casticin</w:t>
      </w:r>
      <w:proofErr w:type="spellEnd"/>
      <w:r w:rsidRPr="008B46AE">
        <w:rPr>
          <w:rFonts w:ascii="Garamond" w:hAnsi="Garamond"/>
          <w:bCs/>
          <w:iCs/>
          <w:sz w:val="20"/>
          <w:szCs w:val="20"/>
        </w:rPr>
        <w:t xml:space="preserve">, targeting </w:t>
      </w:r>
      <w:proofErr w:type="spellStart"/>
      <w:r w:rsidRPr="008B46AE">
        <w:rPr>
          <w:rFonts w:ascii="Garamond" w:hAnsi="Garamond"/>
          <w:bCs/>
          <w:iCs/>
          <w:sz w:val="20"/>
          <w:szCs w:val="20"/>
        </w:rPr>
        <w:t>Plasmepsin</w:t>
      </w:r>
      <w:proofErr w:type="spellEnd"/>
      <w:r w:rsidRPr="008B46AE">
        <w:rPr>
          <w:rFonts w:ascii="Garamond" w:hAnsi="Garamond"/>
          <w:bCs/>
          <w:iCs/>
          <w:sz w:val="20"/>
          <w:szCs w:val="20"/>
        </w:rPr>
        <w:t xml:space="preserve"> II, demonstrate effective binding via hydrogen bonds and electrostatic interactions, which could impede hemoglobin digestion critical for nutrient acquisition. Overall, these findings highlight diverse molecular mechanisms by which phytoconstituents can potentially disrupt essential biological processes in Plasmodium, providing a foundation for further exploration and development of novel antimalarial therapies</w:t>
      </w:r>
      <w:r w:rsidRPr="008B46AE">
        <w:rPr>
          <w:rFonts w:ascii="Garamond" w:hAnsi="Garamond"/>
          <w:bCs/>
          <w:iCs/>
          <w:sz w:val="20"/>
          <w:szCs w:val="20"/>
          <w:vertAlign w:val="superscript"/>
        </w:rPr>
        <w:t>33</w:t>
      </w:r>
      <w:r w:rsidRPr="008B46AE">
        <w:rPr>
          <w:rFonts w:ascii="Garamond" w:hAnsi="Garamond"/>
          <w:bCs/>
          <w:iCs/>
          <w:sz w:val="20"/>
          <w:szCs w:val="20"/>
        </w:rPr>
        <w:t>.</w:t>
      </w:r>
    </w:p>
    <w:p w14:paraId="7D600E8C" w14:textId="2D7CC69C" w:rsidR="008B46AE" w:rsidRDefault="008B46AE" w:rsidP="008B46AE">
      <w:pPr>
        <w:spacing w:line="259" w:lineRule="auto"/>
        <w:jc w:val="both"/>
        <w:rPr>
          <w:rFonts w:ascii="Garamond" w:hAnsi="Garamond"/>
          <w:bCs/>
          <w:iCs/>
          <w:sz w:val="20"/>
          <w:szCs w:val="20"/>
        </w:rPr>
      </w:pPr>
    </w:p>
    <w:p w14:paraId="029E9B31" w14:textId="14D5D5FA" w:rsidR="00B64E30" w:rsidRDefault="00B64E30" w:rsidP="008B46AE">
      <w:pPr>
        <w:spacing w:line="259" w:lineRule="auto"/>
        <w:jc w:val="both"/>
        <w:rPr>
          <w:rFonts w:ascii="Garamond" w:hAnsi="Garamond"/>
          <w:bCs/>
          <w:iCs/>
          <w:sz w:val="20"/>
          <w:szCs w:val="20"/>
        </w:rPr>
      </w:pPr>
      <w:r w:rsidRPr="008B46AE">
        <w:rPr>
          <w:rFonts w:ascii="Garamond" w:hAnsi="Garamond"/>
          <w:bCs/>
          <w:iCs/>
          <w:noProof/>
          <w:sz w:val="20"/>
          <w:szCs w:val="20"/>
        </w:rPr>
        <w:drawing>
          <wp:anchor distT="0" distB="0" distL="114300" distR="114300" simplePos="0" relativeHeight="251666432" behindDoc="0" locked="0" layoutInCell="1" allowOverlap="1" wp14:anchorId="56C8A0B6" wp14:editId="0E8414A5">
            <wp:simplePos x="0" y="0"/>
            <wp:positionH relativeFrom="column">
              <wp:posOffset>576911</wp:posOffset>
            </wp:positionH>
            <wp:positionV relativeFrom="paragraph">
              <wp:posOffset>55245</wp:posOffset>
            </wp:positionV>
            <wp:extent cx="3617595" cy="2596515"/>
            <wp:effectExtent l="0" t="0" r="1905" b="0"/>
            <wp:wrapThrough wrapText="bothSides">
              <wp:wrapPolygon edited="0">
                <wp:start x="0" y="0"/>
                <wp:lineTo x="0" y="21394"/>
                <wp:lineTo x="21498" y="21394"/>
                <wp:lineTo x="21498" y="0"/>
                <wp:lineTo x="0" y="0"/>
              </wp:wrapPolygon>
            </wp:wrapThrough>
            <wp:docPr id="15189585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17595" cy="25965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285AAFEE" w14:textId="7E9E2A9D" w:rsidR="00B64E30" w:rsidRDefault="00B64E30" w:rsidP="008B46AE">
      <w:pPr>
        <w:spacing w:line="259" w:lineRule="auto"/>
        <w:jc w:val="both"/>
        <w:rPr>
          <w:rFonts w:ascii="Garamond" w:hAnsi="Garamond"/>
          <w:bCs/>
          <w:iCs/>
          <w:sz w:val="20"/>
          <w:szCs w:val="20"/>
        </w:rPr>
      </w:pPr>
    </w:p>
    <w:p w14:paraId="76AA7688" w14:textId="77777777" w:rsidR="00B64E30" w:rsidRDefault="00B64E30" w:rsidP="008B46AE">
      <w:pPr>
        <w:spacing w:line="259" w:lineRule="auto"/>
        <w:jc w:val="both"/>
        <w:rPr>
          <w:rFonts w:ascii="Garamond" w:hAnsi="Garamond"/>
          <w:bCs/>
          <w:iCs/>
          <w:sz w:val="20"/>
          <w:szCs w:val="20"/>
        </w:rPr>
      </w:pPr>
    </w:p>
    <w:p w14:paraId="77351125" w14:textId="732478BF" w:rsidR="00B64E30" w:rsidRDefault="00B64E30" w:rsidP="008B46AE">
      <w:pPr>
        <w:spacing w:line="259" w:lineRule="auto"/>
        <w:jc w:val="both"/>
        <w:rPr>
          <w:rFonts w:ascii="Garamond" w:hAnsi="Garamond"/>
          <w:bCs/>
          <w:iCs/>
          <w:sz w:val="20"/>
          <w:szCs w:val="20"/>
        </w:rPr>
      </w:pPr>
    </w:p>
    <w:p w14:paraId="2736FE34" w14:textId="77777777" w:rsidR="00B64E30" w:rsidRDefault="00B64E30" w:rsidP="008B46AE">
      <w:pPr>
        <w:spacing w:line="259" w:lineRule="auto"/>
        <w:jc w:val="both"/>
        <w:rPr>
          <w:rFonts w:ascii="Garamond" w:hAnsi="Garamond"/>
          <w:bCs/>
          <w:iCs/>
          <w:sz w:val="20"/>
          <w:szCs w:val="20"/>
        </w:rPr>
      </w:pPr>
    </w:p>
    <w:p w14:paraId="662A0B52" w14:textId="77777777" w:rsidR="00B64E30" w:rsidRDefault="00B64E30" w:rsidP="008B46AE">
      <w:pPr>
        <w:spacing w:line="259" w:lineRule="auto"/>
        <w:jc w:val="both"/>
        <w:rPr>
          <w:rFonts w:ascii="Garamond" w:hAnsi="Garamond"/>
          <w:bCs/>
          <w:iCs/>
          <w:sz w:val="20"/>
          <w:szCs w:val="20"/>
        </w:rPr>
      </w:pPr>
    </w:p>
    <w:p w14:paraId="28A7FD7A" w14:textId="77777777" w:rsidR="00B64E30" w:rsidRDefault="00B64E30" w:rsidP="008B46AE">
      <w:pPr>
        <w:spacing w:line="259" w:lineRule="auto"/>
        <w:jc w:val="both"/>
        <w:rPr>
          <w:rFonts w:ascii="Garamond" w:hAnsi="Garamond"/>
          <w:bCs/>
          <w:iCs/>
          <w:sz w:val="20"/>
          <w:szCs w:val="20"/>
        </w:rPr>
      </w:pPr>
    </w:p>
    <w:p w14:paraId="4493A9D0" w14:textId="77777777" w:rsidR="00B64E30" w:rsidRDefault="00B64E30" w:rsidP="008B46AE">
      <w:pPr>
        <w:spacing w:line="259" w:lineRule="auto"/>
        <w:jc w:val="both"/>
        <w:rPr>
          <w:rFonts w:ascii="Garamond" w:hAnsi="Garamond"/>
          <w:bCs/>
          <w:iCs/>
          <w:sz w:val="20"/>
          <w:szCs w:val="20"/>
        </w:rPr>
      </w:pPr>
    </w:p>
    <w:p w14:paraId="77C5E97B" w14:textId="77777777" w:rsidR="00B64E30" w:rsidRDefault="00B64E30" w:rsidP="008B46AE">
      <w:pPr>
        <w:spacing w:line="259" w:lineRule="auto"/>
        <w:jc w:val="both"/>
        <w:rPr>
          <w:rFonts w:ascii="Garamond" w:hAnsi="Garamond"/>
          <w:bCs/>
          <w:iCs/>
          <w:sz w:val="20"/>
          <w:szCs w:val="20"/>
        </w:rPr>
      </w:pPr>
    </w:p>
    <w:p w14:paraId="0E26D50B" w14:textId="4572EBCC" w:rsidR="00B64E30" w:rsidRDefault="00B64E30" w:rsidP="008B46AE">
      <w:pPr>
        <w:spacing w:line="259" w:lineRule="auto"/>
        <w:jc w:val="both"/>
        <w:rPr>
          <w:rFonts w:ascii="Garamond" w:hAnsi="Garamond"/>
          <w:bCs/>
          <w:iCs/>
          <w:sz w:val="20"/>
          <w:szCs w:val="20"/>
        </w:rPr>
      </w:pPr>
    </w:p>
    <w:p w14:paraId="44BF34D1" w14:textId="77777777" w:rsidR="00B64E30" w:rsidRDefault="00B64E30" w:rsidP="008B46AE">
      <w:pPr>
        <w:spacing w:line="259" w:lineRule="auto"/>
        <w:jc w:val="both"/>
        <w:rPr>
          <w:rFonts w:ascii="Garamond" w:hAnsi="Garamond"/>
          <w:bCs/>
          <w:iCs/>
          <w:sz w:val="20"/>
          <w:szCs w:val="20"/>
        </w:rPr>
      </w:pPr>
    </w:p>
    <w:p w14:paraId="783E3953" w14:textId="77777777" w:rsidR="00B64E30" w:rsidRDefault="00B64E30" w:rsidP="008B46AE">
      <w:pPr>
        <w:spacing w:line="259" w:lineRule="auto"/>
        <w:jc w:val="both"/>
        <w:rPr>
          <w:rFonts w:ascii="Garamond" w:hAnsi="Garamond"/>
          <w:bCs/>
          <w:iCs/>
          <w:sz w:val="20"/>
          <w:szCs w:val="20"/>
        </w:rPr>
      </w:pPr>
    </w:p>
    <w:p w14:paraId="16D4493E" w14:textId="77777777" w:rsidR="00B64E30" w:rsidRDefault="00B64E30" w:rsidP="008B46AE">
      <w:pPr>
        <w:spacing w:line="259" w:lineRule="auto"/>
        <w:jc w:val="both"/>
        <w:rPr>
          <w:rFonts w:ascii="Garamond" w:hAnsi="Garamond"/>
          <w:bCs/>
          <w:iCs/>
          <w:sz w:val="20"/>
          <w:szCs w:val="20"/>
        </w:rPr>
      </w:pPr>
    </w:p>
    <w:p w14:paraId="1CB8CFD6" w14:textId="77777777" w:rsidR="00B64E30" w:rsidRDefault="00B64E30" w:rsidP="008B46AE">
      <w:pPr>
        <w:spacing w:line="259" w:lineRule="auto"/>
        <w:jc w:val="both"/>
        <w:rPr>
          <w:rFonts w:ascii="Garamond" w:hAnsi="Garamond"/>
          <w:bCs/>
          <w:iCs/>
          <w:sz w:val="20"/>
          <w:szCs w:val="20"/>
        </w:rPr>
      </w:pPr>
    </w:p>
    <w:p w14:paraId="1233239A" w14:textId="77777777" w:rsidR="00B64E30" w:rsidRDefault="00B64E30" w:rsidP="008B46AE">
      <w:pPr>
        <w:spacing w:line="259" w:lineRule="auto"/>
        <w:jc w:val="both"/>
        <w:rPr>
          <w:rFonts w:ascii="Garamond" w:hAnsi="Garamond"/>
          <w:bCs/>
          <w:iCs/>
          <w:sz w:val="20"/>
          <w:szCs w:val="20"/>
        </w:rPr>
      </w:pPr>
    </w:p>
    <w:p w14:paraId="6D3F56F1" w14:textId="77777777" w:rsidR="00B64E30" w:rsidRDefault="00B64E30" w:rsidP="008B46AE">
      <w:pPr>
        <w:spacing w:line="259" w:lineRule="auto"/>
        <w:jc w:val="both"/>
        <w:rPr>
          <w:rFonts w:ascii="Garamond" w:hAnsi="Garamond"/>
          <w:bCs/>
          <w:iCs/>
          <w:sz w:val="20"/>
          <w:szCs w:val="20"/>
        </w:rPr>
      </w:pPr>
    </w:p>
    <w:p w14:paraId="758E3AA3" w14:textId="77777777" w:rsidR="00B64E30" w:rsidRDefault="00B64E30" w:rsidP="008B46AE">
      <w:pPr>
        <w:spacing w:line="259" w:lineRule="auto"/>
        <w:jc w:val="both"/>
        <w:rPr>
          <w:rFonts w:ascii="Garamond" w:hAnsi="Garamond"/>
          <w:bCs/>
          <w:iCs/>
          <w:sz w:val="20"/>
          <w:szCs w:val="20"/>
        </w:rPr>
      </w:pPr>
    </w:p>
    <w:p w14:paraId="1A83507C" w14:textId="77777777" w:rsidR="00B64E30" w:rsidRPr="008B46AE" w:rsidRDefault="00B64E30" w:rsidP="008B46AE">
      <w:pPr>
        <w:spacing w:line="259" w:lineRule="auto"/>
        <w:jc w:val="both"/>
        <w:rPr>
          <w:rFonts w:ascii="Garamond" w:hAnsi="Garamond"/>
          <w:bCs/>
          <w:iCs/>
          <w:sz w:val="20"/>
          <w:szCs w:val="20"/>
        </w:rPr>
      </w:pPr>
    </w:p>
    <w:p w14:paraId="691B0EF6" w14:textId="094DF8F2" w:rsidR="008B46AE" w:rsidRPr="008B46AE" w:rsidRDefault="008B46AE" w:rsidP="008B46AE">
      <w:pPr>
        <w:spacing w:line="259" w:lineRule="auto"/>
        <w:jc w:val="both"/>
        <w:rPr>
          <w:rFonts w:ascii="Garamond" w:hAnsi="Garamond"/>
          <w:b/>
          <w:bCs/>
          <w:iCs/>
          <w:sz w:val="20"/>
          <w:szCs w:val="20"/>
        </w:rPr>
      </w:pPr>
      <w:r w:rsidRPr="008B46AE">
        <w:rPr>
          <w:rFonts w:ascii="Garamond" w:hAnsi="Garamond"/>
          <w:b/>
          <w:bCs/>
          <w:iCs/>
          <w:sz w:val="20"/>
          <w:szCs w:val="20"/>
        </w:rPr>
        <w:t>Figure 2: Protein structure of Falcipain-2</w:t>
      </w:r>
    </w:p>
    <w:p w14:paraId="4D50FBC6" w14:textId="4CB6074B" w:rsidR="00B64E30" w:rsidRPr="00B64E30" w:rsidRDefault="008B46AE" w:rsidP="00B64E30">
      <w:pPr>
        <w:spacing w:line="259" w:lineRule="auto"/>
        <w:jc w:val="both"/>
        <w:rPr>
          <w:rFonts w:ascii="Garamond" w:hAnsi="Garamond"/>
          <w:iCs/>
          <w:sz w:val="20"/>
          <w:szCs w:val="20"/>
        </w:rPr>
      </w:pPr>
      <w:r w:rsidRPr="008B46AE">
        <w:rPr>
          <w:rFonts w:ascii="Garamond" w:hAnsi="Garamond"/>
          <w:bCs/>
          <w:iCs/>
          <w:noProof/>
          <w:sz w:val="20"/>
          <w:szCs w:val="20"/>
        </w:rPr>
        <w:lastRenderedPageBreak/>
        <w:drawing>
          <wp:anchor distT="0" distB="0" distL="114300" distR="114300" simplePos="0" relativeHeight="251667456" behindDoc="0" locked="0" layoutInCell="1" allowOverlap="1" wp14:anchorId="5DEC8A12" wp14:editId="152BCF22">
            <wp:simplePos x="0" y="0"/>
            <wp:positionH relativeFrom="column">
              <wp:posOffset>19050</wp:posOffset>
            </wp:positionH>
            <wp:positionV relativeFrom="paragraph">
              <wp:posOffset>118441</wp:posOffset>
            </wp:positionV>
            <wp:extent cx="5931535" cy="3212465"/>
            <wp:effectExtent l="0" t="0" r="0" b="6985"/>
            <wp:wrapThrough wrapText="bothSides">
              <wp:wrapPolygon edited="0">
                <wp:start x="0" y="0"/>
                <wp:lineTo x="0" y="21519"/>
                <wp:lineTo x="21505" y="21519"/>
                <wp:lineTo x="21505"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1535" cy="32124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B64E30" w:rsidRPr="00B64E30">
        <w:rPr>
          <w:rFonts w:ascii="Garamond" w:hAnsi="Garamond"/>
          <w:b/>
          <w:bCs/>
          <w:iCs/>
          <w:sz w:val="20"/>
          <w:szCs w:val="20"/>
        </w:rPr>
        <w:t xml:space="preserve">Figure 3: </w:t>
      </w:r>
      <w:r w:rsidR="00B64E30" w:rsidRPr="00B64E30">
        <w:rPr>
          <w:rFonts w:ascii="Garamond" w:hAnsi="Garamond"/>
          <w:iCs/>
          <w:sz w:val="20"/>
          <w:szCs w:val="20"/>
        </w:rPr>
        <w:t xml:space="preserve">Interactions of </w:t>
      </w:r>
      <w:proofErr w:type="spellStart"/>
      <w:r w:rsidR="00B64E30" w:rsidRPr="00B64E30">
        <w:rPr>
          <w:rFonts w:ascii="Garamond" w:hAnsi="Garamond"/>
          <w:iCs/>
          <w:sz w:val="20"/>
          <w:szCs w:val="20"/>
        </w:rPr>
        <w:t>Echitamine</w:t>
      </w:r>
      <w:proofErr w:type="spellEnd"/>
      <w:r w:rsidR="00B64E30" w:rsidRPr="00B64E30">
        <w:rPr>
          <w:rFonts w:ascii="Garamond" w:hAnsi="Garamond"/>
          <w:iCs/>
          <w:sz w:val="20"/>
          <w:szCs w:val="20"/>
        </w:rPr>
        <w:t xml:space="preserve"> with Falcipain-2</w:t>
      </w:r>
    </w:p>
    <w:p w14:paraId="7C18B802" w14:textId="77777777" w:rsidR="00B64E30" w:rsidRDefault="00B64E30" w:rsidP="003D02D5">
      <w:pPr>
        <w:spacing w:line="259" w:lineRule="auto"/>
        <w:jc w:val="both"/>
        <w:rPr>
          <w:rFonts w:ascii="Garamond" w:hAnsi="Garamond"/>
          <w:iCs/>
          <w:sz w:val="20"/>
          <w:szCs w:val="20"/>
        </w:rPr>
        <w:sectPr w:rsidR="00B64E30" w:rsidSect="008B46AE">
          <w:pgSz w:w="12240" w:h="15840"/>
          <w:pgMar w:top="1440" w:right="1440" w:bottom="1440" w:left="1440" w:header="720" w:footer="720" w:gutter="0"/>
          <w:cols w:space="720"/>
          <w:titlePg/>
          <w:docGrid w:linePitch="360"/>
        </w:sectPr>
      </w:pPr>
    </w:p>
    <w:p w14:paraId="4F663D54" w14:textId="77777777" w:rsidR="00B64E30" w:rsidRDefault="00B64E30" w:rsidP="00B64E30">
      <w:pPr>
        <w:spacing w:line="259" w:lineRule="auto"/>
        <w:jc w:val="both"/>
        <w:rPr>
          <w:rFonts w:ascii="Garamond" w:hAnsi="Garamond"/>
          <w:b/>
          <w:bCs/>
          <w:iCs/>
          <w:sz w:val="20"/>
          <w:szCs w:val="20"/>
        </w:rPr>
      </w:pPr>
    </w:p>
    <w:p w14:paraId="0999196B" w14:textId="6A941E95" w:rsidR="00B64E30" w:rsidRPr="00B64E30" w:rsidRDefault="00B64E30" w:rsidP="00B64E30">
      <w:pPr>
        <w:spacing w:line="259" w:lineRule="auto"/>
        <w:jc w:val="both"/>
        <w:rPr>
          <w:rFonts w:ascii="Garamond" w:hAnsi="Garamond"/>
          <w:b/>
          <w:bCs/>
          <w:iCs/>
          <w:sz w:val="20"/>
          <w:szCs w:val="20"/>
        </w:rPr>
      </w:pPr>
      <w:r w:rsidRPr="00B64E30">
        <w:rPr>
          <w:rFonts w:ascii="Garamond" w:hAnsi="Garamond"/>
          <w:b/>
          <w:bCs/>
          <w:iCs/>
          <w:sz w:val="20"/>
          <w:szCs w:val="20"/>
        </w:rPr>
        <w:t>Implications of the findings</w:t>
      </w:r>
    </w:p>
    <w:p w14:paraId="5170DBCC" w14:textId="77777777" w:rsidR="00B64E30" w:rsidRPr="00B64E30" w:rsidRDefault="00B64E30" w:rsidP="00B64E30">
      <w:pPr>
        <w:spacing w:line="259" w:lineRule="auto"/>
        <w:jc w:val="both"/>
        <w:rPr>
          <w:rFonts w:ascii="Garamond" w:hAnsi="Garamond"/>
          <w:iCs/>
          <w:sz w:val="20"/>
          <w:szCs w:val="20"/>
        </w:rPr>
      </w:pPr>
      <w:r w:rsidRPr="00B64E30">
        <w:rPr>
          <w:rFonts w:ascii="Garamond" w:hAnsi="Garamond"/>
          <w:iCs/>
          <w:sz w:val="20"/>
          <w:szCs w:val="20"/>
        </w:rPr>
        <w:t>The findings of this study underscore the potential of phytoconstituents as promising antimalarial agents, leveraging their diverse mechanisms of action, strong binding affinities, and favorable pharmacokinetic properties. The identification of key targets such as falcipain-2 and PfATP6 highlights critical pathways for therapeutic intervention, while enrichment analysis supports their role in disrupting essential Plasmodium functions. These insights pave the way for further preclinical and clinical research to validate efficacy, optimize formulations, and explore potential synergy with existing antimalarial therapies, ultimately contributing to the development of sustainable treatment strategies against malaria.</w:t>
      </w:r>
    </w:p>
    <w:p w14:paraId="0F94A63E" w14:textId="77777777" w:rsidR="00B64E30" w:rsidRDefault="00B64E30" w:rsidP="00B64E30">
      <w:pPr>
        <w:spacing w:line="259" w:lineRule="auto"/>
        <w:jc w:val="both"/>
        <w:rPr>
          <w:rFonts w:ascii="Garamond" w:hAnsi="Garamond"/>
          <w:b/>
          <w:bCs/>
          <w:iCs/>
          <w:sz w:val="20"/>
          <w:szCs w:val="20"/>
        </w:rPr>
      </w:pPr>
    </w:p>
    <w:p w14:paraId="71AD12F6" w14:textId="204B9B61" w:rsidR="00B64E30" w:rsidRPr="00B64E30" w:rsidRDefault="00B64E30" w:rsidP="00B64E30">
      <w:pPr>
        <w:spacing w:line="259" w:lineRule="auto"/>
        <w:jc w:val="both"/>
        <w:rPr>
          <w:rFonts w:ascii="Garamond" w:hAnsi="Garamond"/>
          <w:b/>
          <w:bCs/>
          <w:iCs/>
          <w:sz w:val="20"/>
          <w:szCs w:val="20"/>
        </w:rPr>
      </w:pPr>
      <w:r w:rsidRPr="00B64E30">
        <w:rPr>
          <w:rFonts w:ascii="Garamond" w:hAnsi="Garamond"/>
          <w:b/>
          <w:bCs/>
          <w:iCs/>
          <w:sz w:val="20"/>
          <w:szCs w:val="20"/>
        </w:rPr>
        <w:t>Strengths and limitations</w:t>
      </w:r>
    </w:p>
    <w:p w14:paraId="17BD5477" w14:textId="77777777" w:rsidR="00B64E30" w:rsidRPr="00B64E30" w:rsidRDefault="00B64E30" w:rsidP="00B64E30">
      <w:pPr>
        <w:spacing w:line="259" w:lineRule="auto"/>
        <w:jc w:val="both"/>
        <w:rPr>
          <w:rFonts w:ascii="Garamond" w:hAnsi="Garamond"/>
          <w:iCs/>
          <w:sz w:val="20"/>
          <w:szCs w:val="20"/>
        </w:rPr>
      </w:pPr>
      <w:r w:rsidRPr="00B64E30">
        <w:rPr>
          <w:rFonts w:ascii="Garamond" w:hAnsi="Garamond"/>
          <w:iCs/>
          <w:sz w:val="20"/>
          <w:szCs w:val="20"/>
        </w:rPr>
        <w:t>This study integrates network pharmacology, molecular docking, and ADMET analysis to identify promising antimalarial phytoconstituents. While computational predictions highlight multi-target interactions and favorable pharmacokinetics, experimental validation is needed to confirm efficacy and address potential bioavailability or toxicity concerns.</w:t>
      </w:r>
    </w:p>
    <w:p w14:paraId="166D3C69" w14:textId="77777777" w:rsidR="00117B5F" w:rsidRDefault="00117B5F" w:rsidP="00B64E30">
      <w:pPr>
        <w:spacing w:line="259" w:lineRule="auto"/>
        <w:jc w:val="both"/>
        <w:rPr>
          <w:rFonts w:ascii="Garamond" w:hAnsi="Garamond"/>
          <w:b/>
          <w:bCs/>
          <w:iCs/>
          <w:sz w:val="20"/>
          <w:szCs w:val="20"/>
        </w:rPr>
      </w:pPr>
    </w:p>
    <w:p w14:paraId="555E1EB0" w14:textId="644717E9" w:rsidR="00B64E30" w:rsidRPr="00B64E30" w:rsidRDefault="00B64E30" w:rsidP="00B64E30">
      <w:pPr>
        <w:spacing w:line="259" w:lineRule="auto"/>
        <w:jc w:val="both"/>
        <w:rPr>
          <w:rFonts w:ascii="Garamond" w:hAnsi="Garamond"/>
          <w:iCs/>
          <w:sz w:val="20"/>
          <w:szCs w:val="20"/>
        </w:rPr>
      </w:pPr>
      <w:r w:rsidRPr="00B64E30">
        <w:rPr>
          <w:rFonts w:ascii="Garamond" w:hAnsi="Garamond"/>
          <w:b/>
          <w:bCs/>
          <w:iCs/>
          <w:sz w:val="20"/>
          <w:szCs w:val="20"/>
        </w:rPr>
        <w:t>CONCLUSION</w:t>
      </w:r>
    </w:p>
    <w:p w14:paraId="16CC2E64" w14:textId="77777777" w:rsidR="00B64E30" w:rsidRPr="00B64E30" w:rsidRDefault="00B64E30" w:rsidP="00B64E30">
      <w:pPr>
        <w:spacing w:line="259" w:lineRule="auto"/>
        <w:jc w:val="both"/>
        <w:rPr>
          <w:rFonts w:ascii="Garamond" w:hAnsi="Garamond"/>
          <w:iCs/>
          <w:sz w:val="20"/>
          <w:szCs w:val="20"/>
        </w:rPr>
      </w:pPr>
      <w:r w:rsidRPr="00B64E30">
        <w:rPr>
          <w:rFonts w:ascii="Garamond" w:hAnsi="Garamond"/>
          <w:iCs/>
          <w:sz w:val="20"/>
          <w:szCs w:val="20"/>
        </w:rPr>
        <w:t xml:space="preserve">The comprehensive analysis highlights the potential of phytoconstituents such as </w:t>
      </w:r>
      <w:proofErr w:type="spellStart"/>
      <w:r w:rsidRPr="00B64E30">
        <w:rPr>
          <w:rFonts w:ascii="Garamond" w:hAnsi="Garamond"/>
          <w:iCs/>
          <w:sz w:val="20"/>
          <w:szCs w:val="20"/>
        </w:rPr>
        <w:t>echitamine</w:t>
      </w:r>
      <w:proofErr w:type="spellEnd"/>
      <w:r w:rsidRPr="00B64E30">
        <w:rPr>
          <w:rFonts w:ascii="Garamond" w:hAnsi="Garamond"/>
          <w:iCs/>
          <w:sz w:val="20"/>
          <w:szCs w:val="20"/>
        </w:rPr>
        <w:t>, berberine, quercetin, and artemisinin as effective antimalarial agents through diverse mechanisms, including enzyme inhibition, disruption of calcium homeostasis, and modulation of drug resistance pathways. Strong molecular docking affinities, favorable ADME profiles, and network analysis reinforce their therapeutic relevance by targeting critical Plasmodium proteins like falcipain-2 and PfATP6. Enrichment studies further validate their pharmacological potential, emphasizing their role in disrupting essential parasite functions. These findings underscore the need for further preclinical and clinical validation to optimize formulations, assess efficacy, and ensure safety, ultimately advancing phytoconstituents as promising candidates for novel, sustainable antimalarial therapies.</w:t>
      </w:r>
    </w:p>
    <w:p w14:paraId="0A83C7DB" w14:textId="77777777" w:rsidR="00B64E30" w:rsidRDefault="00B64E30" w:rsidP="00B64E30">
      <w:pPr>
        <w:spacing w:line="259" w:lineRule="auto"/>
        <w:jc w:val="both"/>
        <w:rPr>
          <w:rFonts w:ascii="Garamond" w:hAnsi="Garamond"/>
          <w:b/>
          <w:bCs/>
          <w:iCs/>
          <w:sz w:val="20"/>
          <w:szCs w:val="20"/>
        </w:rPr>
      </w:pPr>
    </w:p>
    <w:p w14:paraId="759DEC35" w14:textId="0E984EA0" w:rsidR="00B64E30" w:rsidRPr="00B64E30" w:rsidRDefault="00B64E30" w:rsidP="00B64E30">
      <w:pPr>
        <w:spacing w:line="259" w:lineRule="auto"/>
        <w:jc w:val="both"/>
        <w:rPr>
          <w:rFonts w:ascii="Garamond" w:hAnsi="Garamond"/>
          <w:iCs/>
          <w:sz w:val="20"/>
          <w:szCs w:val="20"/>
        </w:rPr>
      </w:pPr>
      <w:r w:rsidRPr="00117B5F">
        <w:rPr>
          <w:rFonts w:ascii="Garamond" w:hAnsi="Garamond"/>
          <w:b/>
          <w:bCs/>
          <w:i/>
          <w:sz w:val="20"/>
          <w:szCs w:val="20"/>
        </w:rPr>
        <w:t>Conflict of Interest</w:t>
      </w:r>
      <w:r>
        <w:rPr>
          <w:rFonts w:ascii="Garamond" w:hAnsi="Garamond"/>
          <w:b/>
          <w:bCs/>
          <w:iCs/>
          <w:sz w:val="20"/>
          <w:szCs w:val="20"/>
        </w:rPr>
        <w:t xml:space="preserve">: </w:t>
      </w:r>
      <w:r w:rsidRPr="00B64E30">
        <w:rPr>
          <w:rFonts w:ascii="Garamond" w:hAnsi="Garamond"/>
          <w:iCs/>
          <w:sz w:val="20"/>
          <w:szCs w:val="20"/>
        </w:rPr>
        <w:t xml:space="preserve">The authors declare that they have no conflict of interest. </w:t>
      </w:r>
    </w:p>
    <w:p w14:paraId="6EA75E1D" w14:textId="2546FF61" w:rsidR="00B64E30" w:rsidRPr="00B64E30" w:rsidRDefault="00B64E30" w:rsidP="00B64E30">
      <w:pPr>
        <w:spacing w:line="259" w:lineRule="auto"/>
        <w:jc w:val="both"/>
        <w:rPr>
          <w:rFonts w:ascii="Garamond" w:hAnsi="Garamond"/>
          <w:iCs/>
          <w:sz w:val="20"/>
          <w:szCs w:val="20"/>
        </w:rPr>
      </w:pPr>
      <w:r w:rsidRPr="00117B5F">
        <w:rPr>
          <w:rFonts w:ascii="Garamond" w:hAnsi="Garamond"/>
          <w:b/>
          <w:bCs/>
          <w:i/>
          <w:sz w:val="20"/>
          <w:szCs w:val="20"/>
        </w:rPr>
        <w:t>Ethical Considerations</w:t>
      </w:r>
      <w:r>
        <w:rPr>
          <w:rFonts w:ascii="Garamond" w:hAnsi="Garamond"/>
          <w:b/>
          <w:bCs/>
          <w:iCs/>
          <w:sz w:val="20"/>
          <w:szCs w:val="20"/>
        </w:rPr>
        <w:t xml:space="preserve">: </w:t>
      </w:r>
      <w:r w:rsidRPr="00B64E30">
        <w:rPr>
          <w:rFonts w:ascii="Garamond" w:hAnsi="Garamond"/>
          <w:iCs/>
          <w:sz w:val="20"/>
          <w:szCs w:val="20"/>
        </w:rPr>
        <w:t>Not Applicable</w:t>
      </w:r>
    </w:p>
    <w:p w14:paraId="16C530E0" w14:textId="040CFB96" w:rsidR="00B64E30" w:rsidRPr="00B64E30" w:rsidRDefault="00B64E30" w:rsidP="00B64E30">
      <w:pPr>
        <w:spacing w:line="259" w:lineRule="auto"/>
        <w:jc w:val="both"/>
        <w:rPr>
          <w:rFonts w:ascii="Garamond" w:hAnsi="Garamond"/>
          <w:iCs/>
          <w:sz w:val="20"/>
          <w:szCs w:val="20"/>
        </w:rPr>
      </w:pPr>
      <w:r w:rsidRPr="00117B5F">
        <w:rPr>
          <w:rFonts w:ascii="Garamond" w:hAnsi="Garamond"/>
          <w:b/>
          <w:bCs/>
          <w:i/>
          <w:sz w:val="20"/>
          <w:szCs w:val="20"/>
        </w:rPr>
        <w:t>Authors Contributions</w:t>
      </w:r>
      <w:r>
        <w:rPr>
          <w:rFonts w:ascii="Garamond" w:hAnsi="Garamond"/>
          <w:b/>
          <w:bCs/>
          <w:iCs/>
          <w:sz w:val="20"/>
          <w:szCs w:val="20"/>
        </w:rPr>
        <w:t xml:space="preserve">: </w:t>
      </w:r>
      <w:r w:rsidRPr="00B64E30">
        <w:rPr>
          <w:rFonts w:ascii="Garamond" w:hAnsi="Garamond"/>
          <w:iCs/>
          <w:sz w:val="20"/>
          <w:szCs w:val="20"/>
        </w:rPr>
        <w:t>SB, MB: Conceptualization</w:t>
      </w:r>
    </w:p>
    <w:p w14:paraId="21731D0C" w14:textId="21B6D2C9" w:rsidR="00B64E30" w:rsidRPr="00B64E30" w:rsidRDefault="00B64E30" w:rsidP="00B64E30">
      <w:pPr>
        <w:spacing w:line="259" w:lineRule="auto"/>
        <w:jc w:val="both"/>
        <w:rPr>
          <w:rFonts w:ascii="Garamond" w:hAnsi="Garamond"/>
          <w:iCs/>
          <w:sz w:val="20"/>
          <w:szCs w:val="20"/>
        </w:rPr>
      </w:pPr>
      <w:r w:rsidRPr="00B64E30">
        <w:rPr>
          <w:rFonts w:ascii="Garamond" w:hAnsi="Garamond"/>
          <w:iCs/>
          <w:sz w:val="20"/>
          <w:szCs w:val="20"/>
        </w:rPr>
        <w:t>RS, LP: Research Protocol Designing and Experimental Study</w:t>
      </w:r>
      <w:r>
        <w:rPr>
          <w:rFonts w:ascii="Garamond" w:hAnsi="Garamond"/>
          <w:iCs/>
          <w:sz w:val="20"/>
          <w:szCs w:val="20"/>
        </w:rPr>
        <w:t xml:space="preserve"> </w:t>
      </w:r>
      <w:r w:rsidRPr="00B64E30">
        <w:rPr>
          <w:rFonts w:ascii="Garamond" w:hAnsi="Garamond"/>
          <w:iCs/>
          <w:sz w:val="20"/>
          <w:szCs w:val="20"/>
        </w:rPr>
        <w:t>SM, HT: Writing Drafting</w:t>
      </w:r>
      <w:r w:rsidR="00440E6B">
        <w:rPr>
          <w:rFonts w:ascii="Garamond" w:hAnsi="Garamond"/>
          <w:iCs/>
          <w:sz w:val="20"/>
          <w:szCs w:val="20"/>
        </w:rPr>
        <w:t xml:space="preserve">, </w:t>
      </w:r>
      <w:r w:rsidR="00440E6B" w:rsidRPr="004D35EA">
        <w:rPr>
          <w:rFonts w:ascii="Garamond" w:hAnsi="Garamond" w:cs="Times New Roman"/>
          <w:sz w:val="20"/>
          <w:szCs w:val="20"/>
        </w:rPr>
        <w:t>NB: Revisions</w:t>
      </w:r>
    </w:p>
    <w:p w14:paraId="7C60F425" w14:textId="77777777" w:rsidR="00B64E30" w:rsidRDefault="00B64E30" w:rsidP="00B64E30">
      <w:pPr>
        <w:spacing w:line="259" w:lineRule="auto"/>
        <w:jc w:val="both"/>
        <w:rPr>
          <w:rFonts w:ascii="Garamond" w:hAnsi="Garamond"/>
          <w:b/>
          <w:bCs/>
          <w:iCs/>
          <w:sz w:val="20"/>
          <w:szCs w:val="20"/>
        </w:rPr>
      </w:pPr>
    </w:p>
    <w:p w14:paraId="790FA6F6" w14:textId="72F7ACD3" w:rsidR="00B64E30" w:rsidRPr="00440E6B" w:rsidRDefault="00B64E30" w:rsidP="00B64E30">
      <w:pPr>
        <w:spacing w:line="259" w:lineRule="auto"/>
        <w:jc w:val="both"/>
        <w:rPr>
          <w:rFonts w:ascii="Garamond" w:hAnsi="Garamond"/>
          <w:iCs/>
          <w:sz w:val="20"/>
          <w:szCs w:val="20"/>
        </w:rPr>
      </w:pPr>
      <w:r w:rsidRPr="00117B5F">
        <w:rPr>
          <w:rFonts w:ascii="Garamond" w:hAnsi="Garamond"/>
          <w:b/>
          <w:bCs/>
          <w:i/>
          <w:sz w:val="20"/>
          <w:szCs w:val="20"/>
        </w:rPr>
        <w:lastRenderedPageBreak/>
        <w:t>Acknowledgements</w:t>
      </w:r>
      <w:r w:rsidR="00117B5F">
        <w:rPr>
          <w:rFonts w:ascii="Garamond" w:hAnsi="Garamond"/>
          <w:b/>
          <w:bCs/>
          <w:i/>
          <w:sz w:val="20"/>
          <w:szCs w:val="20"/>
        </w:rPr>
        <w:t xml:space="preserve">: </w:t>
      </w:r>
      <w:r w:rsidRPr="00B64E30">
        <w:rPr>
          <w:rFonts w:ascii="Garamond" w:hAnsi="Garamond"/>
          <w:iCs/>
          <w:sz w:val="20"/>
          <w:szCs w:val="20"/>
        </w:rPr>
        <w:t xml:space="preserve">The authors are thankful to the unknown reviewers of the journal for their valuable suggestions and time in peer review of this manuscript. </w:t>
      </w:r>
    </w:p>
    <w:p w14:paraId="5ED5DFE8" w14:textId="6F32D285" w:rsidR="00B64E30" w:rsidRPr="00B64E30" w:rsidRDefault="00B64E30" w:rsidP="00B64E30">
      <w:pPr>
        <w:spacing w:line="259" w:lineRule="auto"/>
        <w:jc w:val="both"/>
        <w:rPr>
          <w:rFonts w:ascii="Garamond" w:hAnsi="Garamond"/>
          <w:iCs/>
          <w:sz w:val="20"/>
          <w:szCs w:val="20"/>
        </w:rPr>
      </w:pPr>
      <w:r w:rsidRPr="00117B5F">
        <w:rPr>
          <w:rFonts w:ascii="Garamond" w:hAnsi="Garamond"/>
          <w:b/>
          <w:bCs/>
          <w:i/>
          <w:sz w:val="20"/>
          <w:szCs w:val="20"/>
        </w:rPr>
        <w:t>Funding</w:t>
      </w:r>
      <w:r w:rsidR="00117B5F">
        <w:rPr>
          <w:rFonts w:ascii="Garamond" w:hAnsi="Garamond"/>
          <w:b/>
          <w:bCs/>
          <w:i/>
          <w:sz w:val="20"/>
          <w:szCs w:val="20"/>
        </w:rPr>
        <w:t xml:space="preserve">: </w:t>
      </w:r>
      <w:r w:rsidRPr="00B64E30">
        <w:rPr>
          <w:rFonts w:ascii="Garamond" w:hAnsi="Garamond"/>
          <w:iCs/>
          <w:sz w:val="20"/>
          <w:szCs w:val="20"/>
        </w:rPr>
        <w:t xml:space="preserve">This study was not funded. </w:t>
      </w:r>
    </w:p>
    <w:p w14:paraId="6CC20704" w14:textId="77777777" w:rsidR="00B64E30" w:rsidRDefault="00B64E30" w:rsidP="00B64E30">
      <w:pPr>
        <w:spacing w:line="259" w:lineRule="auto"/>
        <w:jc w:val="both"/>
        <w:rPr>
          <w:rFonts w:ascii="Garamond" w:hAnsi="Garamond"/>
          <w:b/>
          <w:bCs/>
          <w:iCs/>
          <w:sz w:val="22"/>
          <w:szCs w:val="22"/>
        </w:rPr>
      </w:pPr>
    </w:p>
    <w:p w14:paraId="49DB53D8" w14:textId="12694D2A" w:rsidR="00B64E30" w:rsidRPr="00B64E30" w:rsidRDefault="00B64E30" w:rsidP="00B64E30">
      <w:pPr>
        <w:spacing w:line="259" w:lineRule="auto"/>
        <w:jc w:val="both"/>
        <w:rPr>
          <w:rFonts w:ascii="Garamond" w:hAnsi="Garamond"/>
          <w:b/>
          <w:bCs/>
          <w:iCs/>
          <w:sz w:val="22"/>
          <w:szCs w:val="22"/>
        </w:rPr>
      </w:pPr>
      <w:r w:rsidRPr="00B64E30">
        <w:rPr>
          <w:rFonts w:ascii="Garamond" w:hAnsi="Garamond"/>
          <w:b/>
          <w:bCs/>
          <w:iCs/>
          <w:sz w:val="22"/>
          <w:szCs w:val="22"/>
        </w:rPr>
        <w:t>REFERENCES</w:t>
      </w:r>
    </w:p>
    <w:p w14:paraId="7E2C5184" w14:textId="51FA2181"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Pucca MB, Nobrega de Sousa T, Melo GC, Viana GM. Challenges </w:t>
      </w:r>
      <w:proofErr w:type="gramStart"/>
      <w:r w:rsidR="00117B5F">
        <w:rPr>
          <w:rFonts w:ascii="Garamond" w:hAnsi="Garamond"/>
          <w:iCs/>
          <w:sz w:val="20"/>
          <w:szCs w:val="20"/>
        </w:rPr>
        <w:t>F</w:t>
      </w:r>
      <w:r w:rsidRPr="00B64E30">
        <w:rPr>
          <w:rFonts w:ascii="Garamond" w:hAnsi="Garamond"/>
          <w:iCs/>
          <w:sz w:val="20"/>
          <w:szCs w:val="20"/>
        </w:rPr>
        <w:t>or</w:t>
      </w:r>
      <w:proofErr w:type="gramEnd"/>
      <w:r w:rsidRPr="00B64E30">
        <w:rPr>
          <w:rFonts w:ascii="Garamond" w:hAnsi="Garamond"/>
          <w:iCs/>
          <w:sz w:val="20"/>
          <w:szCs w:val="20"/>
        </w:rPr>
        <w:t xml:space="preserve"> Diagnosis, Treatment and Elimination of Malaria. Frontiers in Tropical Diseases. 2024 Apr </w:t>
      </w:r>
      <w:proofErr w:type="gramStart"/>
      <w:r w:rsidRPr="00B64E30">
        <w:rPr>
          <w:rFonts w:ascii="Garamond" w:hAnsi="Garamond"/>
          <w:iCs/>
          <w:sz w:val="20"/>
          <w:szCs w:val="20"/>
        </w:rPr>
        <w:t>18;5:1394693</w:t>
      </w:r>
      <w:proofErr w:type="gramEnd"/>
      <w:r w:rsidRPr="00B64E30">
        <w:rPr>
          <w:rFonts w:ascii="Garamond" w:hAnsi="Garamond"/>
          <w:iCs/>
          <w:sz w:val="20"/>
          <w:szCs w:val="20"/>
        </w:rPr>
        <w:t xml:space="preserve">. </w:t>
      </w:r>
      <w:hyperlink r:id="rId29" w:history="1">
        <w:r w:rsidRPr="00B64E30">
          <w:rPr>
            <w:rStyle w:val="Hyperlink"/>
            <w:rFonts w:ascii="Garamond" w:hAnsi="Garamond"/>
            <w:iCs/>
            <w:sz w:val="20"/>
            <w:szCs w:val="20"/>
          </w:rPr>
          <w:t>https://doi.org/10.3389/fitd.2024.1394693</w:t>
        </w:r>
      </w:hyperlink>
    </w:p>
    <w:p w14:paraId="0540432C"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Patel P, </w:t>
      </w:r>
      <w:proofErr w:type="spellStart"/>
      <w:r w:rsidRPr="00B64E30">
        <w:rPr>
          <w:rFonts w:ascii="Garamond" w:hAnsi="Garamond"/>
          <w:iCs/>
          <w:sz w:val="20"/>
          <w:szCs w:val="20"/>
        </w:rPr>
        <w:t>Bagada</w:t>
      </w:r>
      <w:proofErr w:type="spellEnd"/>
      <w:r w:rsidRPr="00B64E30">
        <w:rPr>
          <w:rFonts w:ascii="Garamond" w:hAnsi="Garamond"/>
          <w:iCs/>
          <w:sz w:val="20"/>
          <w:szCs w:val="20"/>
        </w:rPr>
        <w:t xml:space="preserve"> A, Vadia N. Epidemiology and Current Trends in Malaria. Rising Contagious Diseases: Basics, Management, and Treatments. 2024 Mar 11:261-82. </w:t>
      </w:r>
      <w:hyperlink r:id="rId30" w:history="1">
        <w:r w:rsidRPr="00B64E30">
          <w:rPr>
            <w:rStyle w:val="Hyperlink"/>
            <w:rFonts w:ascii="Garamond" w:hAnsi="Garamond"/>
            <w:iCs/>
            <w:sz w:val="20"/>
            <w:szCs w:val="20"/>
          </w:rPr>
          <w:t>https://doi.org/10.1002/9781394188741.ch20</w:t>
        </w:r>
      </w:hyperlink>
    </w:p>
    <w:p w14:paraId="0D5D992C"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Chen H. Pathogenesis and Clinical Features of Malaria. </w:t>
      </w:r>
      <w:proofErr w:type="spellStart"/>
      <w:r w:rsidRPr="00B64E30">
        <w:rPr>
          <w:rFonts w:ascii="Garamond" w:hAnsi="Garamond"/>
          <w:iCs/>
          <w:sz w:val="20"/>
          <w:szCs w:val="20"/>
        </w:rPr>
        <w:t>InMalaria</w:t>
      </w:r>
      <w:proofErr w:type="spellEnd"/>
      <w:r w:rsidRPr="00B64E30">
        <w:rPr>
          <w:rFonts w:ascii="Garamond" w:hAnsi="Garamond"/>
          <w:iCs/>
          <w:sz w:val="20"/>
          <w:szCs w:val="20"/>
        </w:rPr>
        <w:t xml:space="preserve"> Control and Elimination in China: A successful Guide from Bench to Bedside 2023 Sep 30 (pp. 71-85). Cham: Springer International Publishing. </w:t>
      </w:r>
      <w:hyperlink r:id="rId31" w:history="1">
        <w:r w:rsidRPr="00B64E30">
          <w:rPr>
            <w:rStyle w:val="Hyperlink"/>
            <w:rFonts w:ascii="Garamond" w:hAnsi="Garamond"/>
            <w:iCs/>
            <w:sz w:val="20"/>
            <w:szCs w:val="20"/>
          </w:rPr>
          <w:t>https://doi.org/10.1007/978-3-031-32902-9_5</w:t>
        </w:r>
      </w:hyperlink>
    </w:p>
    <w:p w14:paraId="5AC9EA93"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Dwivedi SR, Mishra LC, Mishra G. An Analytical Approach to Progression in Malaria Therapeutics. </w:t>
      </w:r>
      <w:proofErr w:type="spellStart"/>
      <w:r w:rsidRPr="00B64E30">
        <w:rPr>
          <w:rFonts w:ascii="Garamond" w:hAnsi="Garamond"/>
          <w:iCs/>
          <w:sz w:val="20"/>
          <w:szCs w:val="20"/>
        </w:rPr>
        <w:t>InNatural</w:t>
      </w:r>
      <w:proofErr w:type="spellEnd"/>
      <w:r w:rsidRPr="00B64E30">
        <w:rPr>
          <w:rFonts w:ascii="Garamond" w:hAnsi="Garamond"/>
          <w:iCs/>
          <w:sz w:val="20"/>
          <w:szCs w:val="20"/>
        </w:rPr>
        <w:t xml:space="preserve"> Product Based Drug Discovery Against Human Parasites: Opportunities and Challenges 2023 Nov 28 (pp. 471-490). Singapore: Springer Nature Singapore. </w:t>
      </w:r>
      <w:hyperlink r:id="rId32" w:history="1">
        <w:r w:rsidRPr="00B64E30">
          <w:rPr>
            <w:rStyle w:val="Hyperlink"/>
            <w:rFonts w:ascii="Garamond" w:hAnsi="Garamond"/>
            <w:iCs/>
            <w:sz w:val="20"/>
            <w:szCs w:val="20"/>
          </w:rPr>
          <w:t>https://doi.org/10.1007/978-981-19-9605-4_21</w:t>
        </w:r>
      </w:hyperlink>
    </w:p>
    <w:p w14:paraId="0F38EF15"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Rasmussen C, Alonso P, Ringwald P. Current and emerging strategies to combat antimalarial resistance. Expert Review of Anti-infective Therapy. 2022 Mar 4;20(3):353-72. </w:t>
      </w:r>
      <w:hyperlink r:id="rId33" w:history="1">
        <w:r w:rsidRPr="00B64E30">
          <w:rPr>
            <w:rStyle w:val="Hyperlink"/>
            <w:rFonts w:ascii="Garamond" w:hAnsi="Garamond"/>
            <w:iCs/>
            <w:sz w:val="20"/>
            <w:szCs w:val="20"/>
          </w:rPr>
          <w:t>https://doi.org/10.1080/14787210.2021.1962291</w:t>
        </w:r>
      </w:hyperlink>
    </w:p>
    <w:p w14:paraId="1638BEC4"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Siqueira-Neto JL, Wicht KJ, Chibale K, Burrows JN, Fidock DA, Winzeler EA. Antimalarial drug discovery: Progress and approaches. Nature Reviews Drug Discovery. 2023 Oct;22(10):807-26. </w:t>
      </w:r>
      <w:hyperlink r:id="rId34" w:history="1">
        <w:r w:rsidRPr="00B64E30">
          <w:rPr>
            <w:rStyle w:val="Hyperlink"/>
            <w:rFonts w:ascii="Garamond" w:hAnsi="Garamond"/>
            <w:iCs/>
            <w:sz w:val="20"/>
            <w:szCs w:val="20"/>
          </w:rPr>
          <w:t>https://doi.org/10.1038/s41573-023-00772-9</w:t>
        </w:r>
      </w:hyperlink>
    </w:p>
    <w:p w14:paraId="19FB1948"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Guchait</w:t>
      </w:r>
      <w:proofErr w:type="spellEnd"/>
      <w:r w:rsidRPr="00B64E30">
        <w:rPr>
          <w:rFonts w:ascii="Garamond" w:hAnsi="Garamond"/>
          <w:iCs/>
          <w:sz w:val="20"/>
          <w:szCs w:val="20"/>
        </w:rPr>
        <w:t xml:space="preserve"> A, Kumar A, Singh R, Joshi G, Dwivedi AR. A review on reported phytochemicals as druggable leads with antimalarial potential. Medicinal Chemistry Research. 2023 Aug;32(8):1633-57. </w:t>
      </w:r>
      <w:hyperlink r:id="rId35" w:history="1">
        <w:r w:rsidRPr="00B64E30">
          <w:rPr>
            <w:rStyle w:val="Hyperlink"/>
            <w:rFonts w:ascii="Garamond" w:hAnsi="Garamond"/>
            <w:iCs/>
            <w:sz w:val="20"/>
            <w:szCs w:val="20"/>
          </w:rPr>
          <w:t>https://doi.org/10.1007/s00044-023-03113-y</w:t>
        </w:r>
      </w:hyperlink>
    </w:p>
    <w:p w14:paraId="51059BD9"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Kingston DG, Cassera MB. Antimalarial natural products. Springer International Publishing; 2022. </w:t>
      </w:r>
      <w:hyperlink r:id="rId36" w:history="1">
        <w:r w:rsidRPr="00B64E30">
          <w:rPr>
            <w:rStyle w:val="Hyperlink"/>
            <w:rFonts w:ascii="Garamond" w:hAnsi="Garamond"/>
            <w:iCs/>
            <w:sz w:val="20"/>
            <w:szCs w:val="20"/>
          </w:rPr>
          <w:t>https://doi.org/10.1007/978-3-030-89873-1_1</w:t>
        </w:r>
      </w:hyperlink>
    </w:p>
    <w:p w14:paraId="5F38B29D"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Samy A, Hassan A, Hegazi NM, Farid M, </w:t>
      </w:r>
      <w:proofErr w:type="spellStart"/>
      <w:r w:rsidRPr="00B64E30">
        <w:rPr>
          <w:rFonts w:ascii="Garamond" w:hAnsi="Garamond"/>
          <w:iCs/>
          <w:sz w:val="20"/>
          <w:szCs w:val="20"/>
        </w:rPr>
        <w:t>Elshafei</w:t>
      </w:r>
      <w:proofErr w:type="spellEnd"/>
      <w:r w:rsidRPr="00B64E30">
        <w:rPr>
          <w:rFonts w:ascii="Garamond" w:hAnsi="Garamond"/>
          <w:iCs/>
          <w:sz w:val="20"/>
          <w:szCs w:val="20"/>
        </w:rPr>
        <w:t xml:space="preserve"> M. Network pharmacology, molecular docking, and dynamics analyses to predict the antiviral activity of ginger constituents against coronavirus infection. Scientific Reports. 2024 May </w:t>
      </w:r>
      <w:r w:rsidRPr="00B64E30">
        <w:rPr>
          <w:rFonts w:ascii="Garamond" w:hAnsi="Garamond"/>
          <w:iCs/>
          <w:sz w:val="20"/>
          <w:szCs w:val="20"/>
        </w:rPr>
        <w:t xml:space="preserve">27;14(1):12059. </w:t>
      </w:r>
      <w:hyperlink r:id="rId37" w:history="1">
        <w:r w:rsidRPr="00B64E30">
          <w:rPr>
            <w:rStyle w:val="Hyperlink"/>
            <w:rFonts w:ascii="Garamond" w:hAnsi="Garamond"/>
            <w:iCs/>
            <w:sz w:val="20"/>
            <w:szCs w:val="20"/>
          </w:rPr>
          <w:t>https://doi.org/10.1038/s41598-024-60721-3</w:t>
        </w:r>
      </w:hyperlink>
    </w:p>
    <w:p w14:paraId="1D2928A0"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Satpathy</w:t>
      </w:r>
      <w:proofErr w:type="spellEnd"/>
      <w:r w:rsidRPr="00B64E30">
        <w:rPr>
          <w:rFonts w:ascii="Garamond" w:hAnsi="Garamond"/>
          <w:iCs/>
          <w:sz w:val="20"/>
          <w:szCs w:val="20"/>
        </w:rPr>
        <w:t xml:space="preserve"> R. Application of Molecular Modeling Techniques to Investigate Phytochemicals as Prospective Anti-Malarial Agents. </w:t>
      </w:r>
      <w:proofErr w:type="spellStart"/>
      <w:r w:rsidRPr="00B64E30">
        <w:rPr>
          <w:rFonts w:ascii="Garamond" w:hAnsi="Garamond"/>
          <w:iCs/>
          <w:sz w:val="20"/>
          <w:szCs w:val="20"/>
        </w:rPr>
        <w:t>InConverging</w:t>
      </w:r>
      <w:proofErr w:type="spellEnd"/>
      <w:r w:rsidRPr="00B64E30">
        <w:rPr>
          <w:rFonts w:ascii="Garamond" w:hAnsi="Garamond"/>
          <w:iCs/>
          <w:sz w:val="20"/>
          <w:szCs w:val="20"/>
        </w:rPr>
        <w:t xml:space="preserve"> Pharmacy Science and Engineering in Computational Drug Discovery 2024 (pp. 116-139). IGI Global. 10.4018/979-8-3693-2897-2.ch006</w:t>
      </w:r>
    </w:p>
    <w:p w14:paraId="4F0831B4"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Jin Q, Leaman R, Lu Z. PubMed and beyond: biomedical literature search in the age of artificial intelligence. </w:t>
      </w:r>
      <w:proofErr w:type="spellStart"/>
      <w:r w:rsidRPr="00B64E30">
        <w:rPr>
          <w:rFonts w:ascii="Garamond" w:hAnsi="Garamond"/>
          <w:iCs/>
          <w:sz w:val="20"/>
          <w:szCs w:val="20"/>
        </w:rPr>
        <w:t>Ebiomedicine</w:t>
      </w:r>
      <w:proofErr w:type="spellEnd"/>
      <w:r w:rsidRPr="00B64E30">
        <w:rPr>
          <w:rFonts w:ascii="Garamond" w:hAnsi="Garamond"/>
          <w:iCs/>
          <w:sz w:val="20"/>
          <w:szCs w:val="20"/>
        </w:rPr>
        <w:t xml:space="preserve">. 2024 Feb 1;100. </w:t>
      </w:r>
      <w:hyperlink r:id="rId38" w:history="1">
        <w:r w:rsidRPr="00B64E30">
          <w:rPr>
            <w:rStyle w:val="Hyperlink"/>
            <w:rFonts w:ascii="Garamond" w:hAnsi="Garamond"/>
            <w:iCs/>
            <w:sz w:val="20"/>
            <w:szCs w:val="20"/>
          </w:rPr>
          <w:t>https://doi.org/10.1016/j.ebiom.2024.104988</w:t>
        </w:r>
      </w:hyperlink>
    </w:p>
    <w:p w14:paraId="0867AD59"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Vivek-Ananth RP, Mohanraj K, Sahoo AK, Samal A. IMPPAT 2.0: an enhanced and expanded phytochemical atlas of Indian medicinal plants. ACS omega. 2023 Feb 23;8(9):8827-45. </w:t>
      </w:r>
      <w:hyperlink r:id="rId39" w:tooltip="DOI URL" w:history="1">
        <w:r w:rsidRPr="00B64E30">
          <w:rPr>
            <w:rStyle w:val="Hyperlink"/>
            <w:rFonts w:ascii="Garamond" w:hAnsi="Garamond"/>
            <w:iCs/>
            <w:sz w:val="20"/>
            <w:szCs w:val="20"/>
          </w:rPr>
          <w:t>https://doi.org/10.1021/acsomega.3c00156</w:t>
        </w:r>
      </w:hyperlink>
    </w:p>
    <w:p w14:paraId="0C71D27A" w14:textId="41526793"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Jayabal</w:t>
      </w:r>
      <w:proofErr w:type="spellEnd"/>
      <w:r w:rsidRPr="00B64E30">
        <w:rPr>
          <w:rFonts w:ascii="Garamond" w:hAnsi="Garamond"/>
          <w:iCs/>
          <w:sz w:val="20"/>
          <w:szCs w:val="20"/>
        </w:rPr>
        <w:t xml:space="preserve"> D, Jayanthi S, </w:t>
      </w:r>
      <w:proofErr w:type="spellStart"/>
      <w:r w:rsidRPr="00B64E30">
        <w:rPr>
          <w:rFonts w:ascii="Garamond" w:hAnsi="Garamond"/>
          <w:iCs/>
          <w:sz w:val="20"/>
          <w:szCs w:val="20"/>
        </w:rPr>
        <w:t>Thirumalaisamy</w:t>
      </w:r>
      <w:proofErr w:type="spellEnd"/>
      <w:r w:rsidRPr="00B64E30">
        <w:rPr>
          <w:rFonts w:ascii="Garamond" w:hAnsi="Garamond"/>
          <w:iCs/>
          <w:sz w:val="20"/>
          <w:szCs w:val="20"/>
        </w:rPr>
        <w:t xml:space="preserve"> R, Karthika R, Iqbal MN. Comparative anti-Diabetic potential of phytocompounds from Dr. Duke's phytochemical and ethnobotanical database and standard antidiabetic drugs against diabetes hyperglycemic target proteins: an </w:t>
      </w:r>
      <w:proofErr w:type="gramStart"/>
      <w:r w:rsidR="00117B5F" w:rsidRPr="00B64E30">
        <w:rPr>
          <w:rFonts w:ascii="Garamond" w:hAnsi="Garamond"/>
          <w:iCs/>
          <w:sz w:val="20"/>
          <w:szCs w:val="20"/>
        </w:rPr>
        <w:t>in</w:t>
      </w:r>
      <w:r w:rsidR="00117B5F">
        <w:rPr>
          <w:rFonts w:ascii="Garamond" w:hAnsi="Garamond"/>
          <w:iCs/>
          <w:sz w:val="20"/>
          <w:szCs w:val="20"/>
        </w:rPr>
        <w:t xml:space="preserve"> </w:t>
      </w:r>
      <w:r w:rsidR="00117B5F" w:rsidRPr="00B64E30">
        <w:rPr>
          <w:rFonts w:ascii="Garamond" w:hAnsi="Garamond"/>
          <w:iCs/>
          <w:sz w:val="20"/>
          <w:szCs w:val="20"/>
        </w:rPr>
        <w:t>silico</w:t>
      </w:r>
      <w:proofErr w:type="gramEnd"/>
      <w:r w:rsidRPr="00B64E30">
        <w:rPr>
          <w:rFonts w:ascii="Garamond" w:hAnsi="Garamond"/>
          <w:iCs/>
          <w:sz w:val="20"/>
          <w:szCs w:val="20"/>
        </w:rPr>
        <w:t xml:space="preserve"> validation. Journal of Biomolecular Structure and Dynamics. 2023 Dec 29;41(24):15137-</w:t>
      </w:r>
      <w:proofErr w:type="gramStart"/>
      <w:r w:rsidRPr="00B64E30">
        <w:rPr>
          <w:rFonts w:ascii="Garamond" w:hAnsi="Garamond"/>
          <w:iCs/>
          <w:sz w:val="20"/>
          <w:szCs w:val="20"/>
        </w:rPr>
        <w:t>49.https://doi.org/10.1080/07391102.2023.2187231</w:t>
      </w:r>
      <w:proofErr w:type="gramEnd"/>
    </w:p>
    <w:p w14:paraId="05A44D11"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Bakchi</w:t>
      </w:r>
      <w:proofErr w:type="spellEnd"/>
      <w:r w:rsidRPr="00B64E30">
        <w:rPr>
          <w:rFonts w:ascii="Garamond" w:hAnsi="Garamond"/>
          <w:iCs/>
          <w:sz w:val="20"/>
          <w:szCs w:val="20"/>
        </w:rPr>
        <w:t xml:space="preserve"> B, Krishna AD, </w:t>
      </w:r>
      <w:proofErr w:type="spellStart"/>
      <w:r w:rsidRPr="00B64E30">
        <w:rPr>
          <w:rFonts w:ascii="Garamond" w:hAnsi="Garamond"/>
          <w:iCs/>
          <w:sz w:val="20"/>
          <w:szCs w:val="20"/>
        </w:rPr>
        <w:t>Sreecharan</w:t>
      </w:r>
      <w:proofErr w:type="spellEnd"/>
      <w:r w:rsidRPr="00B64E30">
        <w:rPr>
          <w:rFonts w:ascii="Garamond" w:hAnsi="Garamond"/>
          <w:iCs/>
          <w:sz w:val="20"/>
          <w:szCs w:val="20"/>
        </w:rPr>
        <w:t xml:space="preserve"> E, Ganesh VB, Niharika M, Maharshi S, </w:t>
      </w:r>
      <w:proofErr w:type="spellStart"/>
      <w:r w:rsidRPr="00B64E30">
        <w:rPr>
          <w:rFonts w:ascii="Garamond" w:hAnsi="Garamond"/>
          <w:iCs/>
          <w:sz w:val="20"/>
          <w:szCs w:val="20"/>
        </w:rPr>
        <w:t>Puttagunta</w:t>
      </w:r>
      <w:proofErr w:type="spellEnd"/>
      <w:r w:rsidRPr="00B64E30">
        <w:rPr>
          <w:rFonts w:ascii="Garamond" w:hAnsi="Garamond"/>
          <w:iCs/>
          <w:sz w:val="20"/>
          <w:szCs w:val="20"/>
        </w:rPr>
        <w:t xml:space="preserve"> SB, </w:t>
      </w:r>
      <w:proofErr w:type="spellStart"/>
      <w:r w:rsidRPr="00B64E30">
        <w:rPr>
          <w:rFonts w:ascii="Garamond" w:hAnsi="Garamond"/>
          <w:iCs/>
          <w:sz w:val="20"/>
          <w:szCs w:val="20"/>
        </w:rPr>
        <w:t>Sigalapalli</w:t>
      </w:r>
      <w:proofErr w:type="spellEnd"/>
      <w:r w:rsidRPr="00B64E30">
        <w:rPr>
          <w:rFonts w:ascii="Garamond" w:hAnsi="Garamond"/>
          <w:iCs/>
          <w:sz w:val="20"/>
          <w:szCs w:val="20"/>
        </w:rPr>
        <w:t xml:space="preserve"> DK, Bhandare RR, Shaik AB. An overview on applications of </w:t>
      </w:r>
      <w:proofErr w:type="spellStart"/>
      <w:r w:rsidRPr="00B64E30">
        <w:rPr>
          <w:rFonts w:ascii="Garamond" w:hAnsi="Garamond"/>
          <w:iCs/>
          <w:sz w:val="20"/>
          <w:szCs w:val="20"/>
        </w:rPr>
        <w:t>SwissADME</w:t>
      </w:r>
      <w:proofErr w:type="spellEnd"/>
      <w:r w:rsidRPr="00B64E30">
        <w:rPr>
          <w:rFonts w:ascii="Garamond" w:hAnsi="Garamond"/>
          <w:iCs/>
          <w:sz w:val="20"/>
          <w:szCs w:val="20"/>
        </w:rPr>
        <w:t xml:space="preserve"> web tool in the design and development of anticancer, antitubercular and antimicrobial agents: A medicinal chemist's perspective. Journal of Molecular Structure. 2022 Jul </w:t>
      </w:r>
      <w:proofErr w:type="gramStart"/>
      <w:r w:rsidRPr="00B64E30">
        <w:rPr>
          <w:rFonts w:ascii="Garamond" w:hAnsi="Garamond"/>
          <w:iCs/>
          <w:sz w:val="20"/>
          <w:szCs w:val="20"/>
        </w:rPr>
        <w:t>5;1259:132712</w:t>
      </w:r>
      <w:proofErr w:type="gramEnd"/>
      <w:r w:rsidRPr="00B64E30">
        <w:rPr>
          <w:rFonts w:ascii="Garamond" w:hAnsi="Garamond"/>
          <w:iCs/>
          <w:sz w:val="20"/>
          <w:szCs w:val="20"/>
        </w:rPr>
        <w:t xml:space="preserve">. </w:t>
      </w:r>
      <w:hyperlink r:id="rId40" w:tgtFrame="_blank" w:tooltip="Persistent link using digital object identifier" w:history="1">
        <w:r w:rsidRPr="00B64E30">
          <w:rPr>
            <w:rStyle w:val="Hyperlink"/>
            <w:rFonts w:ascii="Garamond" w:hAnsi="Garamond"/>
            <w:iCs/>
            <w:sz w:val="20"/>
            <w:szCs w:val="20"/>
          </w:rPr>
          <w:t>https://doi.org/10.1016/j.molstruc.2022.132712</w:t>
        </w:r>
      </w:hyperlink>
    </w:p>
    <w:p w14:paraId="0B2D483D"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Sucularlı</w:t>
      </w:r>
      <w:proofErr w:type="spellEnd"/>
      <w:r w:rsidRPr="00B64E30">
        <w:rPr>
          <w:rFonts w:ascii="Garamond" w:hAnsi="Garamond"/>
          <w:iCs/>
          <w:sz w:val="20"/>
          <w:szCs w:val="20"/>
        </w:rPr>
        <w:t xml:space="preserve"> C, </w:t>
      </w:r>
      <w:proofErr w:type="spellStart"/>
      <w:r w:rsidRPr="00B64E30">
        <w:rPr>
          <w:rFonts w:ascii="Garamond" w:hAnsi="Garamond"/>
          <w:iCs/>
          <w:sz w:val="20"/>
          <w:szCs w:val="20"/>
        </w:rPr>
        <w:t>Tozkoparan</w:t>
      </w:r>
      <w:proofErr w:type="spellEnd"/>
      <w:r w:rsidRPr="00B64E30">
        <w:rPr>
          <w:rFonts w:ascii="Garamond" w:hAnsi="Garamond"/>
          <w:iCs/>
          <w:sz w:val="20"/>
          <w:szCs w:val="20"/>
        </w:rPr>
        <w:t xml:space="preserve"> B, Aytaç SP. In silico activity and target prediction analyses of three </w:t>
      </w:r>
      <w:proofErr w:type="spellStart"/>
      <w:r w:rsidRPr="00B64E30">
        <w:rPr>
          <w:rFonts w:ascii="Garamond" w:hAnsi="Garamond"/>
          <w:iCs/>
          <w:sz w:val="20"/>
          <w:szCs w:val="20"/>
        </w:rPr>
        <w:t>triazolothiadiazine</w:t>
      </w:r>
      <w:proofErr w:type="spellEnd"/>
      <w:r w:rsidRPr="00B64E30">
        <w:rPr>
          <w:rFonts w:ascii="Garamond" w:hAnsi="Garamond"/>
          <w:iCs/>
          <w:sz w:val="20"/>
          <w:szCs w:val="20"/>
        </w:rPr>
        <w:t xml:space="preserve"> derivatives. Acta Medica. 2022 Jun 16;53(3):251-60. </w:t>
      </w:r>
      <w:hyperlink r:id="rId41" w:history="1">
        <w:r w:rsidRPr="00B64E30">
          <w:rPr>
            <w:rStyle w:val="Hyperlink"/>
            <w:rFonts w:ascii="Garamond" w:hAnsi="Garamond"/>
            <w:iCs/>
            <w:sz w:val="20"/>
            <w:szCs w:val="20"/>
          </w:rPr>
          <w:t>https://doi.org/10.32552/2022.ActaMedica.737</w:t>
        </w:r>
      </w:hyperlink>
    </w:p>
    <w:p w14:paraId="63391570"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Yee JL, Huang CY, Yu YC, Huang SJ. Potential Mechanisms of </w:t>
      </w:r>
      <w:proofErr w:type="spellStart"/>
      <w:r w:rsidRPr="00B64E30">
        <w:rPr>
          <w:rFonts w:ascii="Garamond" w:hAnsi="Garamond"/>
          <w:iCs/>
          <w:sz w:val="20"/>
          <w:szCs w:val="20"/>
        </w:rPr>
        <w:t>Guizhi</w:t>
      </w:r>
      <w:proofErr w:type="spellEnd"/>
      <w:r w:rsidRPr="00B64E30">
        <w:rPr>
          <w:rFonts w:ascii="Garamond" w:hAnsi="Garamond"/>
          <w:iCs/>
          <w:sz w:val="20"/>
          <w:szCs w:val="20"/>
        </w:rPr>
        <w:t xml:space="preserve"> Fuling Wan in Treating Endometriosis: An Analysis Based on TCMSP and </w:t>
      </w:r>
      <w:proofErr w:type="spellStart"/>
      <w:r w:rsidRPr="00B64E30">
        <w:rPr>
          <w:rFonts w:ascii="Garamond" w:hAnsi="Garamond"/>
          <w:iCs/>
          <w:sz w:val="20"/>
          <w:szCs w:val="20"/>
        </w:rPr>
        <w:t>DisGeNET</w:t>
      </w:r>
      <w:proofErr w:type="spellEnd"/>
      <w:r w:rsidRPr="00B64E30">
        <w:rPr>
          <w:rFonts w:ascii="Garamond" w:hAnsi="Garamond"/>
          <w:iCs/>
          <w:sz w:val="20"/>
          <w:szCs w:val="20"/>
        </w:rPr>
        <w:t xml:space="preserve"> Databases. Journal of Ethnopharmacology. 2024 Apr 16:118190. </w:t>
      </w:r>
      <w:hyperlink r:id="rId42" w:tgtFrame="_blank" w:tooltip="Persistent link using digital object identifier" w:history="1">
        <w:r w:rsidRPr="00B64E30">
          <w:rPr>
            <w:rStyle w:val="Hyperlink"/>
            <w:rFonts w:ascii="Garamond" w:hAnsi="Garamond"/>
            <w:iCs/>
            <w:sz w:val="20"/>
            <w:szCs w:val="20"/>
          </w:rPr>
          <w:t>https://doi.org/10.1016/j.jep.2024.118190</w:t>
        </w:r>
      </w:hyperlink>
    </w:p>
    <w:p w14:paraId="1FF85C41"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Ge X, Zhang Y, Fang R, Zhao J, Huang J. Exploring the inhibition mechanism of interleukin-1-beta in gouty arthritis by polygonum </w:t>
      </w:r>
      <w:proofErr w:type="spellStart"/>
      <w:r w:rsidRPr="00B64E30">
        <w:rPr>
          <w:rFonts w:ascii="Garamond" w:hAnsi="Garamond"/>
          <w:iCs/>
          <w:sz w:val="20"/>
          <w:szCs w:val="20"/>
        </w:rPr>
        <w:t>cuspidatum</w:t>
      </w:r>
      <w:proofErr w:type="spellEnd"/>
      <w:r w:rsidRPr="00B64E30">
        <w:rPr>
          <w:rFonts w:ascii="Garamond" w:hAnsi="Garamond"/>
          <w:iCs/>
          <w:sz w:val="20"/>
          <w:szCs w:val="20"/>
        </w:rPr>
        <w:t xml:space="preserve"> using network pharmacology and molecular docking: A review. Medicine. 2023 Jul </w:t>
      </w:r>
      <w:r w:rsidRPr="00B64E30">
        <w:rPr>
          <w:rFonts w:ascii="Garamond" w:hAnsi="Garamond"/>
          <w:iCs/>
          <w:sz w:val="20"/>
          <w:szCs w:val="20"/>
        </w:rPr>
        <w:lastRenderedPageBreak/>
        <w:t>21;102(29</w:t>
      </w:r>
      <w:proofErr w:type="gramStart"/>
      <w:r w:rsidRPr="00B64E30">
        <w:rPr>
          <w:rFonts w:ascii="Garamond" w:hAnsi="Garamond"/>
          <w:iCs/>
          <w:sz w:val="20"/>
          <w:szCs w:val="20"/>
        </w:rPr>
        <w:t>):e</w:t>
      </w:r>
      <w:proofErr w:type="gramEnd"/>
      <w:r w:rsidRPr="00B64E30">
        <w:rPr>
          <w:rFonts w:ascii="Garamond" w:hAnsi="Garamond"/>
          <w:iCs/>
          <w:sz w:val="20"/>
          <w:szCs w:val="20"/>
        </w:rPr>
        <w:t>34396. 10.1097/MD.0000000000034396</w:t>
      </w:r>
    </w:p>
    <w:p w14:paraId="15F7F90A"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Szklarczyk</w:t>
      </w:r>
      <w:proofErr w:type="spellEnd"/>
      <w:r w:rsidRPr="00B64E30">
        <w:rPr>
          <w:rFonts w:ascii="Garamond" w:hAnsi="Garamond"/>
          <w:iCs/>
          <w:sz w:val="20"/>
          <w:szCs w:val="20"/>
        </w:rPr>
        <w:t xml:space="preserve"> D, Kirsch R, </w:t>
      </w:r>
      <w:proofErr w:type="spellStart"/>
      <w:r w:rsidRPr="00B64E30">
        <w:rPr>
          <w:rFonts w:ascii="Garamond" w:hAnsi="Garamond"/>
          <w:iCs/>
          <w:sz w:val="20"/>
          <w:szCs w:val="20"/>
        </w:rPr>
        <w:t>Koutrouli</w:t>
      </w:r>
      <w:proofErr w:type="spellEnd"/>
      <w:r w:rsidRPr="00B64E30">
        <w:rPr>
          <w:rFonts w:ascii="Garamond" w:hAnsi="Garamond"/>
          <w:iCs/>
          <w:sz w:val="20"/>
          <w:szCs w:val="20"/>
        </w:rPr>
        <w:t xml:space="preserve"> M, </w:t>
      </w:r>
      <w:proofErr w:type="spellStart"/>
      <w:r w:rsidRPr="00B64E30">
        <w:rPr>
          <w:rFonts w:ascii="Garamond" w:hAnsi="Garamond"/>
          <w:iCs/>
          <w:sz w:val="20"/>
          <w:szCs w:val="20"/>
        </w:rPr>
        <w:t>Nastou</w:t>
      </w:r>
      <w:proofErr w:type="spellEnd"/>
      <w:r w:rsidRPr="00B64E30">
        <w:rPr>
          <w:rFonts w:ascii="Garamond" w:hAnsi="Garamond"/>
          <w:iCs/>
          <w:sz w:val="20"/>
          <w:szCs w:val="20"/>
        </w:rPr>
        <w:t xml:space="preserve"> K, </w:t>
      </w:r>
      <w:proofErr w:type="spellStart"/>
      <w:r w:rsidRPr="00B64E30">
        <w:rPr>
          <w:rFonts w:ascii="Garamond" w:hAnsi="Garamond"/>
          <w:iCs/>
          <w:sz w:val="20"/>
          <w:szCs w:val="20"/>
        </w:rPr>
        <w:t>Mehryary</w:t>
      </w:r>
      <w:proofErr w:type="spellEnd"/>
      <w:r w:rsidRPr="00B64E30">
        <w:rPr>
          <w:rFonts w:ascii="Garamond" w:hAnsi="Garamond"/>
          <w:iCs/>
          <w:sz w:val="20"/>
          <w:szCs w:val="20"/>
        </w:rPr>
        <w:t xml:space="preserve"> F, </w:t>
      </w:r>
      <w:proofErr w:type="spellStart"/>
      <w:r w:rsidRPr="00B64E30">
        <w:rPr>
          <w:rFonts w:ascii="Garamond" w:hAnsi="Garamond"/>
          <w:iCs/>
          <w:sz w:val="20"/>
          <w:szCs w:val="20"/>
        </w:rPr>
        <w:t>Hachilif</w:t>
      </w:r>
      <w:proofErr w:type="spellEnd"/>
      <w:r w:rsidRPr="00B64E30">
        <w:rPr>
          <w:rFonts w:ascii="Garamond" w:hAnsi="Garamond"/>
          <w:iCs/>
          <w:sz w:val="20"/>
          <w:szCs w:val="20"/>
        </w:rPr>
        <w:t xml:space="preserve"> R, Gable AL, Fang T, </w:t>
      </w:r>
      <w:proofErr w:type="spellStart"/>
      <w:r w:rsidRPr="00B64E30">
        <w:rPr>
          <w:rFonts w:ascii="Garamond" w:hAnsi="Garamond"/>
          <w:iCs/>
          <w:sz w:val="20"/>
          <w:szCs w:val="20"/>
        </w:rPr>
        <w:t>Doncheva</w:t>
      </w:r>
      <w:proofErr w:type="spellEnd"/>
      <w:r w:rsidRPr="00B64E30">
        <w:rPr>
          <w:rFonts w:ascii="Garamond" w:hAnsi="Garamond"/>
          <w:iCs/>
          <w:sz w:val="20"/>
          <w:szCs w:val="20"/>
        </w:rPr>
        <w:t xml:space="preserve"> NT, </w:t>
      </w:r>
      <w:proofErr w:type="spellStart"/>
      <w:r w:rsidRPr="00B64E30">
        <w:rPr>
          <w:rFonts w:ascii="Garamond" w:hAnsi="Garamond"/>
          <w:iCs/>
          <w:sz w:val="20"/>
          <w:szCs w:val="20"/>
        </w:rPr>
        <w:t>Pyysalo</w:t>
      </w:r>
      <w:proofErr w:type="spellEnd"/>
      <w:r w:rsidRPr="00B64E30">
        <w:rPr>
          <w:rFonts w:ascii="Garamond" w:hAnsi="Garamond"/>
          <w:iCs/>
          <w:sz w:val="20"/>
          <w:szCs w:val="20"/>
        </w:rPr>
        <w:t xml:space="preserve"> S, Bork P. The STRING database in 2023: protein–protein association networks and functional enrichment analyses for any sequenced genome of interest. Nucleic acids research. 2023 Jan 6;51(D1</w:t>
      </w:r>
      <w:proofErr w:type="gramStart"/>
      <w:r w:rsidRPr="00B64E30">
        <w:rPr>
          <w:rFonts w:ascii="Garamond" w:hAnsi="Garamond"/>
          <w:iCs/>
          <w:sz w:val="20"/>
          <w:szCs w:val="20"/>
        </w:rPr>
        <w:t>):D</w:t>
      </w:r>
      <w:proofErr w:type="gramEnd"/>
      <w:r w:rsidRPr="00B64E30">
        <w:rPr>
          <w:rFonts w:ascii="Garamond" w:hAnsi="Garamond"/>
          <w:iCs/>
          <w:sz w:val="20"/>
          <w:szCs w:val="20"/>
        </w:rPr>
        <w:t xml:space="preserve">638-46. </w:t>
      </w:r>
      <w:hyperlink r:id="rId43" w:history="1">
        <w:r w:rsidRPr="00B64E30">
          <w:rPr>
            <w:rStyle w:val="Hyperlink"/>
            <w:rFonts w:ascii="Garamond" w:hAnsi="Garamond"/>
            <w:iCs/>
            <w:sz w:val="20"/>
            <w:szCs w:val="20"/>
          </w:rPr>
          <w:t>https://doi.org/10.1093/nar/gkac1000</w:t>
        </w:r>
      </w:hyperlink>
    </w:p>
    <w:p w14:paraId="6519BCC9"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Doncheva</w:t>
      </w:r>
      <w:proofErr w:type="spellEnd"/>
      <w:r w:rsidRPr="00B64E30">
        <w:rPr>
          <w:rFonts w:ascii="Garamond" w:hAnsi="Garamond"/>
          <w:iCs/>
          <w:sz w:val="20"/>
          <w:szCs w:val="20"/>
        </w:rPr>
        <w:t xml:space="preserve"> NT, Morris JH, Holze H, Kirsch R, </w:t>
      </w:r>
      <w:proofErr w:type="spellStart"/>
      <w:r w:rsidRPr="00B64E30">
        <w:rPr>
          <w:rFonts w:ascii="Garamond" w:hAnsi="Garamond"/>
          <w:iCs/>
          <w:sz w:val="20"/>
          <w:szCs w:val="20"/>
        </w:rPr>
        <w:t>Nastou</w:t>
      </w:r>
      <w:proofErr w:type="spellEnd"/>
      <w:r w:rsidRPr="00B64E30">
        <w:rPr>
          <w:rFonts w:ascii="Garamond" w:hAnsi="Garamond"/>
          <w:iCs/>
          <w:sz w:val="20"/>
          <w:szCs w:val="20"/>
        </w:rPr>
        <w:t xml:space="preserve"> KC, Cuesta-</w:t>
      </w:r>
      <w:proofErr w:type="spellStart"/>
      <w:r w:rsidRPr="00B64E30">
        <w:rPr>
          <w:rFonts w:ascii="Garamond" w:hAnsi="Garamond"/>
          <w:iCs/>
          <w:sz w:val="20"/>
          <w:szCs w:val="20"/>
        </w:rPr>
        <w:t>Astroz</w:t>
      </w:r>
      <w:proofErr w:type="spellEnd"/>
      <w:r w:rsidRPr="00B64E30">
        <w:rPr>
          <w:rFonts w:ascii="Garamond" w:hAnsi="Garamond"/>
          <w:iCs/>
          <w:sz w:val="20"/>
          <w:szCs w:val="20"/>
        </w:rPr>
        <w:t xml:space="preserve"> Y, </w:t>
      </w:r>
      <w:proofErr w:type="spellStart"/>
      <w:r w:rsidRPr="00B64E30">
        <w:rPr>
          <w:rFonts w:ascii="Garamond" w:hAnsi="Garamond"/>
          <w:iCs/>
          <w:sz w:val="20"/>
          <w:szCs w:val="20"/>
        </w:rPr>
        <w:t>Rattei</w:t>
      </w:r>
      <w:proofErr w:type="spellEnd"/>
      <w:r w:rsidRPr="00B64E30">
        <w:rPr>
          <w:rFonts w:ascii="Garamond" w:hAnsi="Garamond"/>
          <w:iCs/>
          <w:sz w:val="20"/>
          <w:szCs w:val="20"/>
        </w:rPr>
        <w:t xml:space="preserve"> T, </w:t>
      </w:r>
      <w:proofErr w:type="spellStart"/>
      <w:r w:rsidRPr="00B64E30">
        <w:rPr>
          <w:rFonts w:ascii="Garamond" w:hAnsi="Garamond"/>
          <w:iCs/>
          <w:sz w:val="20"/>
          <w:szCs w:val="20"/>
        </w:rPr>
        <w:t>Szklarczyk</w:t>
      </w:r>
      <w:proofErr w:type="spellEnd"/>
      <w:r w:rsidRPr="00B64E30">
        <w:rPr>
          <w:rFonts w:ascii="Garamond" w:hAnsi="Garamond"/>
          <w:iCs/>
          <w:sz w:val="20"/>
          <w:szCs w:val="20"/>
        </w:rPr>
        <w:t xml:space="preserve"> D, von Mering C, Jensen LJ. </w:t>
      </w:r>
      <w:proofErr w:type="spellStart"/>
      <w:r w:rsidRPr="00B64E30">
        <w:rPr>
          <w:rFonts w:ascii="Garamond" w:hAnsi="Garamond"/>
          <w:iCs/>
          <w:sz w:val="20"/>
          <w:szCs w:val="20"/>
        </w:rPr>
        <w:t>Cytoscape</w:t>
      </w:r>
      <w:proofErr w:type="spellEnd"/>
      <w:r w:rsidRPr="00B64E30">
        <w:rPr>
          <w:rFonts w:ascii="Garamond" w:hAnsi="Garamond"/>
          <w:iCs/>
          <w:sz w:val="20"/>
          <w:szCs w:val="20"/>
        </w:rPr>
        <w:t xml:space="preserve"> </w:t>
      </w:r>
      <w:proofErr w:type="spellStart"/>
      <w:r w:rsidRPr="00B64E30">
        <w:rPr>
          <w:rFonts w:ascii="Garamond" w:hAnsi="Garamond"/>
          <w:iCs/>
          <w:sz w:val="20"/>
          <w:szCs w:val="20"/>
        </w:rPr>
        <w:t>stringApp</w:t>
      </w:r>
      <w:proofErr w:type="spellEnd"/>
      <w:r w:rsidRPr="00B64E30">
        <w:rPr>
          <w:rFonts w:ascii="Garamond" w:hAnsi="Garamond"/>
          <w:iCs/>
          <w:sz w:val="20"/>
          <w:szCs w:val="20"/>
        </w:rPr>
        <w:t xml:space="preserve"> 2.0: analysis and visualization of heterogeneous biological networks. Journal of proteome research. 2022 Dec 13;22(2):637-46. </w:t>
      </w:r>
      <w:hyperlink r:id="rId44" w:tooltip="DOI URL" w:history="1">
        <w:r w:rsidRPr="00B64E30">
          <w:rPr>
            <w:rStyle w:val="Hyperlink"/>
            <w:rFonts w:ascii="Garamond" w:hAnsi="Garamond"/>
            <w:iCs/>
            <w:sz w:val="20"/>
            <w:szCs w:val="20"/>
          </w:rPr>
          <w:t>https://doi.org/10.1021/acs.jproteome.2c00651</w:t>
        </w:r>
      </w:hyperlink>
    </w:p>
    <w:p w14:paraId="276C6827"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Zhuang Z, Zhong X, Chen Q, Chen H, Liu Z. Bioinformatics and system Biology approach to reveal the interaction network and the therapeutic implications for non-small cell lung cancer patients </w:t>
      </w:r>
      <w:proofErr w:type="gramStart"/>
      <w:r w:rsidRPr="00B64E30">
        <w:rPr>
          <w:rFonts w:ascii="Garamond" w:hAnsi="Garamond"/>
          <w:iCs/>
          <w:sz w:val="20"/>
          <w:szCs w:val="20"/>
        </w:rPr>
        <w:t>With</w:t>
      </w:r>
      <w:proofErr w:type="gramEnd"/>
      <w:r w:rsidRPr="00B64E30">
        <w:rPr>
          <w:rFonts w:ascii="Garamond" w:hAnsi="Garamond"/>
          <w:iCs/>
          <w:sz w:val="20"/>
          <w:szCs w:val="20"/>
        </w:rPr>
        <w:t xml:space="preserve"> COVID-19. Frontiers in Pharmacology. 2022 Jun </w:t>
      </w:r>
      <w:proofErr w:type="gramStart"/>
      <w:r w:rsidRPr="00B64E30">
        <w:rPr>
          <w:rFonts w:ascii="Garamond" w:hAnsi="Garamond"/>
          <w:iCs/>
          <w:sz w:val="20"/>
          <w:szCs w:val="20"/>
        </w:rPr>
        <w:t>2;13:857730</w:t>
      </w:r>
      <w:proofErr w:type="gramEnd"/>
      <w:r w:rsidRPr="00B64E30">
        <w:rPr>
          <w:rFonts w:ascii="Garamond" w:hAnsi="Garamond"/>
          <w:iCs/>
          <w:sz w:val="20"/>
          <w:szCs w:val="20"/>
        </w:rPr>
        <w:t xml:space="preserve">. </w:t>
      </w:r>
      <w:hyperlink r:id="rId45" w:history="1">
        <w:r w:rsidRPr="00B64E30">
          <w:rPr>
            <w:rStyle w:val="Hyperlink"/>
            <w:rFonts w:ascii="Garamond" w:hAnsi="Garamond"/>
            <w:iCs/>
            <w:sz w:val="20"/>
            <w:szCs w:val="20"/>
          </w:rPr>
          <w:t>https://doi.org/10.3389/fphar.2022.857730</w:t>
        </w:r>
      </w:hyperlink>
    </w:p>
    <w:p w14:paraId="04E460AF"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Liu Y, Yang X, Gan J, Chen S, Xiao ZX, Cao Y. CB-Dock2: Improved protein–ligand blind docking by integrating cavity detection, docking and homologous template fitting. Nucleic acids research. 2022 Jul 5;50(W1</w:t>
      </w:r>
      <w:proofErr w:type="gramStart"/>
      <w:r w:rsidRPr="00B64E30">
        <w:rPr>
          <w:rFonts w:ascii="Garamond" w:hAnsi="Garamond"/>
          <w:iCs/>
          <w:sz w:val="20"/>
          <w:szCs w:val="20"/>
        </w:rPr>
        <w:t>):W</w:t>
      </w:r>
      <w:proofErr w:type="gramEnd"/>
      <w:r w:rsidRPr="00B64E30">
        <w:rPr>
          <w:rFonts w:ascii="Garamond" w:hAnsi="Garamond"/>
          <w:iCs/>
          <w:sz w:val="20"/>
          <w:szCs w:val="20"/>
        </w:rPr>
        <w:t xml:space="preserve">159-64. </w:t>
      </w:r>
      <w:hyperlink r:id="rId46" w:history="1">
        <w:r w:rsidRPr="00B64E30">
          <w:rPr>
            <w:rStyle w:val="Hyperlink"/>
            <w:rFonts w:ascii="Garamond" w:hAnsi="Garamond"/>
            <w:iCs/>
            <w:sz w:val="20"/>
            <w:szCs w:val="20"/>
          </w:rPr>
          <w:t>https://doi.org/10.1093/nar/gkac394</w:t>
        </w:r>
      </w:hyperlink>
    </w:p>
    <w:p w14:paraId="485DDC1C"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Tajane P, </w:t>
      </w:r>
      <w:proofErr w:type="spellStart"/>
      <w:r w:rsidRPr="00B64E30">
        <w:rPr>
          <w:rFonts w:ascii="Garamond" w:hAnsi="Garamond"/>
          <w:iCs/>
          <w:sz w:val="20"/>
          <w:szCs w:val="20"/>
        </w:rPr>
        <w:t>Kayande</w:t>
      </w:r>
      <w:proofErr w:type="spellEnd"/>
      <w:r w:rsidRPr="00B64E30">
        <w:rPr>
          <w:rFonts w:ascii="Garamond" w:hAnsi="Garamond"/>
          <w:iCs/>
          <w:sz w:val="20"/>
          <w:szCs w:val="20"/>
        </w:rPr>
        <w:t xml:space="preserve"> N, Bhosale A, </w:t>
      </w:r>
      <w:proofErr w:type="spellStart"/>
      <w:r w:rsidRPr="00B64E30">
        <w:rPr>
          <w:rFonts w:ascii="Garamond" w:hAnsi="Garamond"/>
          <w:iCs/>
          <w:sz w:val="20"/>
          <w:szCs w:val="20"/>
        </w:rPr>
        <w:t>Deore</w:t>
      </w:r>
      <w:proofErr w:type="spellEnd"/>
      <w:r w:rsidRPr="00B64E30">
        <w:rPr>
          <w:rFonts w:ascii="Garamond" w:hAnsi="Garamond"/>
          <w:iCs/>
          <w:sz w:val="20"/>
          <w:szCs w:val="20"/>
        </w:rPr>
        <w:t xml:space="preserve"> S, Tare H. Design and Discovery of </w:t>
      </w:r>
      <w:proofErr w:type="spellStart"/>
      <w:r w:rsidRPr="00B64E30">
        <w:rPr>
          <w:rFonts w:ascii="Garamond" w:hAnsi="Garamond"/>
          <w:iCs/>
          <w:sz w:val="20"/>
          <w:szCs w:val="20"/>
        </w:rPr>
        <w:t>Silmitasertib</w:t>
      </w:r>
      <w:proofErr w:type="spellEnd"/>
      <w:r w:rsidRPr="00B64E30">
        <w:rPr>
          <w:rFonts w:ascii="Garamond" w:hAnsi="Garamond"/>
          <w:iCs/>
          <w:sz w:val="20"/>
          <w:szCs w:val="20"/>
        </w:rPr>
        <w:t xml:space="preserve">-based Drugs as a Potential Casein Kinase II Inhibitor for Cholangiocarcinoma through Hybrid In-silico Ligand-Based Virtual Screening with Molecular Docking Method. International Journal of Drug Delivery Technology. 2023;13(4):1514-1519. </w:t>
      </w:r>
      <w:hyperlink r:id="rId47" w:history="1">
        <w:r w:rsidRPr="00B64E30">
          <w:rPr>
            <w:rStyle w:val="Hyperlink"/>
            <w:rFonts w:ascii="Garamond" w:hAnsi="Garamond"/>
            <w:iCs/>
            <w:sz w:val="20"/>
            <w:szCs w:val="20"/>
          </w:rPr>
          <w:t>https://doi.org/10.25258/ijddt.13.4.60</w:t>
        </w:r>
      </w:hyperlink>
      <w:r w:rsidRPr="00B64E30">
        <w:rPr>
          <w:rFonts w:ascii="Garamond" w:hAnsi="Garamond"/>
          <w:iCs/>
          <w:sz w:val="20"/>
          <w:szCs w:val="20"/>
        </w:rPr>
        <w:t xml:space="preserve"> </w:t>
      </w:r>
    </w:p>
    <w:p w14:paraId="53D20366"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Tare H, Vaidya V, </w:t>
      </w:r>
      <w:proofErr w:type="spellStart"/>
      <w:r w:rsidRPr="00B64E30">
        <w:rPr>
          <w:rFonts w:ascii="Garamond" w:hAnsi="Garamond"/>
          <w:iCs/>
          <w:sz w:val="20"/>
          <w:szCs w:val="20"/>
        </w:rPr>
        <w:t>Fulmali</w:t>
      </w:r>
      <w:proofErr w:type="spellEnd"/>
      <w:r w:rsidRPr="00B64E30">
        <w:rPr>
          <w:rFonts w:ascii="Garamond" w:hAnsi="Garamond"/>
          <w:iCs/>
          <w:sz w:val="20"/>
          <w:szCs w:val="20"/>
        </w:rPr>
        <w:t xml:space="preserve"> S, Jadhao S, Wankhade M, Bhise M. Transcriptomic Insight and Structural Integration: Repositioning FDA-Approved Methotrexate Derivative for Precision Therapy in Lung Cancer through Drug-Drug Similarity Analysis and Cavity-Guided Blind Docking. International Research Journal of Multidisciplinary Scope (IRJMS), 2024; 5(1): 631-639. </w:t>
      </w:r>
      <w:hyperlink r:id="rId48" w:tgtFrame="_blank" w:history="1">
        <w:r w:rsidRPr="00B64E30">
          <w:rPr>
            <w:rStyle w:val="Hyperlink"/>
            <w:rFonts w:ascii="Garamond" w:hAnsi="Garamond"/>
            <w:iCs/>
            <w:sz w:val="20"/>
            <w:szCs w:val="20"/>
          </w:rPr>
          <w:t>https://doi.org/10.47857/irjms.2024.v05i01.0300</w:t>
        </w:r>
      </w:hyperlink>
    </w:p>
    <w:p w14:paraId="3AD9491B"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Deore</w:t>
      </w:r>
      <w:proofErr w:type="spellEnd"/>
      <w:r w:rsidRPr="00B64E30">
        <w:rPr>
          <w:rFonts w:ascii="Garamond" w:hAnsi="Garamond"/>
          <w:iCs/>
          <w:sz w:val="20"/>
          <w:szCs w:val="20"/>
        </w:rPr>
        <w:t xml:space="preserve"> S, </w:t>
      </w:r>
      <w:proofErr w:type="spellStart"/>
      <w:r w:rsidRPr="00B64E30">
        <w:rPr>
          <w:rFonts w:ascii="Garamond" w:hAnsi="Garamond"/>
          <w:iCs/>
          <w:sz w:val="20"/>
          <w:szCs w:val="20"/>
        </w:rPr>
        <w:t>Kachave</w:t>
      </w:r>
      <w:proofErr w:type="spellEnd"/>
      <w:r w:rsidRPr="00B64E30">
        <w:rPr>
          <w:rFonts w:ascii="Garamond" w:hAnsi="Garamond"/>
          <w:iCs/>
          <w:sz w:val="20"/>
          <w:szCs w:val="20"/>
        </w:rPr>
        <w:t xml:space="preserve"> R, Gholap P, Mahajan K, Tare H. Computational Identification of Methionyl-</w:t>
      </w:r>
      <w:proofErr w:type="spellStart"/>
      <w:r w:rsidRPr="00B64E30">
        <w:rPr>
          <w:rFonts w:ascii="Garamond" w:hAnsi="Garamond"/>
          <w:iCs/>
          <w:sz w:val="20"/>
          <w:szCs w:val="20"/>
        </w:rPr>
        <w:t>tRNASynthetase</w:t>
      </w:r>
      <w:proofErr w:type="spellEnd"/>
      <w:r w:rsidRPr="00B64E30">
        <w:rPr>
          <w:rFonts w:ascii="Garamond" w:hAnsi="Garamond"/>
          <w:iCs/>
          <w:sz w:val="20"/>
          <w:szCs w:val="20"/>
        </w:rPr>
        <w:t xml:space="preserve"> Inhibitors for Brucella </w:t>
      </w:r>
      <w:proofErr w:type="spellStart"/>
      <w:r w:rsidRPr="00B64E30">
        <w:rPr>
          <w:rFonts w:ascii="Garamond" w:hAnsi="Garamond"/>
          <w:iCs/>
          <w:sz w:val="20"/>
          <w:szCs w:val="20"/>
        </w:rPr>
        <w:t>melitensis</w:t>
      </w:r>
      <w:proofErr w:type="spellEnd"/>
      <w:r w:rsidRPr="00B64E30">
        <w:rPr>
          <w:rFonts w:ascii="Garamond" w:hAnsi="Garamond"/>
          <w:iCs/>
          <w:sz w:val="20"/>
          <w:szCs w:val="20"/>
        </w:rPr>
        <w:t>: A Hybrid of Ligand-based Classic 3-</w:t>
      </w:r>
      <w:r w:rsidRPr="00B64E30">
        <w:rPr>
          <w:rFonts w:ascii="Garamond" w:hAnsi="Garamond"/>
          <w:iCs/>
          <w:sz w:val="20"/>
          <w:szCs w:val="20"/>
        </w:rPr>
        <w:t>Point Pharmacophore Screening and Structure Cavity Guided Blind Docking Approach. International Journal of Pharmaceutical Quality Assurance. 2023;14(4):1151-7. https://doi.org/ 10.25258/ijpqa.14.4.50</w:t>
      </w:r>
    </w:p>
    <w:p w14:paraId="3CD65D9C"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Deore</w:t>
      </w:r>
      <w:proofErr w:type="spellEnd"/>
      <w:r w:rsidRPr="00B64E30">
        <w:rPr>
          <w:rFonts w:ascii="Garamond" w:hAnsi="Garamond"/>
          <w:iCs/>
          <w:sz w:val="20"/>
          <w:szCs w:val="20"/>
        </w:rPr>
        <w:t xml:space="preserve"> S, Wagh V, Thorat M, Bidkar S, Tare H. In-silico Discovery of Potential Dengue Type 2 Virus NS1 Inhibitors: A Natural Ligand Zingerone-Derived 3-Point Pharmacophore Screening and Structure-Guided Blind Docking Study. International Journal of Pharmaceutical Quality Assurance. 2024;15(1):414-420. https://doi.org/ 10.25258/ijpqa.15.1.64</w:t>
      </w:r>
    </w:p>
    <w:p w14:paraId="06D20A7C"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Deore</w:t>
      </w:r>
      <w:proofErr w:type="spellEnd"/>
      <w:r w:rsidRPr="00B64E30">
        <w:rPr>
          <w:rFonts w:ascii="Garamond" w:hAnsi="Garamond"/>
          <w:iCs/>
          <w:sz w:val="20"/>
          <w:szCs w:val="20"/>
        </w:rPr>
        <w:t xml:space="preserve"> S, Wagh V, Tare H, </w:t>
      </w:r>
      <w:proofErr w:type="spellStart"/>
      <w:r w:rsidRPr="00B64E30">
        <w:rPr>
          <w:rFonts w:ascii="Garamond" w:hAnsi="Garamond"/>
          <w:iCs/>
          <w:sz w:val="20"/>
          <w:szCs w:val="20"/>
        </w:rPr>
        <w:t>Kayande</w:t>
      </w:r>
      <w:proofErr w:type="spellEnd"/>
      <w:r w:rsidRPr="00B64E30">
        <w:rPr>
          <w:rFonts w:ascii="Garamond" w:hAnsi="Garamond"/>
          <w:iCs/>
          <w:sz w:val="20"/>
          <w:szCs w:val="20"/>
        </w:rPr>
        <w:t xml:space="preserve"> N, </w:t>
      </w:r>
      <w:proofErr w:type="spellStart"/>
      <w:r w:rsidRPr="00B64E30">
        <w:rPr>
          <w:rFonts w:ascii="Garamond" w:hAnsi="Garamond"/>
          <w:iCs/>
          <w:sz w:val="20"/>
          <w:szCs w:val="20"/>
        </w:rPr>
        <w:t>Thube</w:t>
      </w:r>
      <w:proofErr w:type="spellEnd"/>
      <w:r w:rsidRPr="00B64E30">
        <w:rPr>
          <w:rFonts w:ascii="Garamond" w:hAnsi="Garamond"/>
          <w:iCs/>
          <w:sz w:val="20"/>
          <w:szCs w:val="20"/>
        </w:rPr>
        <w:t xml:space="preserve"> U. Molecular Docking Analysis of Potentilla fulgens Polyphenols against Estrogen Receptors Involved in Breast Cancer. International Journal of Pharmaceutical Quality Assurance. 2024;15(1):346-350. https://doi.org/ 10.25258/ijpqa.15.1.55</w:t>
      </w:r>
    </w:p>
    <w:p w14:paraId="42E8DE3C"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Deore</w:t>
      </w:r>
      <w:proofErr w:type="spellEnd"/>
      <w:r w:rsidRPr="00B64E30">
        <w:rPr>
          <w:rFonts w:ascii="Garamond" w:hAnsi="Garamond"/>
          <w:iCs/>
          <w:sz w:val="20"/>
          <w:szCs w:val="20"/>
        </w:rPr>
        <w:t xml:space="preserve"> S, Tajane P, Bhosale A, </w:t>
      </w:r>
      <w:proofErr w:type="spellStart"/>
      <w:r w:rsidRPr="00B64E30">
        <w:rPr>
          <w:rFonts w:ascii="Garamond" w:hAnsi="Garamond"/>
          <w:iCs/>
          <w:sz w:val="20"/>
          <w:szCs w:val="20"/>
        </w:rPr>
        <w:t>Thube</w:t>
      </w:r>
      <w:proofErr w:type="spellEnd"/>
      <w:r w:rsidRPr="00B64E30">
        <w:rPr>
          <w:rFonts w:ascii="Garamond" w:hAnsi="Garamond"/>
          <w:iCs/>
          <w:sz w:val="20"/>
          <w:szCs w:val="20"/>
        </w:rPr>
        <w:t xml:space="preserve"> U, Wagh V, </w:t>
      </w:r>
      <w:proofErr w:type="spellStart"/>
      <w:r w:rsidRPr="00B64E30">
        <w:rPr>
          <w:rFonts w:ascii="Garamond" w:hAnsi="Garamond"/>
          <w:iCs/>
          <w:sz w:val="20"/>
          <w:szCs w:val="20"/>
        </w:rPr>
        <w:t>Wakale</w:t>
      </w:r>
      <w:proofErr w:type="spellEnd"/>
      <w:r w:rsidRPr="00B64E30">
        <w:rPr>
          <w:rFonts w:ascii="Garamond" w:hAnsi="Garamond"/>
          <w:iCs/>
          <w:sz w:val="20"/>
          <w:szCs w:val="20"/>
        </w:rPr>
        <w:t xml:space="preserve"> V, Tare H. 2-(3, 4-Dihydroxyphenyl)-5, 7-Dihydroxy-4H-Chromen-4-One Flavones Based Virtual Screening for Potential JAK Inhibitors in Inflammatory Disorders. International Research Journal of Multidisciplinary Scope (IRJMS), 2024; 5(1): 557-567. https://doi.org/ </w:t>
      </w:r>
      <w:hyperlink r:id="rId49" w:tgtFrame="_blank" w:history="1">
        <w:r w:rsidRPr="00B64E30">
          <w:rPr>
            <w:rStyle w:val="Hyperlink"/>
            <w:rFonts w:ascii="Garamond" w:hAnsi="Garamond"/>
            <w:iCs/>
            <w:sz w:val="20"/>
            <w:szCs w:val="20"/>
          </w:rPr>
          <w:t>10.47857/</w:t>
        </w:r>
        <w:proofErr w:type="gramStart"/>
        <w:r w:rsidRPr="00B64E30">
          <w:rPr>
            <w:rStyle w:val="Hyperlink"/>
            <w:rFonts w:ascii="Garamond" w:hAnsi="Garamond"/>
            <w:iCs/>
            <w:sz w:val="20"/>
            <w:szCs w:val="20"/>
          </w:rPr>
          <w:t>irjms.2024.v</w:t>
        </w:r>
        <w:proofErr w:type="gramEnd"/>
        <w:r w:rsidRPr="00B64E30">
          <w:rPr>
            <w:rStyle w:val="Hyperlink"/>
            <w:rFonts w:ascii="Garamond" w:hAnsi="Garamond"/>
            <w:iCs/>
            <w:sz w:val="20"/>
            <w:szCs w:val="20"/>
          </w:rPr>
          <w:t>05i01.0268</w:t>
        </w:r>
      </w:hyperlink>
    </w:p>
    <w:p w14:paraId="7AA27D8F" w14:textId="77777777" w:rsidR="00B64E30" w:rsidRPr="00B64E30" w:rsidRDefault="00B64E30" w:rsidP="00117B5F">
      <w:pPr>
        <w:numPr>
          <w:ilvl w:val="0"/>
          <w:numId w:val="33"/>
        </w:numPr>
        <w:ind w:left="425" w:hanging="357"/>
        <w:rPr>
          <w:rFonts w:ascii="Garamond" w:hAnsi="Garamond"/>
          <w:iCs/>
          <w:sz w:val="20"/>
          <w:szCs w:val="20"/>
        </w:rPr>
      </w:pPr>
      <w:proofErr w:type="spellStart"/>
      <w:r w:rsidRPr="00B64E30">
        <w:rPr>
          <w:rFonts w:ascii="Garamond" w:hAnsi="Garamond"/>
          <w:iCs/>
          <w:sz w:val="20"/>
          <w:szCs w:val="20"/>
        </w:rPr>
        <w:t>Wakale</w:t>
      </w:r>
      <w:proofErr w:type="spellEnd"/>
      <w:r w:rsidRPr="00B64E30">
        <w:rPr>
          <w:rFonts w:ascii="Garamond" w:hAnsi="Garamond"/>
          <w:iCs/>
          <w:sz w:val="20"/>
          <w:szCs w:val="20"/>
        </w:rPr>
        <w:t xml:space="preserve"> V, </w:t>
      </w:r>
      <w:proofErr w:type="spellStart"/>
      <w:r w:rsidRPr="00B64E30">
        <w:rPr>
          <w:rFonts w:ascii="Garamond" w:hAnsi="Garamond"/>
          <w:iCs/>
          <w:sz w:val="20"/>
          <w:szCs w:val="20"/>
        </w:rPr>
        <w:t>Kachave</w:t>
      </w:r>
      <w:proofErr w:type="spellEnd"/>
      <w:r w:rsidRPr="00B64E30">
        <w:rPr>
          <w:rFonts w:ascii="Garamond" w:hAnsi="Garamond"/>
          <w:iCs/>
          <w:sz w:val="20"/>
          <w:szCs w:val="20"/>
        </w:rPr>
        <w:t xml:space="preserve"> R, Gholap P, Mahajan K, Tare H. Design and Discovery of Genistein-based Drugs as a Potential Tyrosine Kinase Inhibitor for Lung Adenocarcinoma through Hybrid In-silico Methods. International Journal of Drug Delivery Technology. 2023;13(4):1422-1427. https://doi.org/ 10.25258/ijddt.13.4.47</w:t>
      </w:r>
    </w:p>
    <w:p w14:paraId="46B7C804"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Mujawar T, Tare H, Deshmukh N, </w:t>
      </w:r>
      <w:proofErr w:type="spellStart"/>
      <w:r w:rsidRPr="00B64E30">
        <w:rPr>
          <w:rFonts w:ascii="Garamond" w:hAnsi="Garamond"/>
          <w:iCs/>
          <w:sz w:val="20"/>
          <w:szCs w:val="20"/>
        </w:rPr>
        <w:t>Udugade</w:t>
      </w:r>
      <w:proofErr w:type="spellEnd"/>
      <w:r w:rsidRPr="00B64E30">
        <w:rPr>
          <w:rFonts w:ascii="Garamond" w:hAnsi="Garamond"/>
          <w:iCs/>
          <w:sz w:val="20"/>
          <w:szCs w:val="20"/>
        </w:rPr>
        <w:t xml:space="preserve"> B, </w:t>
      </w:r>
      <w:proofErr w:type="spellStart"/>
      <w:r w:rsidRPr="00B64E30">
        <w:rPr>
          <w:rFonts w:ascii="Garamond" w:hAnsi="Garamond"/>
          <w:iCs/>
          <w:sz w:val="20"/>
          <w:szCs w:val="20"/>
        </w:rPr>
        <w:t>Thube</w:t>
      </w:r>
      <w:proofErr w:type="spellEnd"/>
      <w:r w:rsidRPr="00B64E30">
        <w:rPr>
          <w:rFonts w:ascii="Garamond" w:hAnsi="Garamond"/>
          <w:iCs/>
          <w:sz w:val="20"/>
          <w:szCs w:val="20"/>
        </w:rPr>
        <w:t xml:space="preserve"> U. Repurposing FDA-Approved Anastrozole-based Drugs for Breast Cancer through Drug-Drug Transcriptomic Similarity and Cavity Detection Guided Blind Docking. International Journal of Drug Delivery Technology. 2023;13(4):1172-1177. https://doi.org/ 10.25258/ijddt.13.4.08</w:t>
      </w:r>
    </w:p>
    <w:p w14:paraId="13811F0B"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Gaikwad A, </w:t>
      </w:r>
      <w:proofErr w:type="spellStart"/>
      <w:r w:rsidRPr="00B64E30">
        <w:rPr>
          <w:rFonts w:ascii="Garamond" w:hAnsi="Garamond"/>
          <w:iCs/>
          <w:sz w:val="20"/>
          <w:szCs w:val="20"/>
        </w:rPr>
        <w:t>Kayande</w:t>
      </w:r>
      <w:proofErr w:type="spellEnd"/>
      <w:r w:rsidRPr="00B64E30">
        <w:rPr>
          <w:rFonts w:ascii="Garamond" w:hAnsi="Garamond"/>
          <w:iCs/>
          <w:sz w:val="20"/>
          <w:szCs w:val="20"/>
        </w:rPr>
        <w:t xml:space="preserve"> N, Tare H, </w:t>
      </w:r>
      <w:proofErr w:type="spellStart"/>
      <w:r w:rsidRPr="00B64E30">
        <w:rPr>
          <w:rFonts w:ascii="Garamond" w:hAnsi="Garamond"/>
          <w:iCs/>
          <w:sz w:val="20"/>
          <w:szCs w:val="20"/>
        </w:rPr>
        <w:t>Udugade</w:t>
      </w:r>
      <w:proofErr w:type="spellEnd"/>
      <w:r w:rsidRPr="00B64E30">
        <w:rPr>
          <w:rFonts w:ascii="Garamond" w:hAnsi="Garamond"/>
          <w:iCs/>
          <w:sz w:val="20"/>
          <w:szCs w:val="20"/>
        </w:rPr>
        <w:t xml:space="preserve"> B, </w:t>
      </w:r>
      <w:proofErr w:type="spellStart"/>
      <w:r w:rsidRPr="00B64E30">
        <w:rPr>
          <w:rFonts w:ascii="Garamond" w:hAnsi="Garamond"/>
          <w:iCs/>
          <w:sz w:val="20"/>
          <w:szCs w:val="20"/>
        </w:rPr>
        <w:t>Kachave</w:t>
      </w:r>
      <w:proofErr w:type="spellEnd"/>
      <w:r w:rsidRPr="00B64E30">
        <w:rPr>
          <w:rFonts w:ascii="Garamond" w:hAnsi="Garamond"/>
          <w:iCs/>
          <w:sz w:val="20"/>
          <w:szCs w:val="20"/>
        </w:rPr>
        <w:t xml:space="preserve"> R. In-silico Design and Development of Multi-Target Agents Targeting Glycogen Synthase Kinase-3 Beta (GSK-3β) and Vascular Endothelial Growth Factor Receptor 2 for Acute Myeloid Leukemia. International Journal of Drug Delivery Technology. 2023;13(4):1428-1434. https://doi.org/ 10.25258/ijddt.13.4.48</w:t>
      </w:r>
    </w:p>
    <w:p w14:paraId="5B909773"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Mujawar T, </w:t>
      </w:r>
      <w:proofErr w:type="spellStart"/>
      <w:r w:rsidRPr="00B64E30">
        <w:rPr>
          <w:rFonts w:ascii="Garamond" w:hAnsi="Garamond"/>
          <w:iCs/>
          <w:sz w:val="20"/>
          <w:szCs w:val="20"/>
        </w:rPr>
        <w:t>Kayande</w:t>
      </w:r>
      <w:proofErr w:type="spellEnd"/>
      <w:r w:rsidRPr="00B64E30">
        <w:rPr>
          <w:rFonts w:ascii="Garamond" w:hAnsi="Garamond"/>
          <w:iCs/>
          <w:sz w:val="20"/>
          <w:szCs w:val="20"/>
        </w:rPr>
        <w:t xml:space="preserve"> N, </w:t>
      </w:r>
      <w:proofErr w:type="spellStart"/>
      <w:r w:rsidRPr="00B64E30">
        <w:rPr>
          <w:rFonts w:ascii="Garamond" w:hAnsi="Garamond"/>
          <w:iCs/>
          <w:sz w:val="20"/>
          <w:szCs w:val="20"/>
        </w:rPr>
        <w:t>Thube</w:t>
      </w:r>
      <w:proofErr w:type="spellEnd"/>
      <w:r w:rsidRPr="00B64E30">
        <w:rPr>
          <w:rFonts w:ascii="Garamond" w:hAnsi="Garamond"/>
          <w:iCs/>
          <w:sz w:val="20"/>
          <w:szCs w:val="20"/>
        </w:rPr>
        <w:t xml:space="preserve"> U, </w:t>
      </w:r>
      <w:proofErr w:type="spellStart"/>
      <w:r w:rsidRPr="00B64E30">
        <w:rPr>
          <w:rFonts w:ascii="Garamond" w:hAnsi="Garamond"/>
          <w:iCs/>
          <w:sz w:val="20"/>
          <w:szCs w:val="20"/>
        </w:rPr>
        <w:t>Belhekar</w:t>
      </w:r>
      <w:proofErr w:type="spellEnd"/>
      <w:r w:rsidRPr="00B64E30">
        <w:rPr>
          <w:rFonts w:ascii="Garamond" w:hAnsi="Garamond"/>
          <w:iCs/>
          <w:sz w:val="20"/>
          <w:szCs w:val="20"/>
        </w:rPr>
        <w:t xml:space="preserve"> S, Deshmukh N, Tare H. Unlocking Therapeutic </w:t>
      </w:r>
      <w:r w:rsidRPr="00B64E30">
        <w:rPr>
          <w:rFonts w:ascii="Garamond" w:hAnsi="Garamond"/>
          <w:iCs/>
          <w:sz w:val="20"/>
          <w:szCs w:val="20"/>
        </w:rPr>
        <w:lastRenderedPageBreak/>
        <w:t xml:space="preserve">Potential: A Comprehensive Exploration of FDA-Approved Sirolimus </w:t>
      </w:r>
      <w:proofErr w:type="spellStart"/>
      <w:r w:rsidRPr="00B64E30">
        <w:rPr>
          <w:rFonts w:ascii="Garamond" w:hAnsi="Garamond"/>
          <w:iCs/>
          <w:sz w:val="20"/>
          <w:szCs w:val="20"/>
        </w:rPr>
        <w:t>similars</w:t>
      </w:r>
      <w:proofErr w:type="spellEnd"/>
      <w:r w:rsidRPr="00B64E30">
        <w:rPr>
          <w:rFonts w:ascii="Garamond" w:hAnsi="Garamond"/>
          <w:iCs/>
          <w:sz w:val="20"/>
          <w:szCs w:val="20"/>
        </w:rPr>
        <w:t xml:space="preserve"> for Perivascular Epithelioid Cell Tumor Treatment through Transcriptomic Insight, Structural Integration, and Drug-Drug Similarity Analysis with Cavity-Guided Blind Docking. International Journal of Drug Delivery Technology. 2023;13(4):1194-1198. https://doi.org/ 10.25258/ijddt.13.4.12</w:t>
      </w:r>
    </w:p>
    <w:p w14:paraId="550F084B" w14:textId="77777777" w:rsidR="00B64E30" w:rsidRPr="00B64E30" w:rsidRDefault="00B64E30" w:rsidP="00117B5F">
      <w:pPr>
        <w:numPr>
          <w:ilvl w:val="0"/>
          <w:numId w:val="33"/>
        </w:numPr>
        <w:ind w:left="425" w:hanging="357"/>
        <w:rPr>
          <w:rFonts w:ascii="Garamond" w:hAnsi="Garamond"/>
          <w:iCs/>
          <w:sz w:val="20"/>
          <w:szCs w:val="20"/>
        </w:rPr>
      </w:pPr>
      <w:r w:rsidRPr="00B64E30">
        <w:rPr>
          <w:rFonts w:ascii="Garamond" w:hAnsi="Garamond"/>
          <w:iCs/>
          <w:sz w:val="20"/>
          <w:szCs w:val="20"/>
        </w:rPr>
        <w:t xml:space="preserve">Tare H, </w:t>
      </w:r>
      <w:proofErr w:type="spellStart"/>
      <w:r w:rsidRPr="00B64E30">
        <w:rPr>
          <w:rFonts w:ascii="Garamond" w:hAnsi="Garamond"/>
          <w:iCs/>
          <w:sz w:val="20"/>
          <w:szCs w:val="20"/>
        </w:rPr>
        <w:t>Bedse</w:t>
      </w:r>
      <w:proofErr w:type="spellEnd"/>
      <w:r w:rsidRPr="00B64E30">
        <w:rPr>
          <w:rFonts w:ascii="Garamond" w:hAnsi="Garamond"/>
          <w:iCs/>
          <w:sz w:val="20"/>
          <w:szCs w:val="20"/>
        </w:rPr>
        <w:t xml:space="preserve"> A, </w:t>
      </w:r>
      <w:proofErr w:type="spellStart"/>
      <w:r w:rsidRPr="00B64E30">
        <w:rPr>
          <w:rFonts w:ascii="Garamond" w:hAnsi="Garamond"/>
          <w:iCs/>
          <w:sz w:val="20"/>
          <w:szCs w:val="20"/>
        </w:rPr>
        <w:t>Thube</w:t>
      </w:r>
      <w:proofErr w:type="spellEnd"/>
      <w:r w:rsidRPr="00B64E30">
        <w:rPr>
          <w:rFonts w:ascii="Garamond" w:hAnsi="Garamond"/>
          <w:iCs/>
          <w:sz w:val="20"/>
          <w:szCs w:val="20"/>
        </w:rPr>
        <w:t xml:space="preserve"> U, </w:t>
      </w:r>
      <w:proofErr w:type="spellStart"/>
      <w:r w:rsidRPr="00B64E30">
        <w:rPr>
          <w:rFonts w:ascii="Garamond" w:hAnsi="Garamond"/>
          <w:iCs/>
          <w:sz w:val="20"/>
          <w:szCs w:val="20"/>
        </w:rPr>
        <w:t>Kachave</w:t>
      </w:r>
      <w:proofErr w:type="spellEnd"/>
      <w:r w:rsidRPr="00B64E30">
        <w:rPr>
          <w:rFonts w:ascii="Garamond" w:hAnsi="Garamond"/>
          <w:iCs/>
          <w:sz w:val="20"/>
          <w:szCs w:val="20"/>
        </w:rPr>
        <w:t xml:space="preserve"> R, Wagh V. </w:t>
      </w:r>
      <w:proofErr w:type="spellStart"/>
      <w:r w:rsidRPr="00B64E30">
        <w:rPr>
          <w:rFonts w:ascii="Garamond" w:hAnsi="Garamond"/>
          <w:iCs/>
          <w:sz w:val="20"/>
          <w:szCs w:val="20"/>
        </w:rPr>
        <w:t>Eriodictyol</w:t>
      </w:r>
      <w:proofErr w:type="spellEnd"/>
      <w:r w:rsidRPr="00B64E30">
        <w:rPr>
          <w:rFonts w:ascii="Garamond" w:hAnsi="Garamond"/>
          <w:iCs/>
          <w:sz w:val="20"/>
          <w:szCs w:val="20"/>
        </w:rPr>
        <w:t xml:space="preserve"> Flavanones Based Virtual Screening of Bioactive Compounds from </w:t>
      </w:r>
      <w:proofErr w:type="spellStart"/>
      <w:r w:rsidRPr="00B64E30">
        <w:rPr>
          <w:rFonts w:ascii="Garamond" w:hAnsi="Garamond"/>
          <w:iCs/>
          <w:sz w:val="20"/>
          <w:szCs w:val="20"/>
        </w:rPr>
        <w:t>ChEMBL</w:t>
      </w:r>
      <w:proofErr w:type="spellEnd"/>
      <w:r w:rsidRPr="00B64E30">
        <w:rPr>
          <w:rFonts w:ascii="Garamond" w:hAnsi="Garamond"/>
          <w:iCs/>
          <w:sz w:val="20"/>
          <w:szCs w:val="20"/>
        </w:rPr>
        <w:t xml:space="preserve"> 2D Database with Classic 3-point Pharmacophore Screening Method for HER2 Inhibitors for Breast Cancer. International Journal of Drug Delivery Technology. 2023;13(4):1161-1166. https://doi.org/ 10.25258/ijddt.13.4.06</w:t>
      </w:r>
    </w:p>
    <w:p w14:paraId="50872609" w14:textId="7CFCCBBB" w:rsidR="00117B5F" w:rsidRPr="00440E6B" w:rsidRDefault="00B64E30" w:rsidP="00440E6B">
      <w:pPr>
        <w:numPr>
          <w:ilvl w:val="0"/>
          <w:numId w:val="33"/>
        </w:numPr>
        <w:ind w:left="425" w:hanging="357"/>
        <w:rPr>
          <w:rFonts w:ascii="Garamond" w:hAnsi="Garamond"/>
          <w:iCs/>
          <w:sz w:val="20"/>
          <w:szCs w:val="20"/>
        </w:rPr>
      </w:pPr>
      <w:proofErr w:type="spellStart"/>
      <w:r w:rsidRPr="00B64E30">
        <w:rPr>
          <w:rFonts w:ascii="Garamond" w:hAnsi="Garamond"/>
          <w:iCs/>
          <w:sz w:val="20"/>
          <w:szCs w:val="20"/>
        </w:rPr>
        <w:t>Deore</w:t>
      </w:r>
      <w:proofErr w:type="spellEnd"/>
      <w:r w:rsidRPr="00B64E30">
        <w:rPr>
          <w:rFonts w:ascii="Garamond" w:hAnsi="Garamond"/>
          <w:iCs/>
          <w:sz w:val="20"/>
          <w:szCs w:val="20"/>
        </w:rPr>
        <w:t xml:space="preserve"> S, Wagh V, </w:t>
      </w:r>
      <w:proofErr w:type="spellStart"/>
      <w:r w:rsidRPr="00B64E30">
        <w:rPr>
          <w:rFonts w:ascii="Garamond" w:hAnsi="Garamond"/>
          <w:iCs/>
          <w:sz w:val="20"/>
          <w:szCs w:val="20"/>
        </w:rPr>
        <w:t>Thube</w:t>
      </w:r>
      <w:proofErr w:type="spellEnd"/>
      <w:r w:rsidRPr="00B64E30">
        <w:rPr>
          <w:rFonts w:ascii="Garamond" w:hAnsi="Garamond"/>
          <w:iCs/>
          <w:sz w:val="20"/>
          <w:szCs w:val="20"/>
        </w:rPr>
        <w:t xml:space="preserve"> U, </w:t>
      </w:r>
      <w:proofErr w:type="spellStart"/>
      <w:r w:rsidRPr="00B64E30">
        <w:rPr>
          <w:rFonts w:ascii="Garamond" w:hAnsi="Garamond"/>
          <w:iCs/>
          <w:sz w:val="20"/>
          <w:szCs w:val="20"/>
        </w:rPr>
        <w:t>Kayande</w:t>
      </w:r>
      <w:proofErr w:type="spellEnd"/>
      <w:r w:rsidRPr="00B64E30">
        <w:rPr>
          <w:rFonts w:ascii="Garamond" w:hAnsi="Garamond"/>
          <w:iCs/>
          <w:sz w:val="20"/>
          <w:szCs w:val="20"/>
        </w:rPr>
        <w:t xml:space="preserve"> N, Tare H. In-silico Discovery of Potential Mycobacterium tuberculosis Cell Division Protein </w:t>
      </w:r>
      <w:proofErr w:type="spellStart"/>
      <w:r w:rsidRPr="00B64E30">
        <w:rPr>
          <w:rFonts w:ascii="Garamond" w:hAnsi="Garamond"/>
          <w:iCs/>
          <w:sz w:val="20"/>
          <w:szCs w:val="20"/>
        </w:rPr>
        <w:t>FtsZ</w:t>
      </w:r>
      <w:proofErr w:type="spellEnd"/>
      <w:r w:rsidRPr="00B64E30">
        <w:rPr>
          <w:rFonts w:ascii="Garamond" w:hAnsi="Garamond"/>
          <w:iCs/>
          <w:sz w:val="20"/>
          <w:szCs w:val="20"/>
        </w:rPr>
        <w:t xml:space="preserve"> Inhibitors: A Natural Ligand Piperine-Derived 3-Point Pharmacophore Screening and Structure-Guided Blind Docking Study. International Journal of Pharmaceutical Quality Assurance. 2024;15(1):351-356.https://doi.org/ 10.25258/ijpqa.15.1.56</w:t>
      </w:r>
    </w:p>
    <w:p w14:paraId="48007562" w14:textId="77777777" w:rsidR="00AD7D44" w:rsidRDefault="00AD7D44" w:rsidP="003D02D5">
      <w:pPr>
        <w:spacing w:line="259" w:lineRule="auto"/>
        <w:jc w:val="both"/>
        <w:rPr>
          <w:rFonts w:ascii="Garamond" w:hAnsi="Garamond"/>
          <w:bCs/>
          <w:iCs/>
          <w:sz w:val="20"/>
          <w:szCs w:val="20"/>
        </w:rPr>
      </w:pPr>
    </w:p>
    <w:p w14:paraId="5F4AB202" w14:textId="77777777" w:rsidR="000720E5" w:rsidRDefault="000720E5" w:rsidP="003D02D5">
      <w:pPr>
        <w:spacing w:line="259" w:lineRule="auto"/>
        <w:jc w:val="both"/>
        <w:rPr>
          <w:rFonts w:ascii="Garamond" w:hAnsi="Garamond"/>
          <w:bCs/>
          <w:iCs/>
          <w:sz w:val="20"/>
          <w:szCs w:val="20"/>
        </w:rPr>
      </w:pPr>
    </w:p>
    <w:sectPr w:rsidR="000720E5" w:rsidSect="00B64E30">
      <w:type w:val="continuous"/>
      <w:pgSz w:w="12240" w:h="15840"/>
      <w:pgMar w:top="1440" w:right="1440" w:bottom="1440" w:left="1440" w:header="720" w:footer="720" w:gutter="0"/>
      <w:cols w:num="2"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440288" w14:textId="77777777" w:rsidR="00E91769" w:rsidRDefault="00E91769" w:rsidP="00202B90">
      <w:r>
        <w:separator/>
      </w:r>
    </w:p>
  </w:endnote>
  <w:endnote w:type="continuationSeparator" w:id="0">
    <w:p w14:paraId="1C61EEAB" w14:textId="77777777" w:rsidR="00E91769" w:rsidRDefault="00E91769" w:rsidP="00202B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Quattrocento Sans">
    <w:panose1 w:val="020B0502050000020003"/>
    <w:charset w:val="00"/>
    <w:family w:val="swiss"/>
    <w:pitch w:val="variable"/>
    <w:sig w:usb0="800000BF" w:usb1="4000005B" w:usb2="00000000" w:usb3="00000000" w:csb0="00000001" w:csb1="00000000"/>
  </w:font>
  <w:font w:name="Garamond">
    <w:panose1 w:val="02020404030301010803"/>
    <w:charset w:val="00"/>
    <w:family w:val="roman"/>
    <w:pitch w:val="variable"/>
    <w:sig w:usb0="00000287" w:usb1="00000002"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92535" w14:textId="77777777" w:rsidR="006914B1" w:rsidRPr="001B7F2F" w:rsidRDefault="006914B1" w:rsidP="00E94E49">
    <w:pPr>
      <w:pStyle w:val="Footer"/>
      <w:tabs>
        <w:tab w:val="clear" w:pos="8640"/>
        <w:tab w:val="right" w:pos="9720"/>
      </w:tabs>
      <w:ind w:left="-360" w:right="-360"/>
      <w:rPr>
        <w:rFonts w:ascii="Garamond" w:hAnsi="Garamond"/>
        <w:sz w:val="18"/>
        <w:szCs w:val="18"/>
      </w:rPr>
    </w:pP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Pr>
        <w:rStyle w:val="PageNumber"/>
        <w:rFonts w:ascii="Garamond" w:hAnsi="Garamond"/>
        <w:noProof/>
        <w:sz w:val="18"/>
        <w:szCs w:val="18"/>
      </w:rPr>
      <w:t>6</w:t>
    </w:r>
    <w:r w:rsidRPr="001B7F2F">
      <w:rPr>
        <w:rStyle w:val="PageNumber"/>
        <w:rFonts w:ascii="Garamond" w:hAnsi="Garamond"/>
        <w:sz w:val="18"/>
        <w:szCs w:val="18"/>
      </w:rPr>
      <w:fldChar w:fldCharType="end"/>
    </w:r>
    <w:r w:rsidRPr="001B7F2F">
      <w:rPr>
        <w:rFonts w:ascii="Garamond" w:hAnsi="Garamond"/>
        <w:noProof/>
        <w:color w:val="394D94"/>
        <w:sz w:val="18"/>
        <w:szCs w:val="18"/>
      </w:rPr>
      <mc:AlternateContent>
        <mc:Choice Requires="wps">
          <w:drawing>
            <wp:anchor distT="0" distB="0" distL="114300" distR="114300" simplePos="0" relativeHeight="251693056" behindDoc="0" locked="0" layoutInCell="1" allowOverlap="1" wp14:anchorId="073A5307" wp14:editId="638FD868">
              <wp:simplePos x="0" y="0"/>
              <wp:positionH relativeFrom="column">
                <wp:posOffset>-228600</wp:posOffset>
              </wp:positionH>
              <wp:positionV relativeFrom="paragraph">
                <wp:posOffset>-95885</wp:posOffset>
              </wp:positionV>
              <wp:extent cx="6400800" cy="0"/>
              <wp:effectExtent l="0" t="0" r="25400" b="25400"/>
              <wp:wrapNone/>
              <wp:docPr id="5" name="Straight Connector 5"/>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360C75A6" id="Straight Connector 5" o:spid="_x0000_s1026" style="position:absolute;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7.55pt" to="486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" strokecolor="#394d94" strokeweight="1pt">
              <v:stroke joinstyle="miter"/>
            </v:line>
          </w:pict>
        </mc:Fallback>
      </mc:AlternateContent>
    </w:r>
    <w:r>
      <w:rPr>
        <w:rStyle w:val="PageNumber"/>
        <w:rFonts w:ascii="Garamond" w:hAnsi="Garamond"/>
        <w:sz w:val="18"/>
        <w:szCs w:val="18"/>
      </w:rPr>
      <w:tab/>
    </w:r>
    <w:r>
      <w:rPr>
        <w:rStyle w:val="PageNumber"/>
        <w:rFonts w:ascii="Garamond" w:hAnsi="Garamond"/>
        <w:sz w:val="18"/>
        <w:szCs w:val="18"/>
      </w:rPr>
      <w:tab/>
    </w:r>
    <w:bookmarkStart w:id="14" w:name="_Hlk114232143"/>
    <w:bookmarkStart w:id="15" w:name="_Hlk114232144"/>
    <w:r w:rsidRPr="001B7F2F">
      <w:rPr>
        <w:rFonts w:ascii="Garamond" w:hAnsi="Garamond"/>
        <w:sz w:val="18"/>
        <w:szCs w:val="18"/>
      </w:rPr>
      <w:t xml:space="preserve">Patient Experience Journal, Volume </w:t>
    </w:r>
    <w:r>
      <w:rPr>
        <w:rFonts w:ascii="Garamond" w:hAnsi="Garamond"/>
        <w:sz w:val="18"/>
        <w:szCs w:val="18"/>
      </w:rPr>
      <w:t xml:space="preserve">9, Issue </w:t>
    </w:r>
    <w:bookmarkEnd w:id="14"/>
    <w:bookmarkEnd w:id="15"/>
    <w:r>
      <w:rPr>
        <w:rFonts w:ascii="Garamond" w:hAnsi="Garamond"/>
        <w:sz w:val="18"/>
        <w:szCs w:val="18"/>
      </w:rPr>
      <w:t>3 – 2022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696C8" w14:textId="77777777" w:rsidR="006914B1" w:rsidRDefault="006914B1" w:rsidP="00E94E49">
    <w:pPr>
      <w:pStyle w:val="Footer"/>
      <w:ind w:left="-360" w:right="360"/>
      <w:rPr>
        <w:rFonts w:ascii="Arial" w:hAnsi="Arial"/>
        <w:color w:val="9999CC"/>
        <w:sz w:val="18"/>
        <w:szCs w:val="18"/>
      </w:rPr>
    </w:pPr>
  </w:p>
  <w:p w14:paraId="33E3361F" w14:textId="77777777" w:rsidR="006914B1" w:rsidRDefault="006914B1" w:rsidP="00E94E49">
    <w:pPr>
      <w:pStyle w:val="Footer"/>
      <w:ind w:left="-360"/>
      <w:rPr>
        <w:rFonts w:ascii="Arial" w:hAnsi="Arial"/>
        <w:color w:val="9999CC"/>
        <w:sz w:val="18"/>
        <w:szCs w:val="18"/>
      </w:rPr>
    </w:pPr>
    <w:r w:rsidRPr="00D70C5F">
      <w:rPr>
        <w:rFonts w:ascii="Garamond" w:hAnsi="Garamond"/>
        <w:noProof/>
        <w:sz w:val="18"/>
        <w:szCs w:val="18"/>
      </w:rPr>
      <mc:AlternateContent>
        <mc:Choice Requires="wps">
          <w:drawing>
            <wp:anchor distT="45720" distB="45720" distL="114300" distR="114300" simplePos="0" relativeHeight="251708416" behindDoc="0" locked="0" layoutInCell="1" allowOverlap="1" wp14:anchorId="206DF5B6" wp14:editId="3577F81F">
              <wp:simplePos x="0" y="0"/>
              <wp:positionH relativeFrom="column">
                <wp:posOffset>-161925</wp:posOffset>
              </wp:positionH>
              <wp:positionV relativeFrom="paragraph">
                <wp:posOffset>133350</wp:posOffset>
              </wp:positionV>
              <wp:extent cx="676275" cy="62865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628650"/>
                      </a:xfrm>
                      <a:prstGeom prst="rect">
                        <a:avLst/>
                      </a:prstGeom>
                      <a:solidFill>
                        <a:srgbClr val="FFFFFF"/>
                      </a:solidFill>
                      <a:ln w="9525">
                        <a:solidFill>
                          <a:srgbClr val="000000"/>
                        </a:solidFill>
                        <a:miter lim="800000"/>
                        <a:headEnd/>
                        <a:tailEnd/>
                      </a:ln>
                    </wps:spPr>
                    <wps:txbx>
                      <w:txbxContent>
                        <w:p w14:paraId="63BBD8B4" w14:textId="77777777" w:rsidR="006914B1" w:rsidRDefault="006914B1">
                          <w:r>
                            <w:rPr>
                              <w:noProof/>
                            </w:rPr>
                            <w:drawing>
                              <wp:inline distT="0" distB="0" distL="0" distR="0" wp14:anchorId="0A494047" wp14:editId="37339386">
                                <wp:extent cx="526695" cy="526695"/>
                                <wp:effectExtent l="0" t="0" r="6985" b="6985"/>
                                <wp:docPr id="1633861162" name="Picture 163386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an for front page.jpg"/>
                                        <pic:cNvPicPr/>
                                      </pic:nvPicPr>
                                      <pic:blipFill>
                                        <a:blip r:embed="rId1">
                                          <a:extLst>
                                            <a:ext uri="{28A0092B-C50C-407E-A947-70E740481C1C}">
                                              <a14:useLocalDpi xmlns:a14="http://schemas.microsoft.com/office/drawing/2010/main" val="0"/>
                                            </a:ext>
                                          </a:extLst>
                                        </a:blip>
                                        <a:stretch>
                                          <a:fillRect/>
                                        </a:stretch>
                                      </pic:blipFill>
                                      <pic:spPr>
                                        <a:xfrm>
                                          <a:off x="0" y="0"/>
                                          <a:ext cx="529235" cy="52923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6DF5B6" id="_x0000_t202" coordsize="21600,21600" o:spt="202" path="m,l,21600r21600,l21600,xe">
              <v:stroke joinstyle="miter"/>
              <v:path gradientshapeok="t" o:connecttype="rect"/>
            </v:shapetype>
            <v:shape id="Text Box 2" o:spid="_x0000_s1028" type="#_x0000_t202" style="position:absolute;left:0;text-align:left;margin-left:-12.75pt;margin-top:10.5pt;width:53.25pt;height:49.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">
              <v:textbox>
                <w:txbxContent>
                  <w:p w14:paraId="63BBD8B4" w14:textId="77777777" w:rsidR="006914B1" w:rsidRDefault="006914B1">
                    <w:r>
                      <w:rPr>
                        <w:noProof/>
                      </w:rPr>
                      <w:drawing>
                        <wp:inline distT="0" distB="0" distL="0" distR="0" wp14:anchorId="0A494047" wp14:editId="37339386">
                          <wp:extent cx="526695" cy="526695"/>
                          <wp:effectExtent l="0" t="0" r="6985" b="6985"/>
                          <wp:docPr id="1633861162" name="Picture 163386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an for front page.jpg"/>
                                  <pic:cNvPicPr/>
                                </pic:nvPicPr>
                                <pic:blipFill>
                                  <a:blip r:embed="rId1">
                                    <a:extLst>
                                      <a:ext uri="{28A0092B-C50C-407E-A947-70E740481C1C}">
                                        <a14:useLocalDpi xmlns:a14="http://schemas.microsoft.com/office/drawing/2010/main" val="0"/>
                                      </a:ext>
                                    </a:extLst>
                                  </a:blip>
                                  <a:stretch>
                                    <a:fillRect/>
                                  </a:stretch>
                                </pic:blipFill>
                                <pic:spPr>
                                  <a:xfrm>
                                    <a:off x="0" y="0"/>
                                    <a:ext cx="529235" cy="529235"/>
                                  </a:xfrm>
                                  <a:prstGeom prst="rect">
                                    <a:avLst/>
                                  </a:prstGeom>
                                </pic:spPr>
                              </pic:pic>
                            </a:graphicData>
                          </a:graphic>
                        </wp:inline>
                      </w:drawing>
                    </w:r>
                  </w:p>
                </w:txbxContent>
              </v:textbox>
              <w10:wrap type="square"/>
            </v:shape>
          </w:pict>
        </mc:Fallback>
      </mc:AlternateContent>
    </w:r>
    <w:r>
      <w:rPr>
        <w:rFonts w:ascii="Arial" w:hAnsi="Arial"/>
        <w:noProof/>
        <w:color w:val="394D94"/>
        <w:sz w:val="18"/>
        <w:szCs w:val="18"/>
      </w:rPr>
      <mc:AlternateContent>
        <mc:Choice Requires="wps">
          <w:drawing>
            <wp:anchor distT="0" distB="0" distL="114300" distR="114300" simplePos="0" relativeHeight="251689984" behindDoc="0" locked="0" layoutInCell="1" allowOverlap="1" wp14:anchorId="56768F28" wp14:editId="1D5EDFD4">
              <wp:simplePos x="0" y="0"/>
              <wp:positionH relativeFrom="column">
                <wp:posOffset>-228600</wp:posOffset>
              </wp:positionH>
              <wp:positionV relativeFrom="paragraph">
                <wp:posOffset>22860</wp:posOffset>
              </wp:positionV>
              <wp:extent cx="6400800" cy="0"/>
              <wp:effectExtent l="0" t="0" r="25400" b="25400"/>
              <wp:wrapNone/>
              <wp:docPr id="2" name="Straight Connector 2"/>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B288754" id="Straight Connector 2"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" strokecolor="#394d94" strokeweight="1pt">
              <v:stroke joinstyle="miter"/>
            </v:line>
          </w:pict>
        </mc:Fallback>
      </mc:AlternateContent>
    </w:r>
  </w:p>
  <w:p w14:paraId="2EA01755" w14:textId="6698B29A" w:rsidR="006914B1" w:rsidRPr="00DC7368" w:rsidRDefault="006914B1" w:rsidP="00045140">
    <w:pPr>
      <w:pStyle w:val="Footer"/>
      <w:tabs>
        <w:tab w:val="right" w:pos="9720"/>
      </w:tabs>
      <w:ind w:left="45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w:t>
    </w:r>
    <w:r w:rsidR="00004A03">
      <w:rPr>
        <w:rFonts w:ascii="Garamond" w:hAnsi="Garamond"/>
        <w:sz w:val="18"/>
        <w:szCs w:val="18"/>
      </w:rPr>
      <w:t>6</w:t>
    </w:r>
    <w:r>
      <w:rPr>
        <w:rFonts w:ascii="Garamond" w:hAnsi="Garamond"/>
        <w:sz w:val="18"/>
        <w:szCs w:val="18"/>
      </w:rPr>
      <w:t xml:space="preserve">, Issue </w:t>
    </w:r>
    <w:r w:rsidR="00004A03">
      <w:rPr>
        <w:rFonts w:ascii="Garamond" w:hAnsi="Garamond"/>
        <w:sz w:val="18"/>
        <w:szCs w:val="18"/>
      </w:rPr>
      <w:t>1</w:t>
    </w:r>
  </w:p>
  <w:p w14:paraId="4EABEA13" w14:textId="77777777" w:rsidR="006914B1" w:rsidRPr="00DC7368" w:rsidRDefault="006914B1" w:rsidP="00093CDE">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r w:rsidRPr="004339C9">
      <w:t xml:space="preserve"> </w:t>
    </w:r>
  </w:p>
  <w:p w14:paraId="343FBEB5" w14:textId="77777777" w:rsidR="006914B1" w:rsidRDefault="006914B1" w:rsidP="00093CDE">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0C83FD80" w14:textId="77777777" w:rsidR="006914B1" w:rsidRDefault="006914B1" w:rsidP="00045140">
    <w:pPr>
      <w:pStyle w:val="Footer"/>
      <w:tabs>
        <w:tab w:val="clear" w:pos="4320"/>
        <w:tab w:val="center" w:pos="4680"/>
        <w:tab w:val="right" w:pos="9720"/>
      </w:tabs>
      <w:ind w:left="-360" w:right="-360"/>
      <w:rPr>
        <w:rStyle w:val="PageNumbe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sidRPr="001B7F2F">
      <w:rPr>
        <w:rFonts w:ascii="Garamond" w:hAnsi="Garamond"/>
        <w:sz w:val="18"/>
        <w:szCs w:val="18"/>
      </w:rPr>
      <w:tab/>
    </w:r>
    <w:r>
      <w:rPr>
        <w:rFonts w:ascii="Garamond" w:hAnsi="Garamond"/>
        <w:sz w:val="18"/>
        <w:szCs w:val="18"/>
      </w:rPr>
      <w:tab/>
    </w:r>
    <w:r>
      <w:rPr>
        <w:rFonts w:ascii="Garamond" w:hAnsi="Garamond"/>
        <w:sz w:val="18"/>
        <w:szCs w:val="18"/>
      </w:rPr>
      <w:tab/>
    </w: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sidR="006337C2">
      <w:rPr>
        <w:rStyle w:val="PageNumber"/>
        <w:rFonts w:ascii="Garamond" w:hAnsi="Garamond"/>
        <w:noProof/>
        <w:sz w:val="18"/>
        <w:szCs w:val="18"/>
      </w:rPr>
      <w:t>1</w:t>
    </w:r>
    <w:r w:rsidRPr="001B7F2F">
      <w:rPr>
        <w:rStyle w:val="PageNumber"/>
        <w:rFonts w:ascii="Garamond" w:hAnsi="Garamond"/>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2308" w14:textId="77777777" w:rsidR="006914B1" w:rsidRDefault="006914B1" w:rsidP="002A61BC">
    <w:pPr>
      <w:pStyle w:val="Footer"/>
      <w:ind w:left="-360" w:right="360"/>
      <w:rPr>
        <w:rFonts w:ascii="Arial" w:hAnsi="Arial"/>
        <w:color w:val="9999CC"/>
        <w:sz w:val="18"/>
        <w:szCs w:val="18"/>
      </w:rPr>
    </w:pPr>
  </w:p>
  <w:p w14:paraId="4665A0AE" w14:textId="77777777" w:rsidR="006914B1" w:rsidRDefault="006914B1" w:rsidP="002A61BC">
    <w:pPr>
      <w:pStyle w:val="Footer"/>
      <w:ind w:left="-360"/>
      <w:rPr>
        <w:rFonts w:ascii="Arial" w:hAnsi="Arial"/>
        <w:color w:val="9999CC"/>
        <w:sz w:val="18"/>
        <w:szCs w:val="18"/>
      </w:rPr>
    </w:pPr>
    <w:r>
      <w:rPr>
        <w:rFonts w:ascii="Arial" w:hAnsi="Arial"/>
        <w:noProof/>
        <w:color w:val="394D94"/>
        <w:sz w:val="18"/>
        <w:szCs w:val="18"/>
      </w:rPr>
      <mc:AlternateContent>
        <mc:Choice Requires="wps">
          <w:drawing>
            <wp:anchor distT="0" distB="0" distL="114300" distR="114300" simplePos="0" relativeHeight="251699200" behindDoc="0" locked="0" layoutInCell="1" allowOverlap="1" wp14:anchorId="76E217D9" wp14:editId="5AB9CC7A">
              <wp:simplePos x="0" y="0"/>
              <wp:positionH relativeFrom="column">
                <wp:posOffset>-228600</wp:posOffset>
              </wp:positionH>
              <wp:positionV relativeFrom="paragraph">
                <wp:posOffset>22860</wp:posOffset>
              </wp:positionV>
              <wp:extent cx="6400800" cy="0"/>
              <wp:effectExtent l="0" t="0" r="25400" b="25400"/>
              <wp:wrapNone/>
              <wp:docPr id="14" name="Straight Connector 14"/>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63F2F25B" id="Straight Connector 14" o:spid="_x0000_s1026"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" strokecolor="#394d94" strokeweight="1pt">
              <v:stroke joinstyle="miter"/>
            </v:line>
          </w:pict>
        </mc:Fallback>
      </mc:AlternateContent>
    </w:r>
  </w:p>
  <w:p w14:paraId="43D20495" w14:textId="77777777" w:rsidR="006914B1" w:rsidRPr="00DC7368" w:rsidRDefault="006914B1" w:rsidP="002A61BC">
    <w:pPr>
      <w:pStyle w:val="Footer"/>
      <w:tabs>
        <w:tab w:val="right" w:pos="9720"/>
      </w:tabs>
      <w:ind w:left="-36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23, Issue 2 </w:t>
    </w:r>
  </w:p>
  <w:p w14:paraId="6B06AC02" w14:textId="77777777" w:rsidR="006914B1" w:rsidRPr="00DC7368" w:rsidRDefault="006914B1" w:rsidP="002A61BC">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p>
  <w:p w14:paraId="7A01A76F" w14:textId="77777777" w:rsidR="006914B1" w:rsidRDefault="006914B1" w:rsidP="002A61BC">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2C813DF1" w14:textId="77777777" w:rsidR="006914B1" w:rsidRPr="002A61BC" w:rsidRDefault="006914B1" w:rsidP="002A61BC">
    <w:pPr>
      <w:pStyle w:val="Footer"/>
      <w:tabs>
        <w:tab w:val="right" w:pos="9720"/>
      </w:tabs>
      <w:ind w:left="-360" w:right="-360"/>
      <w:rP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Pr>
        <w:rFonts w:ascii="Garamond" w:hAnsi="Garamond"/>
        <w:sz w:val="18"/>
        <w:szCs w:val="18"/>
      </w:rPr>
      <w:tab/>
    </w:r>
    <w:r>
      <w:rPr>
        <w:rFonts w:ascii="Garamond" w:hAnsi="Garamond"/>
        <w:sz w:val="18"/>
        <w:szCs w:val="18"/>
      </w:rPr>
      <w:tab/>
    </w:r>
    <w:r>
      <w:rPr>
        <w:rFonts w:ascii="Garamond" w:hAnsi="Garamond"/>
        <w:sz w:val="18"/>
        <w:szCs w:val="18"/>
      </w:rPr>
      <w:tab/>
    </w: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Pr>
        <w:rStyle w:val="PageNumber"/>
        <w:rFonts w:ascii="Garamond" w:hAnsi="Garamond"/>
        <w:noProof/>
        <w:sz w:val="18"/>
        <w:szCs w:val="18"/>
      </w:rPr>
      <w:t>4</w:t>
    </w:r>
    <w:r w:rsidRPr="001B7F2F">
      <w:rPr>
        <w:rStyle w:val="PageNumber"/>
        <w:rFonts w:ascii="Garamond" w:hAnsi="Garamond"/>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6EB1D" w14:textId="77777777" w:rsidR="006914B1" w:rsidRDefault="006914B1">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E1140" w14:textId="77777777" w:rsidR="006914B1" w:rsidRPr="00C419BC" w:rsidRDefault="006914B1" w:rsidP="00C419BC">
    <w:pPr>
      <w:jc w:val="right"/>
    </w:pPr>
  </w:p>
  <w:p w14:paraId="07D8AF7A" w14:textId="77777777" w:rsidR="006914B1" w:rsidRDefault="006914B1" w:rsidP="00C419BC">
    <w:pPr>
      <w:pStyle w:val="Footer"/>
      <w:ind w:left="-360"/>
      <w:rPr>
        <w:rFonts w:ascii="Arial" w:hAnsi="Arial"/>
        <w:color w:val="9999CC"/>
        <w:sz w:val="18"/>
        <w:szCs w:val="18"/>
      </w:rPr>
    </w:pPr>
    <w:r>
      <w:rPr>
        <w:rFonts w:ascii="Arial" w:hAnsi="Arial"/>
        <w:noProof/>
        <w:color w:val="394D94"/>
        <w:sz w:val="18"/>
        <w:szCs w:val="18"/>
      </w:rPr>
      <mc:AlternateContent>
        <mc:Choice Requires="wps">
          <w:drawing>
            <wp:anchor distT="0" distB="0" distL="114300" distR="114300" simplePos="0" relativeHeight="251700224" behindDoc="0" locked="0" layoutInCell="1" allowOverlap="1" wp14:anchorId="21AB6496" wp14:editId="473E93E0">
              <wp:simplePos x="0" y="0"/>
              <wp:positionH relativeFrom="column">
                <wp:posOffset>-228600</wp:posOffset>
              </wp:positionH>
              <wp:positionV relativeFrom="paragraph">
                <wp:posOffset>22860</wp:posOffset>
              </wp:positionV>
              <wp:extent cx="6400800" cy="0"/>
              <wp:effectExtent l="0" t="0" r="25400" b="25400"/>
              <wp:wrapNone/>
              <wp:docPr id="19" name="Straight Connector 19"/>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5D2FBF" id="Straight Connector 19"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" strokecolor="#394d94" strokeweight="1pt">
              <v:stroke joinstyle="miter"/>
            </v:line>
          </w:pict>
        </mc:Fallback>
      </mc:AlternateContent>
    </w:r>
  </w:p>
  <w:p w14:paraId="1ED08C07" w14:textId="05E75886" w:rsidR="006914B1" w:rsidRPr="00DC7368" w:rsidRDefault="006914B1" w:rsidP="00C6706F">
    <w:pPr>
      <w:pStyle w:val="Footer"/>
      <w:tabs>
        <w:tab w:val="right" w:pos="9720"/>
      </w:tabs>
      <w:ind w:left="-36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w:t>
    </w:r>
    <w:r w:rsidR="00004A03">
      <w:rPr>
        <w:rFonts w:ascii="Garamond" w:hAnsi="Garamond"/>
        <w:sz w:val="18"/>
        <w:szCs w:val="18"/>
      </w:rPr>
      <w:t>6</w:t>
    </w:r>
    <w:r>
      <w:rPr>
        <w:rFonts w:ascii="Garamond" w:hAnsi="Garamond"/>
        <w:sz w:val="18"/>
        <w:szCs w:val="18"/>
      </w:rPr>
      <w:t xml:space="preserve">, Issue </w:t>
    </w:r>
    <w:r w:rsidR="00004A03">
      <w:rPr>
        <w:rFonts w:ascii="Garamond" w:hAnsi="Garamond"/>
        <w:sz w:val="18"/>
        <w:szCs w:val="18"/>
      </w:rPr>
      <w:t>1</w:t>
    </w:r>
  </w:p>
  <w:p w14:paraId="41989E91" w14:textId="77777777" w:rsidR="006914B1" w:rsidRPr="00DC7368" w:rsidRDefault="006914B1" w:rsidP="00C6706F">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p>
  <w:p w14:paraId="1707F918" w14:textId="77777777" w:rsidR="006914B1" w:rsidRDefault="006914B1" w:rsidP="00C6706F">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27EBCE15" w14:textId="77777777" w:rsidR="006914B1" w:rsidRPr="007E201B" w:rsidRDefault="006914B1" w:rsidP="00C6706F">
    <w:pPr>
      <w:pStyle w:val="Footer"/>
      <w:tabs>
        <w:tab w:val="right" w:pos="9720"/>
      </w:tabs>
      <w:ind w:left="-360" w:right="-360"/>
      <w:rP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Pr>
        <w:rFonts w:ascii="Garamond" w:hAnsi="Garamond"/>
        <w:sz w:val="18"/>
        <w:szCs w:val="18"/>
      </w:rPr>
      <w:tab/>
    </w:r>
    <w:r>
      <w:rPr>
        <w:rFonts w:ascii="Garamond" w:hAnsi="Garamond"/>
        <w:sz w:val="18"/>
        <w:szCs w:val="18"/>
      </w:rPr>
      <w:tab/>
    </w:r>
    <w:r>
      <w:rPr>
        <w:rFonts w:ascii="Garamond" w:hAnsi="Garamond"/>
        <w:sz w:val="18"/>
        <w:szCs w:val="18"/>
      </w:rPr>
      <w:tab/>
    </w:r>
    <w:r w:rsidRPr="001B7F2F">
      <w:rPr>
        <w:rStyle w:val="PageNumber"/>
        <w:rFonts w:ascii="Garamond" w:hAnsi="Garamond"/>
        <w:sz w:val="18"/>
        <w:szCs w:val="18"/>
      </w:rPr>
      <w:fldChar w:fldCharType="begin"/>
    </w:r>
    <w:r w:rsidRPr="001B7F2F">
      <w:rPr>
        <w:rStyle w:val="PageNumber"/>
        <w:rFonts w:ascii="Garamond" w:hAnsi="Garamond"/>
        <w:sz w:val="18"/>
        <w:szCs w:val="18"/>
      </w:rPr>
      <w:instrText xml:space="preserve"> PAGE </w:instrText>
    </w:r>
    <w:r w:rsidRPr="001B7F2F">
      <w:rPr>
        <w:rStyle w:val="PageNumber"/>
        <w:rFonts w:ascii="Garamond" w:hAnsi="Garamond"/>
        <w:sz w:val="18"/>
        <w:szCs w:val="18"/>
      </w:rPr>
      <w:fldChar w:fldCharType="separate"/>
    </w:r>
    <w:r w:rsidR="006337C2">
      <w:rPr>
        <w:rStyle w:val="PageNumber"/>
        <w:rFonts w:ascii="Garamond" w:hAnsi="Garamond"/>
        <w:noProof/>
        <w:sz w:val="18"/>
        <w:szCs w:val="18"/>
      </w:rPr>
      <w:t>14</w:t>
    </w:r>
    <w:r w:rsidRPr="001B7F2F">
      <w:rPr>
        <w:rStyle w:val="PageNumber"/>
        <w:rFonts w:ascii="Garamond" w:hAnsi="Garamond"/>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CA0D9" w14:textId="77777777" w:rsidR="006914B1" w:rsidRDefault="006914B1" w:rsidP="007E201B">
    <w:pPr>
      <w:pStyle w:val="Footer"/>
      <w:ind w:left="-360" w:right="360"/>
      <w:rPr>
        <w:rFonts w:ascii="Arial" w:hAnsi="Arial"/>
        <w:color w:val="9999CC"/>
        <w:sz w:val="18"/>
        <w:szCs w:val="18"/>
      </w:rPr>
    </w:pPr>
  </w:p>
  <w:p w14:paraId="6A736305" w14:textId="77777777" w:rsidR="006914B1" w:rsidRDefault="006914B1" w:rsidP="007E201B">
    <w:pPr>
      <w:pStyle w:val="Footer"/>
      <w:ind w:left="-360"/>
      <w:rPr>
        <w:rFonts w:ascii="Arial" w:hAnsi="Arial"/>
        <w:color w:val="9999CC"/>
        <w:sz w:val="18"/>
        <w:szCs w:val="18"/>
      </w:rPr>
    </w:pPr>
    <w:r>
      <w:rPr>
        <w:rFonts w:ascii="Arial" w:hAnsi="Arial"/>
        <w:noProof/>
        <w:color w:val="394D94"/>
        <w:sz w:val="18"/>
        <w:szCs w:val="18"/>
      </w:rPr>
      <mc:AlternateContent>
        <mc:Choice Requires="wps">
          <w:drawing>
            <wp:anchor distT="0" distB="0" distL="114300" distR="114300" simplePos="0" relativeHeight="251701248" behindDoc="0" locked="0" layoutInCell="1" allowOverlap="1" wp14:anchorId="56ADD043" wp14:editId="651B8410">
              <wp:simplePos x="0" y="0"/>
              <wp:positionH relativeFrom="column">
                <wp:posOffset>-228600</wp:posOffset>
              </wp:positionH>
              <wp:positionV relativeFrom="paragraph">
                <wp:posOffset>22860</wp:posOffset>
              </wp:positionV>
              <wp:extent cx="6400800" cy="0"/>
              <wp:effectExtent l="0" t="0" r="25400" b="25400"/>
              <wp:wrapNone/>
              <wp:docPr id="258" name="Straight Connector 258"/>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43F6FCB5" id="Straight Connector 258" o:spid="_x0000_s1026" style="position:absolute;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" strokecolor="#394d94" strokeweight="1pt">
              <v:stroke joinstyle="miter"/>
            </v:line>
          </w:pict>
        </mc:Fallback>
      </mc:AlternateContent>
    </w:r>
  </w:p>
  <w:p w14:paraId="7E497774" w14:textId="0A651438" w:rsidR="00D4136D" w:rsidRPr="00DC7368" w:rsidRDefault="00D4136D" w:rsidP="00D4136D">
    <w:pPr>
      <w:pStyle w:val="Footer"/>
      <w:tabs>
        <w:tab w:val="right" w:pos="9720"/>
      </w:tabs>
      <w:ind w:left="-360" w:right="-360"/>
      <w:rPr>
        <w:rFonts w:ascii="Garamond" w:hAnsi="Garamond"/>
        <w:sz w:val="18"/>
        <w:szCs w:val="18"/>
      </w:rPr>
    </w:pPr>
    <w:r>
      <w:rPr>
        <w:rFonts w:ascii="Garamond" w:hAnsi="Garamond"/>
        <w:sz w:val="18"/>
        <w:szCs w:val="18"/>
      </w:rPr>
      <w:t>The Nigerian Health</w:t>
    </w:r>
    <w:r w:rsidRPr="00DC7368">
      <w:rPr>
        <w:rFonts w:ascii="Garamond" w:hAnsi="Garamond"/>
        <w:sz w:val="18"/>
        <w:szCs w:val="18"/>
      </w:rPr>
      <w:t xml:space="preserve"> Journal,</w:t>
    </w:r>
    <w:r>
      <w:rPr>
        <w:rFonts w:ascii="Garamond" w:hAnsi="Garamond"/>
        <w:sz w:val="18"/>
        <w:szCs w:val="18"/>
      </w:rPr>
      <w:t xml:space="preserve"> Volume 2</w:t>
    </w:r>
    <w:r w:rsidR="00004A03">
      <w:rPr>
        <w:rFonts w:ascii="Garamond" w:hAnsi="Garamond"/>
        <w:sz w:val="18"/>
        <w:szCs w:val="18"/>
      </w:rPr>
      <w:t>6</w:t>
    </w:r>
    <w:r>
      <w:rPr>
        <w:rFonts w:ascii="Garamond" w:hAnsi="Garamond"/>
        <w:sz w:val="18"/>
        <w:szCs w:val="18"/>
      </w:rPr>
      <w:t xml:space="preserve">, Issue </w:t>
    </w:r>
    <w:r w:rsidR="00004A03">
      <w:rPr>
        <w:rFonts w:ascii="Garamond" w:hAnsi="Garamond"/>
        <w:sz w:val="18"/>
        <w:szCs w:val="18"/>
      </w:rPr>
      <w:t>1</w:t>
    </w:r>
  </w:p>
  <w:p w14:paraId="6378A5CF" w14:textId="77777777" w:rsidR="00D4136D" w:rsidRPr="00DC7368" w:rsidRDefault="00D4136D" w:rsidP="00D4136D">
    <w:pPr>
      <w:pStyle w:val="Footer"/>
      <w:tabs>
        <w:tab w:val="right" w:pos="9720"/>
      </w:tabs>
      <w:ind w:left="-360" w:right="-360"/>
      <w:rPr>
        <w:rFonts w:ascii="Garamond" w:hAnsi="Garamond"/>
        <w:sz w:val="18"/>
        <w:szCs w:val="18"/>
      </w:rPr>
    </w:pPr>
    <w:r w:rsidRPr="00DC7368">
      <w:rPr>
        <w:rFonts w:ascii="Garamond" w:hAnsi="Garamond"/>
        <w:sz w:val="18"/>
        <w:szCs w:val="18"/>
      </w:rPr>
      <w:t xml:space="preserve">Published </w:t>
    </w:r>
    <w:r>
      <w:rPr>
        <w:rFonts w:ascii="Garamond" w:hAnsi="Garamond"/>
        <w:sz w:val="18"/>
        <w:szCs w:val="18"/>
      </w:rPr>
      <w:t>by The Nigerian Medical Association, Rivers State Branch.</w:t>
    </w:r>
  </w:p>
  <w:p w14:paraId="267DDC07" w14:textId="77777777" w:rsidR="00D4136D" w:rsidRDefault="00D4136D" w:rsidP="00D4136D">
    <w:pPr>
      <w:pStyle w:val="Footer"/>
      <w:tabs>
        <w:tab w:val="right" w:pos="9720"/>
      </w:tabs>
      <w:ind w:left="-360" w:right="-360"/>
      <w:rPr>
        <w:rFonts w:ascii="Garamond" w:hAnsi="Garamond"/>
        <w:sz w:val="18"/>
        <w:szCs w:val="18"/>
      </w:rPr>
    </w:pPr>
    <w:r w:rsidRPr="00DC7368">
      <w:rPr>
        <w:rFonts w:ascii="Garamond" w:hAnsi="Garamond"/>
        <w:sz w:val="18"/>
        <w:szCs w:val="18"/>
      </w:rPr>
      <w:t xml:space="preserve">Downloaded from </w:t>
    </w:r>
    <w:r>
      <w:rPr>
        <w:rFonts w:ascii="Garamond" w:hAnsi="Garamond"/>
        <w:sz w:val="18"/>
        <w:szCs w:val="18"/>
      </w:rPr>
      <w:t xml:space="preserve">www.tnhjph.com </w:t>
    </w:r>
  </w:p>
  <w:p w14:paraId="3E3F7DF6" w14:textId="456ECC9D" w:rsidR="006914B1" w:rsidRPr="007E201B" w:rsidRDefault="00D4136D" w:rsidP="00D4136D">
    <w:pPr>
      <w:pStyle w:val="Footer"/>
      <w:tabs>
        <w:tab w:val="right" w:pos="9720"/>
      </w:tabs>
      <w:ind w:left="-360" w:right="-360"/>
      <w:rPr>
        <w:rFonts w:ascii="Garamond" w:hAnsi="Garamond"/>
        <w:sz w:val="18"/>
        <w:szCs w:val="18"/>
      </w:rPr>
    </w:pPr>
    <w:r>
      <w:rPr>
        <w:rFonts w:ascii="Garamond" w:hAnsi="Garamond"/>
        <w:sz w:val="18"/>
        <w:szCs w:val="18"/>
      </w:rPr>
      <w:t xml:space="preserve">Print </w:t>
    </w:r>
    <w:r w:rsidRPr="00460C55">
      <w:rPr>
        <w:rFonts w:ascii="Garamond" w:hAnsi="Garamond"/>
        <w:sz w:val="18"/>
        <w:szCs w:val="18"/>
      </w:rPr>
      <w:t>ISSN: 0189-9287</w:t>
    </w:r>
    <w:r>
      <w:rPr>
        <w:rFonts w:ascii="Garamond" w:hAnsi="Garamond"/>
        <w:sz w:val="18"/>
        <w:szCs w:val="18"/>
      </w:rPr>
      <w:t xml:space="preserve"> Online ISSN: 2992-345X</w:t>
    </w:r>
    <w:r w:rsidR="006914B1">
      <w:rPr>
        <w:rFonts w:ascii="Garamond" w:hAnsi="Garamond"/>
        <w:sz w:val="18"/>
        <w:szCs w:val="18"/>
      </w:rPr>
      <w:tab/>
    </w:r>
    <w:r w:rsidR="006914B1">
      <w:rPr>
        <w:rFonts w:ascii="Garamond" w:hAnsi="Garamond"/>
        <w:sz w:val="18"/>
        <w:szCs w:val="18"/>
      </w:rPr>
      <w:tab/>
    </w:r>
    <w:r w:rsidR="006914B1">
      <w:rPr>
        <w:rFonts w:ascii="Garamond" w:hAnsi="Garamond"/>
        <w:sz w:val="18"/>
        <w:szCs w:val="18"/>
      </w:rPr>
      <w:tab/>
    </w:r>
    <w:r w:rsidR="006914B1" w:rsidRPr="001B7F2F">
      <w:rPr>
        <w:rStyle w:val="PageNumber"/>
        <w:rFonts w:ascii="Garamond" w:hAnsi="Garamond"/>
        <w:sz w:val="18"/>
        <w:szCs w:val="18"/>
      </w:rPr>
      <w:fldChar w:fldCharType="begin"/>
    </w:r>
    <w:r w:rsidR="006914B1" w:rsidRPr="001B7F2F">
      <w:rPr>
        <w:rStyle w:val="PageNumber"/>
        <w:rFonts w:ascii="Garamond" w:hAnsi="Garamond"/>
        <w:sz w:val="18"/>
        <w:szCs w:val="18"/>
      </w:rPr>
      <w:instrText xml:space="preserve"> PAGE </w:instrText>
    </w:r>
    <w:r w:rsidR="006914B1" w:rsidRPr="001B7F2F">
      <w:rPr>
        <w:rStyle w:val="PageNumber"/>
        <w:rFonts w:ascii="Garamond" w:hAnsi="Garamond"/>
        <w:sz w:val="18"/>
        <w:szCs w:val="18"/>
      </w:rPr>
      <w:fldChar w:fldCharType="separate"/>
    </w:r>
    <w:r w:rsidR="006914B1">
      <w:rPr>
        <w:rStyle w:val="PageNumber"/>
        <w:rFonts w:ascii="Garamond" w:hAnsi="Garamond"/>
        <w:noProof/>
        <w:sz w:val="18"/>
        <w:szCs w:val="18"/>
      </w:rPr>
      <w:t>12</w:t>
    </w:r>
    <w:r w:rsidR="006914B1" w:rsidRPr="001B7F2F">
      <w:rPr>
        <w:rStyle w:val="PageNumber"/>
        <w:rFonts w:ascii="Garamond" w:hAnsi="Garamond"/>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3A9F7" w14:textId="77777777" w:rsidR="00E91769" w:rsidRDefault="00E91769" w:rsidP="00202B90">
      <w:bookmarkStart w:id="0" w:name="_Hlk191386689"/>
      <w:bookmarkEnd w:id="0"/>
      <w:r>
        <w:separator/>
      </w:r>
    </w:p>
  </w:footnote>
  <w:footnote w:type="continuationSeparator" w:id="0">
    <w:p w14:paraId="3F8924E5" w14:textId="77777777" w:rsidR="00E91769" w:rsidRDefault="00E91769" w:rsidP="00202B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F4A34" w14:textId="77777777" w:rsidR="006914B1" w:rsidRPr="004D1BA1" w:rsidRDefault="006914B1" w:rsidP="00E94E49">
    <w:pPr>
      <w:pStyle w:val="Header"/>
      <w:ind w:left="-360"/>
      <w:rPr>
        <w:rFonts w:ascii="Garamond" w:hAnsi="Garamond"/>
        <w:sz w:val="16"/>
        <w:szCs w:val="20"/>
      </w:rPr>
    </w:pPr>
    <w:r w:rsidRPr="00E209F2">
      <w:rPr>
        <w:rFonts w:ascii="Garamond" w:hAnsi="Garamond"/>
        <w:sz w:val="18"/>
        <w:szCs w:val="22"/>
      </w:rPr>
      <w:t>Determinants of patients’ satisfaction with services in a tertiary hospital in Rivers State</w:t>
    </w:r>
    <w:r w:rsidRPr="004D1BA1">
      <w:rPr>
        <w:rFonts w:ascii="Garamond" w:hAnsi="Garamond"/>
        <w:sz w:val="18"/>
        <w:szCs w:val="22"/>
      </w:rPr>
      <w:t xml:space="preserve">, </w:t>
    </w:r>
    <w:r w:rsidRPr="004D1BA1">
      <w:rPr>
        <w:rFonts w:ascii="Garamond" w:hAnsi="Garamond"/>
        <w:noProof/>
        <w:color w:val="394D94"/>
        <w:sz w:val="16"/>
        <w:szCs w:val="20"/>
      </w:rPr>
      <mc:AlternateContent>
        <mc:Choice Requires="wps">
          <w:drawing>
            <wp:anchor distT="0" distB="0" distL="114300" distR="114300" simplePos="0" relativeHeight="251692032" behindDoc="0" locked="0" layoutInCell="1" allowOverlap="1" wp14:anchorId="5E792E0C" wp14:editId="69E864E3">
              <wp:simplePos x="0" y="0"/>
              <wp:positionH relativeFrom="column">
                <wp:posOffset>-228600</wp:posOffset>
              </wp:positionH>
              <wp:positionV relativeFrom="paragraph">
                <wp:posOffset>228600</wp:posOffset>
              </wp:positionV>
              <wp:extent cx="6400800" cy="0"/>
              <wp:effectExtent l="0" t="0" r="25400" b="25400"/>
              <wp:wrapNone/>
              <wp:docPr id="4" name="Straight Connector 4"/>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45CD265C" id="Straight Connector 4" o:spid="_x0000_s1026" style="position:absolute;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pt" to="48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" strokecolor="#394d94" strokeweight="1pt">
              <v:stroke joinstyle="miter"/>
            </v:line>
          </w:pict>
        </mc:Fallback>
      </mc:AlternateContent>
    </w:r>
    <w:proofErr w:type="spellStart"/>
    <w:r>
      <w:rPr>
        <w:rFonts w:ascii="Garamond" w:hAnsi="Garamond"/>
        <w:sz w:val="18"/>
        <w:szCs w:val="22"/>
      </w:rPr>
      <w:t>Opurum</w:t>
    </w:r>
    <w:proofErr w:type="spellEnd"/>
    <w:r>
      <w:rPr>
        <w:rFonts w:ascii="Garamond" w:hAnsi="Garamond"/>
        <w:sz w:val="18"/>
        <w:szCs w:val="22"/>
      </w:rPr>
      <w:t xml:space="preserve"> et 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46DCE" w14:textId="3C9AEB30" w:rsidR="006914B1" w:rsidRDefault="00CF5612" w:rsidP="00093CDE">
    <w:pPr>
      <w:pStyle w:val="Header"/>
      <w:tabs>
        <w:tab w:val="clear" w:pos="4320"/>
        <w:tab w:val="clear" w:pos="8640"/>
        <w:tab w:val="left" w:pos="630"/>
        <w:tab w:val="center" w:pos="4300"/>
      </w:tabs>
      <w:jc w:val="both"/>
      <w:rPr>
        <w:rFonts w:ascii="Garamond" w:hAnsi="Garamond"/>
        <w:sz w:val="20"/>
        <w:szCs w:val="22"/>
      </w:rPr>
    </w:pPr>
    <w:bookmarkStart w:id="13" w:name="_Hlk174972220"/>
    <w:r>
      <w:rPr>
        <w:noProof/>
      </w:rPr>
      <w:drawing>
        <wp:anchor distT="0" distB="0" distL="114300" distR="114300" simplePos="0" relativeHeight="251711488" behindDoc="0" locked="0" layoutInCell="1" allowOverlap="1" wp14:anchorId="340805DC" wp14:editId="0513C040">
          <wp:simplePos x="0" y="0"/>
          <wp:positionH relativeFrom="margin">
            <wp:posOffset>0</wp:posOffset>
          </wp:positionH>
          <wp:positionV relativeFrom="paragraph">
            <wp:posOffset>-113193</wp:posOffset>
          </wp:positionV>
          <wp:extent cx="614045" cy="603885"/>
          <wp:effectExtent l="0" t="0" r="0" b="5715"/>
          <wp:wrapThrough wrapText="bothSides">
            <wp:wrapPolygon edited="0">
              <wp:start x="6031" y="0"/>
              <wp:lineTo x="0" y="3407"/>
              <wp:lineTo x="0" y="17716"/>
              <wp:lineTo x="5361" y="21123"/>
              <wp:lineTo x="15413" y="21123"/>
              <wp:lineTo x="20774" y="17716"/>
              <wp:lineTo x="20774" y="2726"/>
              <wp:lineTo x="14743" y="0"/>
              <wp:lineTo x="6031" y="0"/>
            </wp:wrapPolygon>
          </wp:wrapThrough>
          <wp:docPr id="1051157805" name="Picture 1051157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14045" cy="603885"/>
                  </a:xfrm>
                  <a:prstGeom prst="ellipse">
                    <a:avLst/>
                  </a:prstGeom>
                </pic:spPr>
              </pic:pic>
            </a:graphicData>
          </a:graphic>
          <wp14:sizeRelH relativeFrom="page">
            <wp14:pctWidth>0</wp14:pctWidth>
          </wp14:sizeRelH>
          <wp14:sizeRelV relativeFrom="page">
            <wp14:pctHeight>0</wp14:pctHeight>
          </wp14:sizeRelV>
        </wp:anchor>
      </w:drawing>
    </w:r>
    <w:r w:rsidR="006914B1">
      <w:rPr>
        <w:rFonts w:ascii="Garamond" w:hAnsi="Garamond"/>
        <w:sz w:val="20"/>
        <w:szCs w:val="22"/>
      </w:rPr>
      <w:t>The Nigerian Health Journal</w:t>
    </w:r>
    <w:r w:rsidR="006914B1">
      <w:rPr>
        <w:rFonts w:ascii="Garamond" w:hAnsi="Garamond"/>
        <w:sz w:val="20"/>
        <w:szCs w:val="22"/>
      </w:rPr>
      <w:tab/>
      <w:t>; Volume 2</w:t>
    </w:r>
    <w:r w:rsidR="002722E0">
      <w:rPr>
        <w:rFonts w:ascii="Garamond" w:hAnsi="Garamond"/>
        <w:sz w:val="20"/>
        <w:szCs w:val="22"/>
      </w:rPr>
      <w:t>6</w:t>
    </w:r>
    <w:r w:rsidR="006914B1">
      <w:rPr>
        <w:rFonts w:ascii="Garamond" w:hAnsi="Garamond"/>
        <w:sz w:val="20"/>
        <w:szCs w:val="22"/>
      </w:rPr>
      <w:t xml:space="preserve">, Issue </w:t>
    </w:r>
    <w:r w:rsidR="002722E0">
      <w:rPr>
        <w:rFonts w:ascii="Garamond" w:hAnsi="Garamond"/>
        <w:sz w:val="20"/>
        <w:szCs w:val="22"/>
      </w:rPr>
      <w:t>1</w:t>
    </w:r>
    <w:r w:rsidR="006914B1">
      <w:rPr>
        <w:rFonts w:ascii="Garamond" w:hAnsi="Garamond"/>
        <w:sz w:val="20"/>
        <w:szCs w:val="22"/>
      </w:rPr>
      <w:t xml:space="preserve"> – </w:t>
    </w:r>
    <w:r w:rsidR="002722E0">
      <w:rPr>
        <w:rFonts w:ascii="Garamond" w:hAnsi="Garamond"/>
        <w:sz w:val="20"/>
        <w:szCs w:val="22"/>
      </w:rPr>
      <w:t>March</w:t>
    </w:r>
    <w:r w:rsidR="006914B1">
      <w:rPr>
        <w:rFonts w:ascii="Garamond" w:hAnsi="Garamond"/>
        <w:sz w:val="20"/>
        <w:szCs w:val="22"/>
      </w:rPr>
      <w:t>, 202</w:t>
    </w:r>
    <w:r w:rsidR="002722E0">
      <w:rPr>
        <w:rFonts w:ascii="Garamond" w:hAnsi="Garamond"/>
        <w:sz w:val="20"/>
        <w:szCs w:val="22"/>
      </w:rPr>
      <w:t>6</w:t>
    </w:r>
  </w:p>
  <w:bookmarkEnd w:id="13"/>
  <w:p w14:paraId="029BBADC" w14:textId="54DF5C18" w:rsidR="00AD7D44" w:rsidRPr="00AD7D44" w:rsidRDefault="00AD7D44" w:rsidP="00AD7D44">
    <w:pPr>
      <w:pStyle w:val="Header"/>
      <w:tabs>
        <w:tab w:val="left" w:pos="630"/>
      </w:tabs>
      <w:rPr>
        <w:rFonts w:ascii="Garamond" w:hAnsi="Garamond"/>
        <w:sz w:val="20"/>
        <w:szCs w:val="22"/>
      </w:rPr>
    </w:pPr>
    <w:r w:rsidRPr="00AD7D44">
      <w:rPr>
        <w:rFonts w:ascii="Garamond" w:hAnsi="Garamond"/>
        <w:sz w:val="20"/>
        <w:szCs w:val="22"/>
      </w:rPr>
      <w:t>Integrated Network Pharmacology and Molecular Modelling Study of Phytoconstituents Targeting Malaria</w:t>
    </w:r>
  </w:p>
  <w:p w14:paraId="5D172485" w14:textId="26B5B863" w:rsidR="002238CA" w:rsidRDefault="00B72DF4" w:rsidP="00E94E49">
    <w:pPr>
      <w:pStyle w:val="Header"/>
      <w:tabs>
        <w:tab w:val="clear" w:pos="4320"/>
        <w:tab w:val="clear" w:pos="8640"/>
        <w:tab w:val="left" w:pos="630"/>
      </w:tabs>
      <w:jc w:val="both"/>
      <w:rPr>
        <w:rFonts w:ascii="Garamond" w:hAnsi="Garamond"/>
        <w:sz w:val="20"/>
        <w:szCs w:val="22"/>
        <w:lang w:val="en-GB"/>
      </w:rPr>
    </w:pPr>
    <w:r>
      <w:rPr>
        <w:rFonts w:ascii="Garamond" w:hAnsi="Garamond"/>
        <w:sz w:val="20"/>
        <w:szCs w:val="22"/>
        <w:lang w:val="en-GB"/>
      </w:rPr>
      <w:t>Bethi</w:t>
    </w:r>
    <w:r w:rsidR="00376CF8">
      <w:rPr>
        <w:rFonts w:ascii="Garamond" w:hAnsi="Garamond"/>
        <w:sz w:val="20"/>
        <w:szCs w:val="22"/>
        <w:lang w:val="en-GB"/>
      </w:rPr>
      <w:t xml:space="preserve"> et al</w:t>
    </w:r>
  </w:p>
  <w:p w14:paraId="0D285A62" w14:textId="5BE0EE49" w:rsidR="006914B1" w:rsidRPr="000A1AAA" w:rsidRDefault="006914B1" w:rsidP="00E94E49">
    <w:pPr>
      <w:pStyle w:val="Header"/>
      <w:tabs>
        <w:tab w:val="clear" w:pos="4320"/>
        <w:tab w:val="clear" w:pos="8640"/>
        <w:tab w:val="left" w:pos="630"/>
      </w:tabs>
      <w:jc w:val="both"/>
    </w:pPr>
    <w:r w:rsidRPr="000A1AAA">
      <w:rPr>
        <w:rFonts w:ascii="Arial" w:hAnsi="Arial"/>
        <w:noProof/>
        <w:color w:val="006C31"/>
        <w:sz w:val="18"/>
        <w:szCs w:val="18"/>
      </w:rPr>
      <mc:AlternateContent>
        <mc:Choice Requires="wps">
          <w:drawing>
            <wp:anchor distT="0" distB="0" distL="114300" distR="114300" simplePos="0" relativeHeight="251695104" behindDoc="0" locked="0" layoutInCell="1" allowOverlap="1" wp14:anchorId="505C381E" wp14:editId="7B733768">
              <wp:simplePos x="0" y="0"/>
              <wp:positionH relativeFrom="column">
                <wp:posOffset>-228600</wp:posOffset>
              </wp:positionH>
              <wp:positionV relativeFrom="paragraph">
                <wp:posOffset>78268</wp:posOffset>
              </wp:positionV>
              <wp:extent cx="6400800"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4AEEBE62" id="Straight Connector 6" o:spid="_x0000_s1026" style="position:absolute;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15pt" to="486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" strokecolor="#394d94" strokeweight="1pt">
              <v:stroke joinstyle="miter"/>
            </v:line>
          </w:pict>
        </mc:Fallback>
      </mc:AlternateContent>
    </w:r>
    <w:r w:rsidRPr="000A1AAA">
      <w:rPr>
        <w:rFonts w:ascii="Arial" w:hAnsi="Arial"/>
        <w:noProof/>
        <w:color w:val="006C31"/>
        <w:sz w:val="18"/>
        <w:szCs w:val="18"/>
      </w:rPr>
      <mc:AlternateContent>
        <mc:Choice Requires="wps">
          <w:drawing>
            <wp:anchor distT="0" distB="0" distL="114300" distR="114300" simplePos="0" relativeHeight="251694080" behindDoc="0" locked="0" layoutInCell="1" allowOverlap="1" wp14:anchorId="792F155D" wp14:editId="1E538B4C">
              <wp:simplePos x="0" y="0"/>
              <wp:positionH relativeFrom="column">
                <wp:posOffset>-228600</wp:posOffset>
              </wp:positionH>
              <wp:positionV relativeFrom="paragraph">
                <wp:posOffset>82550</wp:posOffset>
              </wp:positionV>
              <wp:extent cx="6400800" cy="0"/>
              <wp:effectExtent l="0" t="0" r="25400" b="25400"/>
              <wp:wrapNone/>
              <wp:docPr id="7" name="Straight Connector 7"/>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DD82EE1" id="Straight Connector 7" o:spid="_x0000_s1026" style="position:absolute;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BH2U5gyAEAAHUDAAAOAAAAAAAAAAAAAAAA&#10;AC4CAABkcnMvZTJvRG9jLnhtbFBLAQItABQABgAIAAAAIQCtp0PO2AAAAAkBAAAPAAAAAAAAAAAA&#10;AAAAACIEAABkcnMvZG93bnJldi54bWxQSwUGAAAAAAQABADzAAAAJwUAAAAA&#10;" strokecolor="#394d94" strokeweight="1pt">
              <v:stroke joinstyle="miter"/>
            </v:line>
          </w:pict>
        </mc:Fallback>
      </mc:AlternateContent>
    </w:r>
    <w:r w:rsidRPr="000A1AAA">
      <w:rPr>
        <w:rFonts w:ascii="Arial" w:hAnsi="Arial"/>
        <w:noProof/>
        <w:color w:val="006C31"/>
        <w:sz w:val="18"/>
        <w:szCs w:val="18"/>
      </w:rPr>
      <mc:AlternateContent>
        <mc:Choice Requires="wps">
          <w:drawing>
            <wp:anchor distT="0" distB="0" distL="114300" distR="114300" simplePos="0" relativeHeight="251691008" behindDoc="0" locked="0" layoutInCell="1" allowOverlap="1" wp14:anchorId="0613957D" wp14:editId="385A9CB3">
              <wp:simplePos x="0" y="0"/>
              <wp:positionH relativeFrom="column">
                <wp:posOffset>-228600</wp:posOffset>
              </wp:positionH>
              <wp:positionV relativeFrom="paragraph">
                <wp:posOffset>82550</wp:posOffset>
              </wp:positionV>
              <wp:extent cx="6400800" cy="0"/>
              <wp:effectExtent l="0" t="0" r="25400" b="25400"/>
              <wp:wrapNone/>
              <wp:docPr id="1" name="Straight Connector 1"/>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9A35214" id="Straight Connector 1" o:spid="_x0000_s1026" style="position:absolute;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" strokecolor="#394d94" strokeweight="1pt">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FDE48" w14:textId="77777777" w:rsidR="006914B1" w:rsidRDefault="006914B1" w:rsidP="002A61BC">
    <w:pPr>
      <w:pStyle w:val="Header"/>
      <w:tabs>
        <w:tab w:val="clear" w:pos="4320"/>
        <w:tab w:val="clear" w:pos="8640"/>
        <w:tab w:val="left" w:pos="630"/>
        <w:tab w:val="center" w:pos="4300"/>
      </w:tabs>
      <w:jc w:val="both"/>
      <w:rPr>
        <w:rFonts w:ascii="Garamond" w:hAnsi="Garamond"/>
        <w:sz w:val="20"/>
        <w:szCs w:val="22"/>
      </w:rPr>
    </w:pPr>
    <w:r>
      <w:rPr>
        <w:noProof/>
      </w:rPr>
      <w:drawing>
        <wp:inline distT="0" distB="0" distL="0" distR="0" wp14:anchorId="5BBD89E0" wp14:editId="115F499E">
          <wp:extent cx="523875" cy="515326"/>
          <wp:effectExtent l="0" t="0" r="0" b="0"/>
          <wp:docPr id="166307740" name="Picture 166307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558320" cy="549208"/>
                  </a:xfrm>
                  <a:prstGeom prst="ellipse">
                    <a:avLst/>
                  </a:prstGeom>
                </pic:spPr>
              </pic:pic>
            </a:graphicData>
          </a:graphic>
        </wp:inline>
      </w:drawing>
    </w:r>
    <w:r>
      <w:rPr>
        <w:rFonts w:ascii="Garamond" w:hAnsi="Garamond"/>
        <w:sz w:val="20"/>
        <w:szCs w:val="22"/>
      </w:rPr>
      <w:t>The Nigerian Health Journal</w:t>
    </w:r>
    <w:r>
      <w:rPr>
        <w:rFonts w:ascii="Garamond" w:hAnsi="Garamond"/>
        <w:sz w:val="20"/>
        <w:szCs w:val="22"/>
      </w:rPr>
      <w:tab/>
      <w:t>; Volume 23, Issue 2 – June, 2023</w:t>
    </w:r>
  </w:p>
  <w:p w14:paraId="225F33E5" w14:textId="77777777" w:rsidR="006914B1" w:rsidRDefault="006914B1" w:rsidP="002A61BC">
    <w:pPr>
      <w:pStyle w:val="Header"/>
      <w:tabs>
        <w:tab w:val="clear" w:pos="8640"/>
      </w:tabs>
      <w:ind w:left="810"/>
      <w:jc w:val="both"/>
      <w:rPr>
        <w:rFonts w:ascii="Garamond" w:hAnsi="Garamond"/>
        <w:sz w:val="20"/>
        <w:szCs w:val="22"/>
      </w:rPr>
    </w:pPr>
    <w:r>
      <w:rPr>
        <w:rFonts w:ascii="Garamond" w:hAnsi="Garamond"/>
        <w:sz w:val="20"/>
        <w:szCs w:val="22"/>
      </w:rPr>
      <w:t>Rifampicin resistant TB and associated risk factors in Presumptive TB patients attending hospitals in Kaduna, NE Egbe et al</w:t>
    </w:r>
    <w:r w:rsidRPr="001724E2">
      <w:rPr>
        <w:rFonts w:ascii="Garamond" w:hAnsi="Garamond"/>
        <w:color w:val="FF0000"/>
        <w:sz w:val="20"/>
        <w:szCs w:val="22"/>
      </w:rPr>
      <w:t xml:space="preserve"> </w:t>
    </w:r>
  </w:p>
  <w:p w14:paraId="39569376" w14:textId="77777777" w:rsidR="006914B1" w:rsidRPr="00B271FD" w:rsidRDefault="006914B1" w:rsidP="002A61BC">
    <w:pPr>
      <w:pStyle w:val="Header"/>
      <w:tabs>
        <w:tab w:val="clear" w:pos="4320"/>
        <w:tab w:val="clear" w:pos="8640"/>
        <w:tab w:val="left" w:pos="630"/>
      </w:tabs>
      <w:jc w:val="both"/>
    </w:pPr>
    <w:r w:rsidRPr="00202B90">
      <w:rPr>
        <w:rFonts w:ascii="Arial" w:hAnsi="Arial"/>
        <w:noProof/>
        <w:color w:val="006C31"/>
        <w:sz w:val="18"/>
        <w:szCs w:val="18"/>
      </w:rPr>
      <mc:AlternateContent>
        <mc:Choice Requires="wps">
          <w:drawing>
            <wp:anchor distT="0" distB="0" distL="114300" distR="114300" simplePos="0" relativeHeight="251698176" behindDoc="0" locked="0" layoutInCell="1" allowOverlap="1" wp14:anchorId="0F97F3D0" wp14:editId="53713BFE">
              <wp:simplePos x="0" y="0"/>
              <wp:positionH relativeFrom="column">
                <wp:posOffset>-228600</wp:posOffset>
              </wp:positionH>
              <wp:positionV relativeFrom="paragraph">
                <wp:posOffset>82550</wp:posOffset>
              </wp:positionV>
              <wp:extent cx="6400800" cy="0"/>
              <wp:effectExtent l="0" t="0" r="25400" b="25400"/>
              <wp:wrapNone/>
              <wp:docPr id="9" name="Straight Connector 9"/>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5BE35778" id="Straight Connector 9"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A2FMezyAEAAHU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697152" behindDoc="0" locked="0" layoutInCell="1" allowOverlap="1" wp14:anchorId="3A17596A" wp14:editId="2CCDFEB1">
              <wp:simplePos x="0" y="0"/>
              <wp:positionH relativeFrom="column">
                <wp:posOffset>-228600</wp:posOffset>
              </wp:positionH>
              <wp:positionV relativeFrom="paragraph">
                <wp:posOffset>82550</wp:posOffset>
              </wp:positionV>
              <wp:extent cx="6400800" cy="0"/>
              <wp:effectExtent l="0" t="0" r="25400" b="25400"/>
              <wp:wrapNone/>
              <wp:docPr id="10" name="Straight Connector 10"/>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58304160" id="Straight Connector 10" o:spid="_x0000_s1026" style="position:absolute;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DDwiFW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696128" behindDoc="0" locked="0" layoutInCell="1" allowOverlap="1" wp14:anchorId="75B09534" wp14:editId="1258E1FB">
              <wp:simplePos x="0" y="0"/>
              <wp:positionH relativeFrom="column">
                <wp:posOffset>-228600</wp:posOffset>
              </wp:positionH>
              <wp:positionV relativeFrom="paragraph">
                <wp:posOffset>82550</wp:posOffset>
              </wp:positionV>
              <wp:extent cx="6400800" cy="0"/>
              <wp:effectExtent l="0" t="0" r="25400" b="25400"/>
              <wp:wrapNone/>
              <wp:docPr id="11" name="Straight Connector 11"/>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1C0D9560" id="Straight Connector 11" o:spid="_x0000_s1026" style="position:absolute;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AEq1uzyAEAAHcDAAAOAAAAAAAAAAAAAAAA&#10;AC4CAABkcnMvZTJvRG9jLnhtbFBLAQItABQABgAIAAAAIQCtp0PO2AAAAAkBAAAPAAAAAAAAAAAA&#10;AAAAACIEAABkcnMvZG93bnJldi54bWxQSwUGAAAAAAQABADzAAAAJwUAAAAA&#10;" strokecolor="#394d94" strokeweight="1pt">
              <v:stroke joinstyle="miter"/>
            </v:line>
          </w:pict>
        </mc:Fallback>
      </mc:AlternateContent>
    </w:r>
  </w:p>
  <w:p w14:paraId="4963E358" w14:textId="77777777" w:rsidR="006914B1" w:rsidRDefault="006914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CED7C" w14:textId="77777777" w:rsidR="006914B1" w:rsidRDefault="006914B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C2F83" w14:textId="47356669" w:rsidR="00881704" w:rsidRDefault="00271A58" w:rsidP="00881704">
    <w:pPr>
      <w:pStyle w:val="Header"/>
      <w:tabs>
        <w:tab w:val="clear" w:pos="4320"/>
        <w:tab w:val="clear" w:pos="8640"/>
        <w:tab w:val="left" w:pos="630"/>
        <w:tab w:val="center" w:pos="4300"/>
      </w:tabs>
      <w:jc w:val="both"/>
      <w:rPr>
        <w:rFonts w:ascii="Garamond" w:hAnsi="Garamond"/>
        <w:sz w:val="20"/>
        <w:szCs w:val="22"/>
      </w:rPr>
    </w:pPr>
    <w:r>
      <w:rPr>
        <w:noProof/>
      </w:rPr>
      <w:drawing>
        <wp:anchor distT="0" distB="0" distL="114300" distR="114300" simplePos="0" relativeHeight="251712512" behindDoc="0" locked="0" layoutInCell="1" allowOverlap="1" wp14:anchorId="063F680A" wp14:editId="6D1CC46A">
          <wp:simplePos x="0" y="0"/>
          <wp:positionH relativeFrom="margin">
            <wp:align>left</wp:align>
          </wp:positionH>
          <wp:positionV relativeFrom="paragraph">
            <wp:posOffset>-140335</wp:posOffset>
          </wp:positionV>
          <wp:extent cx="523875" cy="596900"/>
          <wp:effectExtent l="0" t="0" r="9525" b="0"/>
          <wp:wrapThrough wrapText="bothSides">
            <wp:wrapPolygon edited="0">
              <wp:start x="6284" y="0"/>
              <wp:lineTo x="0" y="2757"/>
              <wp:lineTo x="0" y="17234"/>
              <wp:lineTo x="5498" y="20681"/>
              <wp:lineTo x="15709" y="20681"/>
              <wp:lineTo x="21207" y="17234"/>
              <wp:lineTo x="21207" y="3447"/>
              <wp:lineTo x="15709" y="0"/>
              <wp:lineTo x="6284" y="0"/>
            </wp:wrapPolygon>
          </wp:wrapThrough>
          <wp:docPr id="69786014" name="Picture 69786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523875" cy="596900"/>
                  </a:xfrm>
                  <a:prstGeom prst="ellipse">
                    <a:avLst/>
                  </a:prstGeom>
                </pic:spPr>
              </pic:pic>
            </a:graphicData>
          </a:graphic>
          <wp14:sizeRelH relativeFrom="page">
            <wp14:pctWidth>0</wp14:pctWidth>
          </wp14:sizeRelH>
          <wp14:sizeRelV relativeFrom="page">
            <wp14:pctHeight>0</wp14:pctHeight>
          </wp14:sizeRelV>
        </wp:anchor>
      </w:drawing>
    </w:r>
    <w:r>
      <w:rPr>
        <w:rFonts w:ascii="Garamond" w:hAnsi="Garamond"/>
        <w:sz w:val="20"/>
        <w:szCs w:val="22"/>
      </w:rPr>
      <w:t>The</w:t>
    </w:r>
    <w:r w:rsidR="00881704">
      <w:rPr>
        <w:rFonts w:ascii="Garamond" w:hAnsi="Garamond"/>
        <w:sz w:val="20"/>
        <w:szCs w:val="22"/>
      </w:rPr>
      <w:t xml:space="preserve"> Nigerian Health Journal</w:t>
    </w:r>
    <w:r w:rsidR="00881704">
      <w:rPr>
        <w:rFonts w:ascii="Garamond" w:hAnsi="Garamond"/>
        <w:sz w:val="20"/>
        <w:szCs w:val="22"/>
      </w:rPr>
      <w:tab/>
      <w:t xml:space="preserve">; </w:t>
    </w:r>
    <w:r w:rsidR="00004A03">
      <w:rPr>
        <w:rFonts w:ascii="Garamond" w:hAnsi="Garamond"/>
        <w:sz w:val="20"/>
        <w:szCs w:val="22"/>
      </w:rPr>
      <w:t>Volume 26, Issue 1 – March, 2026</w:t>
    </w:r>
  </w:p>
  <w:p w14:paraId="19A5BB4D" w14:textId="77777777" w:rsidR="00B72DF4" w:rsidRPr="00AD7D44" w:rsidRDefault="00B72DF4" w:rsidP="00B72DF4">
    <w:pPr>
      <w:pStyle w:val="Header"/>
      <w:tabs>
        <w:tab w:val="left" w:pos="630"/>
      </w:tabs>
      <w:rPr>
        <w:rFonts w:ascii="Garamond" w:hAnsi="Garamond"/>
        <w:sz w:val="20"/>
        <w:szCs w:val="22"/>
      </w:rPr>
    </w:pPr>
    <w:r w:rsidRPr="00AD7D44">
      <w:rPr>
        <w:rFonts w:ascii="Garamond" w:hAnsi="Garamond"/>
        <w:sz w:val="20"/>
        <w:szCs w:val="22"/>
      </w:rPr>
      <w:t>Integrated Network Pharmacology and Molecular Modelling Study of Phytoconstituents Targeting Malaria</w:t>
    </w:r>
  </w:p>
  <w:p w14:paraId="060F4926" w14:textId="77777777" w:rsidR="00B72DF4" w:rsidRDefault="00B72DF4" w:rsidP="00B72DF4">
    <w:pPr>
      <w:pStyle w:val="Header"/>
      <w:tabs>
        <w:tab w:val="clear" w:pos="4320"/>
        <w:tab w:val="clear" w:pos="8640"/>
        <w:tab w:val="left" w:pos="630"/>
      </w:tabs>
      <w:jc w:val="both"/>
      <w:rPr>
        <w:rFonts w:ascii="Garamond" w:hAnsi="Garamond"/>
        <w:sz w:val="20"/>
        <w:szCs w:val="22"/>
        <w:lang w:val="en-GB"/>
      </w:rPr>
    </w:pPr>
    <w:r>
      <w:rPr>
        <w:rFonts w:ascii="Garamond" w:hAnsi="Garamond"/>
        <w:sz w:val="20"/>
        <w:szCs w:val="22"/>
        <w:lang w:val="en-GB"/>
      </w:rPr>
      <w:t>Bethi et al</w:t>
    </w:r>
  </w:p>
  <w:p w14:paraId="3CB70D9D" w14:textId="2C426DB1" w:rsidR="006914B1" w:rsidRPr="00CA6A3A" w:rsidRDefault="006914B1" w:rsidP="00881704">
    <w:pPr>
      <w:pStyle w:val="Header"/>
      <w:tabs>
        <w:tab w:val="clear" w:pos="8640"/>
        <w:tab w:val="left" w:pos="630"/>
      </w:tabs>
      <w:jc w:val="both"/>
    </w:pPr>
    <w:r w:rsidRPr="00202B90">
      <w:rPr>
        <w:rFonts w:ascii="Arial" w:hAnsi="Arial"/>
        <w:noProof/>
        <w:color w:val="006C31"/>
        <w:sz w:val="18"/>
        <w:szCs w:val="18"/>
      </w:rPr>
      <mc:AlternateContent>
        <mc:Choice Requires="wps">
          <w:drawing>
            <wp:anchor distT="0" distB="0" distL="114300" distR="114300" simplePos="0" relativeHeight="251707392" behindDoc="0" locked="0" layoutInCell="1" allowOverlap="1" wp14:anchorId="65FFB2A2" wp14:editId="7C25A9DD">
              <wp:simplePos x="0" y="0"/>
              <wp:positionH relativeFrom="column">
                <wp:posOffset>-228600</wp:posOffset>
              </wp:positionH>
              <wp:positionV relativeFrom="paragraph">
                <wp:posOffset>82550</wp:posOffset>
              </wp:positionV>
              <wp:extent cx="6400800" cy="0"/>
              <wp:effectExtent l="0" t="0" r="25400" b="25400"/>
              <wp:wrapNone/>
              <wp:docPr id="16" name="Straight Connector 16"/>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7EE8BA34" id="Straight Connector 16" o:spid="_x0000_s1026" style="position:absolute;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CSvK9k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6368" behindDoc="0" locked="0" layoutInCell="1" allowOverlap="1" wp14:anchorId="2814717F" wp14:editId="3352D6A0">
              <wp:simplePos x="0" y="0"/>
              <wp:positionH relativeFrom="column">
                <wp:posOffset>-228600</wp:posOffset>
              </wp:positionH>
              <wp:positionV relativeFrom="paragraph">
                <wp:posOffset>82550</wp:posOffset>
              </wp:positionV>
              <wp:extent cx="6400800" cy="0"/>
              <wp:effectExtent l="0" t="0" r="25400" b="25400"/>
              <wp:wrapNone/>
              <wp:docPr id="17" name="Straight Connector 17"/>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70183678" id="Straight Connector 17" o:spid="_x0000_s1026" style="position:absolute;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BV1dWB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5344" behindDoc="0" locked="0" layoutInCell="1" allowOverlap="1" wp14:anchorId="0C008887" wp14:editId="0B8252B3">
              <wp:simplePos x="0" y="0"/>
              <wp:positionH relativeFrom="column">
                <wp:posOffset>-228600</wp:posOffset>
              </wp:positionH>
              <wp:positionV relativeFrom="paragraph">
                <wp:posOffset>82550</wp:posOffset>
              </wp:positionV>
              <wp:extent cx="6400800" cy="0"/>
              <wp:effectExtent l="0" t="0" r="25400" b="25400"/>
              <wp:wrapNone/>
              <wp:docPr id="18" name="Straight Connector 18"/>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5F3A2D4E" id="Straight Connector 18" o:spid="_x0000_s1026" style="position:absolute;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D/lTYQyAEAAHcDAAAOAAAAAAAAAAAAAAAA&#10;AC4CAABkcnMvZTJvRG9jLnhtbFBLAQItABQABgAIAAAAIQCtp0PO2AAAAAkBAAAPAAAAAAAAAAAA&#10;AAAAACIEAABkcnMvZG93bnJldi54bWxQSwUGAAAAAAQABADzAAAAJwUAAAAA&#10;" strokecolor="#394d94" strokeweight="1pt">
              <v:stroke joinstyle="miter"/>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9989C" w14:textId="77777777" w:rsidR="00004A03" w:rsidRDefault="00271A58" w:rsidP="00004A03">
    <w:pPr>
      <w:pStyle w:val="Header"/>
      <w:tabs>
        <w:tab w:val="clear" w:pos="8640"/>
        <w:tab w:val="left" w:pos="630"/>
      </w:tabs>
      <w:jc w:val="both"/>
      <w:rPr>
        <w:rFonts w:ascii="Garamond" w:hAnsi="Garamond"/>
        <w:sz w:val="20"/>
        <w:szCs w:val="22"/>
      </w:rPr>
    </w:pPr>
    <w:r>
      <w:rPr>
        <w:noProof/>
      </w:rPr>
      <w:drawing>
        <wp:anchor distT="0" distB="0" distL="114300" distR="114300" simplePos="0" relativeHeight="251713536" behindDoc="0" locked="0" layoutInCell="1" allowOverlap="1" wp14:anchorId="539C346A" wp14:editId="045CC82F">
          <wp:simplePos x="0" y="0"/>
          <wp:positionH relativeFrom="margin">
            <wp:align>left</wp:align>
          </wp:positionH>
          <wp:positionV relativeFrom="paragraph">
            <wp:posOffset>-167640</wp:posOffset>
          </wp:positionV>
          <wp:extent cx="523240" cy="606425"/>
          <wp:effectExtent l="0" t="0" r="0" b="3175"/>
          <wp:wrapThrough wrapText="bothSides">
            <wp:wrapPolygon edited="0">
              <wp:start x="5505" y="0"/>
              <wp:lineTo x="0" y="4750"/>
              <wp:lineTo x="0" y="17642"/>
              <wp:lineTo x="5505" y="21035"/>
              <wp:lineTo x="15728" y="21035"/>
              <wp:lineTo x="20447" y="16963"/>
              <wp:lineTo x="20447" y="3393"/>
              <wp:lineTo x="14942" y="0"/>
              <wp:lineTo x="5505" y="0"/>
            </wp:wrapPolygon>
          </wp:wrapThrough>
          <wp:docPr id="1871793947" name="Picture 187179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523240" cy="606425"/>
                  </a:xfrm>
                  <a:prstGeom prst="ellipse">
                    <a:avLst/>
                  </a:prstGeom>
                </pic:spPr>
              </pic:pic>
            </a:graphicData>
          </a:graphic>
          <wp14:sizeRelH relativeFrom="page">
            <wp14:pctWidth>0</wp14:pctWidth>
          </wp14:sizeRelH>
          <wp14:sizeRelV relativeFrom="page">
            <wp14:pctHeight>0</wp14:pctHeight>
          </wp14:sizeRelV>
        </wp:anchor>
      </w:drawing>
    </w:r>
    <w:r>
      <w:rPr>
        <w:rFonts w:ascii="Garamond" w:hAnsi="Garamond"/>
        <w:sz w:val="20"/>
        <w:szCs w:val="22"/>
      </w:rPr>
      <w:t>T</w:t>
    </w:r>
    <w:r w:rsidR="00307E62">
      <w:rPr>
        <w:rFonts w:ascii="Garamond" w:hAnsi="Garamond"/>
        <w:sz w:val="20"/>
        <w:szCs w:val="22"/>
      </w:rPr>
      <w:t>he Nigerian Health Journal</w:t>
    </w:r>
    <w:r w:rsidR="00307E62">
      <w:rPr>
        <w:rFonts w:ascii="Garamond" w:hAnsi="Garamond"/>
        <w:sz w:val="20"/>
        <w:szCs w:val="22"/>
      </w:rPr>
      <w:tab/>
      <w:t xml:space="preserve">; </w:t>
    </w:r>
    <w:r w:rsidR="00004A03">
      <w:rPr>
        <w:rFonts w:ascii="Garamond" w:hAnsi="Garamond"/>
        <w:sz w:val="20"/>
        <w:szCs w:val="22"/>
      </w:rPr>
      <w:t>Volume 26, Issue 1 – March, 2026</w:t>
    </w:r>
  </w:p>
  <w:p w14:paraId="50D9CB87" w14:textId="633A0BF5" w:rsidR="00B72DF4" w:rsidRPr="00AD7D44" w:rsidRDefault="00B72DF4" w:rsidP="00004A03">
    <w:pPr>
      <w:pStyle w:val="Header"/>
      <w:tabs>
        <w:tab w:val="clear" w:pos="8640"/>
        <w:tab w:val="left" w:pos="630"/>
      </w:tabs>
      <w:jc w:val="both"/>
      <w:rPr>
        <w:rFonts w:ascii="Garamond" w:hAnsi="Garamond"/>
        <w:sz w:val="20"/>
        <w:szCs w:val="22"/>
      </w:rPr>
    </w:pPr>
    <w:r w:rsidRPr="00AD7D44">
      <w:rPr>
        <w:rFonts w:ascii="Garamond" w:hAnsi="Garamond"/>
        <w:sz w:val="20"/>
        <w:szCs w:val="22"/>
      </w:rPr>
      <w:t>Integrated Network Pharmacology and Molecular Modelling Study of Phytoconstituents Targeting Malaria</w:t>
    </w:r>
  </w:p>
  <w:p w14:paraId="4E61D142" w14:textId="77777777" w:rsidR="00B72DF4" w:rsidRDefault="00B72DF4" w:rsidP="00B72DF4">
    <w:pPr>
      <w:pStyle w:val="Header"/>
      <w:tabs>
        <w:tab w:val="clear" w:pos="4320"/>
        <w:tab w:val="clear" w:pos="8640"/>
        <w:tab w:val="left" w:pos="630"/>
      </w:tabs>
      <w:jc w:val="both"/>
      <w:rPr>
        <w:rFonts w:ascii="Garamond" w:hAnsi="Garamond"/>
        <w:sz w:val="20"/>
        <w:szCs w:val="22"/>
        <w:lang w:val="en-GB"/>
      </w:rPr>
    </w:pPr>
    <w:r>
      <w:rPr>
        <w:rFonts w:ascii="Garamond" w:hAnsi="Garamond"/>
        <w:sz w:val="20"/>
        <w:szCs w:val="22"/>
        <w:lang w:val="en-GB"/>
      </w:rPr>
      <w:t>Bethi et al</w:t>
    </w:r>
  </w:p>
  <w:p w14:paraId="75D8D9FC" w14:textId="17A19801" w:rsidR="006914B1" w:rsidRDefault="006914B1" w:rsidP="00307E62">
    <w:pPr>
      <w:pStyle w:val="Header"/>
      <w:tabs>
        <w:tab w:val="clear" w:pos="8640"/>
        <w:tab w:val="left" w:pos="630"/>
      </w:tabs>
      <w:jc w:val="both"/>
    </w:pPr>
    <w:r w:rsidRPr="00202B90">
      <w:rPr>
        <w:rFonts w:ascii="Arial" w:hAnsi="Arial"/>
        <w:noProof/>
        <w:color w:val="006C31"/>
        <w:sz w:val="18"/>
        <w:szCs w:val="18"/>
      </w:rPr>
      <mc:AlternateContent>
        <mc:Choice Requires="wps">
          <w:drawing>
            <wp:anchor distT="0" distB="0" distL="114300" distR="114300" simplePos="0" relativeHeight="251704320" behindDoc="0" locked="0" layoutInCell="1" allowOverlap="1" wp14:anchorId="639665E7" wp14:editId="1BD0435C">
              <wp:simplePos x="0" y="0"/>
              <wp:positionH relativeFrom="column">
                <wp:posOffset>-228600</wp:posOffset>
              </wp:positionH>
              <wp:positionV relativeFrom="paragraph">
                <wp:posOffset>82550</wp:posOffset>
              </wp:positionV>
              <wp:extent cx="6400800" cy="0"/>
              <wp:effectExtent l="0" t="0" r="25400" b="25400"/>
              <wp:wrapNone/>
              <wp:docPr id="20" name="Straight Connector 20"/>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1FAF3537" id="Straight Connector 20" o:spid="_x0000_s1026" style="position:absolute;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3296" behindDoc="0" locked="0" layoutInCell="1" allowOverlap="1" wp14:anchorId="1FB4DE3D" wp14:editId="78BE9E60">
              <wp:simplePos x="0" y="0"/>
              <wp:positionH relativeFrom="column">
                <wp:posOffset>-228600</wp:posOffset>
              </wp:positionH>
              <wp:positionV relativeFrom="paragraph">
                <wp:posOffset>82550</wp:posOffset>
              </wp:positionV>
              <wp:extent cx="6400800" cy="0"/>
              <wp:effectExtent l="0" t="0" r="25400" b="25400"/>
              <wp:wrapNone/>
              <wp:docPr id="256" name="Straight Connector 256"/>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1C5C3015" id="Straight Connector 256" o:spid="_x0000_s1026" style="position:absolute;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" strokecolor="#394d94" strokeweight="1pt">
              <v:stroke joinstyle="miter"/>
            </v:line>
          </w:pict>
        </mc:Fallback>
      </mc:AlternateContent>
    </w:r>
    <w:r w:rsidRPr="00202B90">
      <w:rPr>
        <w:rFonts w:ascii="Arial" w:hAnsi="Arial"/>
        <w:noProof/>
        <w:color w:val="006C31"/>
        <w:sz w:val="18"/>
        <w:szCs w:val="18"/>
      </w:rPr>
      <mc:AlternateContent>
        <mc:Choice Requires="wps">
          <w:drawing>
            <wp:anchor distT="0" distB="0" distL="114300" distR="114300" simplePos="0" relativeHeight="251702272" behindDoc="0" locked="0" layoutInCell="1" allowOverlap="1" wp14:anchorId="43CECF5F" wp14:editId="6FF64B25">
              <wp:simplePos x="0" y="0"/>
              <wp:positionH relativeFrom="column">
                <wp:posOffset>-228600</wp:posOffset>
              </wp:positionH>
              <wp:positionV relativeFrom="paragraph">
                <wp:posOffset>82550</wp:posOffset>
              </wp:positionV>
              <wp:extent cx="6400800" cy="0"/>
              <wp:effectExtent l="0" t="0" r="25400" b="25400"/>
              <wp:wrapNone/>
              <wp:docPr id="257" name="Straight Connector 257"/>
              <wp:cNvGraphicFramePr/>
              <a:graphic xmlns:a="http://schemas.openxmlformats.org/drawingml/2006/main">
                <a:graphicData uri="http://schemas.microsoft.com/office/word/2010/wordprocessingShape">
                  <wps:wsp>
                    <wps:cNvCnPr/>
                    <wps:spPr>
                      <a:xfrm>
                        <a:off x="0" y="0"/>
                        <a:ext cx="6400800" cy="0"/>
                      </a:xfrm>
                      <a:prstGeom prst="line">
                        <a:avLst/>
                      </a:prstGeom>
                      <a:noFill/>
                      <a:ln w="12700" cap="flat" cmpd="sng" algn="ctr">
                        <a:solidFill>
                          <a:srgbClr val="394D94"/>
                        </a:solidFill>
                        <a:prstDash val="solid"/>
                        <a:miter lim="800000"/>
                      </a:ln>
                      <a:effectLst/>
                    </wps:spPr>
                    <wps:bodyPr/>
                  </wps:wsp>
                </a:graphicData>
              </a:graphic>
              <wp14:sizeRelH relativeFrom="margin">
                <wp14:pctWidth>0</wp14:pctWidth>
              </wp14:sizeRelH>
            </wp:anchor>
          </w:drawing>
        </mc:Choice>
        <mc:Fallback>
          <w:pict>
            <v:line w14:anchorId="0B3B55DF" id="Straight Connector 257"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6.5pt" to="48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" strokecolor="#394d94" strokeweight="1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850E4F6"/>
    <w:multiLevelType w:val="singleLevel"/>
    <w:tmpl w:val="26DC456E"/>
    <w:lvl w:ilvl="0">
      <w:start w:val="1"/>
      <w:numFmt w:val="decimal"/>
      <w:suff w:val="space"/>
      <w:lvlText w:val="%1."/>
      <w:lvlJc w:val="left"/>
      <w:rPr>
        <w:b w:val="0"/>
        <w:bCs w:val="0"/>
      </w:rPr>
    </w:lvl>
  </w:abstractNum>
  <w:abstractNum w:abstractNumId="1" w15:restartNumberingAfterBreak="0">
    <w:nsid w:val="05275B93"/>
    <w:multiLevelType w:val="multilevel"/>
    <w:tmpl w:val="9DE6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1F4BB9"/>
    <w:multiLevelType w:val="hybridMultilevel"/>
    <w:tmpl w:val="D110CF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22DF6"/>
    <w:multiLevelType w:val="multilevel"/>
    <w:tmpl w:val="F57AE27E"/>
    <w:lvl w:ilvl="0">
      <w:start w:val="1"/>
      <w:numFmt w:val="decimal"/>
      <w:lvlText w:val="%1."/>
      <w:lvlJc w:val="left"/>
      <w:pPr>
        <w:ind w:left="720" w:hanging="360"/>
      </w:pPr>
      <w:rPr>
        <w:rFonts w:ascii="Quattrocento Sans" w:eastAsia="Quattrocento Sans" w:hAnsi="Quattrocento Sans" w:cs="Quattrocento Sans"/>
        <w:color w:val="333333"/>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8A07E1"/>
    <w:multiLevelType w:val="hybridMultilevel"/>
    <w:tmpl w:val="EEE4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0B6E52"/>
    <w:multiLevelType w:val="multilevel"/>
    <w:tmpl w:val="34F4F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DB409B"/>
    <w:multiLevelType w:val="multilevel"/>
    <w:tmpl w:val="CCBA8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3A745C"/>
    <w:multiLevelType w:val="hybridMultilevel"/>
    <w:tmpl w:val="90F827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0D089F"/>
    <w:multiLevelType w:val="hybridMultilevel"/>
    <w:tmpl w:val="575CE5B8"/>
    <w:lvl w:ilvl="0" w:tplc="6A0A7A9C">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9" w15:restartNumberingAfterBreak="0">
    <w:nsid w:val="17386EF0"/>
    <w:multiLevelType w:val="multilevel"/>
    <w:tmpl w:val="742AFA94"/>
    <w:styleLink w:val="WWNum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DBE2808"/>
    <w:multiLevelType w:val="hybridMultilevel"/>
    <w:tmpl w:val="F8BE414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0995679"/>
    <w:multiLevelType w:val="hybridMultilevel"/>
    <w:tmpl w:val="792E4F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9D078B"/>
    <w:multiLevelType w:val="hybridMultilevel"/>
    <w:tmpl w:val="D73A75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3F35421"/>
    <w:multiLevelType w:val="multilevel"/>
    <w:tmpl w:val="90F48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2A0315"/>
    <w:multiLevelType w:val="hybridMultilevel"/>
    <w:tmpl w:val="656072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230C07"/>
    <w:multiLevelType w:val="hybridMultilevel"/>
    <w:tmpl w:val="2850FD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D40380D"/>
    <w:multiLevelType w:val="hybridMultilevel"/>
    <w:tmpl w:val="00BA57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0F30D0"/>
    <w:multiLevelType w:val="hybridMultilevel"/>
    <w:tmpl w:val="ACE09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71CEA"/>
    <w:multiLevelType w:val="hybridMultilevel"/>
    <w:tmpl w:val="69D21DD6"/>
    <w:lvl w:ilvl="0" w:tplc="FB40847A">
      <w:start w:val="1"/>
      <w:numFmt w:val="decimal"/>
      <w:lvlText w:val="%1."/>
      <w:lvlJc w:val="left"/>
      <w:pPr>
        <w:ind w:left="720" w:hanging="360"/>
      </w:pPr>
      <w:rPr>
        <w:rFonts w:ascii="Garamond" w:hAnsi="Garamond"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2773A7"/>
    <w:multiLevelType w:val="hybridMultilevel"/>
    <w:tmpl w:val="BEF69F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0F72124"/>
    <w:multiLevelType w:val="hybridMultilevel"/>
    <w:tmpl w:val="9C62F244"/>
    <w:lvl w:ilvl="0" w:tplc="0409000F">
      <w:start w:val="1"/>
      <w:numFmt w:val="decimal"/>
      <w:lvlText w:val="%1."/>
      <w:lvlJc w:val="left"/>
      <w:pPr>
        <w:ind w:left="770" w:hanging="360"/>
      </w:pPr>
    </w:lvl>
    <w:lvl w:ilvl="1" w:tplc="04090019">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1" w15:restartNumberingAfterBreak="0">
    <w:nsid w:val="35B10B8E"/>
    <w:multiLevelType w:val="hybridMultilevel"/>
    <w:tmpl w:val="80DE46D2"/>
    <w:lvl w:ilvl="0" w:tplc="4720EA44">
      <w:start w:val="1"/>
      <w:numFmt w:val="decimal"/>
      <w:lvlText w:val="%1."/>
      <w:lvlJc w:val="left"/>
      <w:pPr>
        <w:ind w:left="720" w:hanging="360"/>
      </w:pPr>
      <w:rPr>
        <w:rFonts w:ascii="Garamond" w:hAnsi="Garamond"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A11429"/>
    <w:multiLevelType w:val="hybridMultilevel"/>
    <w:tmpl w:val="5F7212F8"/>
    <w:lvl w:ilvl="0" w:tplc="F68CE840">
      <w:start w:val="1"/>
      <w:numFmt w:val="decimal"/>
      <w:lvlText w:val="%1."/>
      <w:lvlJc w:val="left"/>
      <w:pPr>
        <w:ind w:left="1440" w:hanging="720"/>
      </w:pPr>
      <w:rPr>
        <w:rFonts w:hint="default"/>
        <w:b w:val="0"/>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3CA842A8"/>
    <w:multiLevelType w:val="hybridMultilevel"/>
    <w:tmpl w:val="7618EC72"/>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923E3B"/>
    <w:multiLevelType w:val="multilevel"/>
    <w:tmpl w:val="368E4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8C1471"/>
    <w:multiLevelType w:val="multilevel"/>
    <w:tmpl w:val="DD7A4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6F7A40"/>
    <w:multiLevelType w:val="hybridMultilevel"/>
    <w:tmpl w:val="B56EBD44"/>
    <w:lvl w:ilvl="0" w:tplc="2D3A6298">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4E3A4F85"/>
    <w:multiLevelType w:val="multilevel"/>
    <w:tmpl w:val="00CCFF08"/>
    <w:lvl w:ilvl="0">
      <w:start w:val="1"/>
      <w:numFmt w:val="decimal"/>
      <w:lvlText w:val="%1."/>
      <w:lvlJc w:val="left"/>
      <w:pPr>
        <w:ind w:left="720" w:hanging="360"/>
      </w:pPr>
      <w:rPr>
        <w:rFonts w:ascii="Garamond" w:eastAsia="Times New Roman" w:hAnsi="Garamond" w:cs="Segoe UI" w:hint="default"/>
        <w:color w:val="2121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09479CD"/>
    <w:multiLevelType w:val="hybridMultilevel"/>
    <w:tmpl w:val="A6D4A34A"/>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C054C0"/>
    <w:multiLevelType w:val="multilevel"/>
    <w:tmpl w:val="13CE3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5584BC8"/>
    <w:multiLevelType w:val="hybridMultilevel"/>
    <w:tmpl w:val="80420C9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A825037"/>
    <w:multiLevelType w:val="hybridMultilevel"/>
    <w:tmpl w:val="6E1814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E3C4A3F"/>
    <w:multiLevelType w:val="multilevel"/>
    <w:tmpl w:val="26947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1632467"/>
    <w:multiLevelType w:val="hybridMultilevel"/>
    <w:tmpl w:val="33B63DA8"/>
    <w:lvl w:ilvl="0" w:tplc="0F6E71CA">
      <w:start w:val="1"/>
      <w:numFmt w:val="decimal"/>
      <w:lvlText w:val="%1."/>
      <w:lvlJc w:val="left"/>
      <w:pPr>
        <w:ind w:left="744" w:hanging="384"/>
      </w:pPr>
      <w:rPr>
        <w:rFonts w:eastAsia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1E8342F"/>
    <w:multiLevelType w:val="hybridMultilevel"/>
    <w:tmpl w:val="C61CAC7A"/>
    <w:lvl w:ilvl="0" w:tplc="3F5C2D42">
      <w:start w:val="5"/>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5" w15:restartNumberingAfterBreak="0">
    <w:nsid w:val="72E22697"/>
    <w:multiLevelType w:val="hybridMultilevel"/>
    <w:tmpl w:val="3DAC6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6474199">
    <w:abstractNumId w:val="9"/>
  </w:num>
  <w:num w:numId="2" w16cid:durableId="189728065">
    <w:abstractNumId w:val="2"/>
  </w:num>
  <w:num w:numId="3" w16cid:durableId="34425020">
    <w:abstractNumId w:val="20"/>
  </w:num>
  <w:num w:numId="4" w16cid:durableId="1129132120">
    <w:abstractNumId w:val="18"/>
  </w:num>
  <w:num w:numId="5" w16cid:durableId="970405640">
    <w:abstractNumId w:val="7"/>
  </w:num>
  <w:num w:numId="6" w16cid:durableId="1155297297">
    <w:abstractNumId w:val="0"/>
  </w:num>
  <w:num w:numId="7" w16cid:durableId="1289319636">
    <w:abstractNumId w:val="23"/>
  </w:num>
  <w:num w:numId="8" w16cid:durableId="15958166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82953274">
    <w:abstractNumId w:val="19"/>
  </w:num>
  <w:num w:numId="10" w16cid:durableId="1714503964">
    <w:abstractNumId w:val="21"/>
  </w:num>
  <w:num w:numId="11" w16cid:durableId="624430197">
    <w:abstractNumId w:val="14"/>
  </w:num>
  <w:num w:numId="12" w16cid:durableId="1779639381">
    <w:abstractNumId w:val="27"/>
  </w:num>
  <w:num w:numId="13" w16cid:durableId="52851340">
    <w:abstractNumId w:val="28"/>
  </w:num>
  <w:num w:numId="14" w16cid:durableId="1055860988">
    <w:abstractNumId w:val="16"/>
  </w:num>
  <w:num w:numId="15" w16cid:durableId="1380934824">
    <w:abstractNumId w:val="30"/>
  </w:num>
  <w:num w:numId="16" w16cid:durableId="1314261793">
    <w:abstractNumId w:val="8"/>
  </w:num>
  <w:num w:numId="17" w16cid:durableId="1221361593">
    <w:abstractNumId w:val="34"/>
  </w:num>
  <w:num w:numId="18" w16cid:durableId="377054002">
    <w:abstractNumId w:val="11"/>
  </w:num>
  <w:num w:numId="19" w16cid:durableId="51337500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7903912">
    <w:abstractNumId w:val="31"/>
  </w:num>
  <w:num w:numId="21" w16cid:durableId="299457719">
    <w:abstractNumId w:val="12"/>
  </w:num>
  <w:num w:numId="22" w16cid:durableId="1575044381">
    <w:abstractNumId w:val="26"/>
  </w:num>
  <w:num w:numId="23" w16cid:durableId="1550071572">
    <w:abstractNumId w:val="35"/>
  </w:num>
  <w:num w:numId="24" w16cid:durableId="1200505831">
    <w:abstractNumId w:val="33"/>
  </w:num>
  <w:num w:numId="25" w16cid:durableId="618343306">
    <w:abstractNumId w:val="6"/>
  </w:num>
  <w:num w:numId="26" w16cid:durableId="808671334">
    <w:abstractNumId w:val="5"/>
  </w:num>
  <w:num w:numId="27" w16cid:durableId="359161241">
    <w:abstractNumId w:val="24"/>
  </w:num>
  <w:num w:numId="28" w16cid:durableId="284586699">
    <w:abstractNumId w:val="25"/>
  </w:num>
  <w:num w:numId="29" w16cid:durableId="1298293018">
    <w:abstractNumId w:val="32"/>
  </w:num>
  <w:num w:numId="30" w16cid:durableId="852769264">
    <w:abstractNumId w:val="13"/>
  </w:num>
  <w:num w:numId="31" w16cid:durableId="265161270">
    <w:abstractNumId w:val="29"/>
  </w:num>
  <w:num w:numId="32" w16cid:durableId="1882160423">
    <w:abstractNumId w:val="1"/>
  </w:num>
  <w:num w:numId="33" w16cid:durableId="1432816169">
    <w:abstractNumId w:val="4"/>
  </w:num>
  <w:num w:numId="34" w16cid:durableId="1778021836">
    <w:abstractNumId w:val="10"/>
  </w:num>
  <w:num w:numId="35" w16cid:durableId="1904563854">
    <w:abstractNumId w:val="17"/>
  </w:num>
  <w:num w:numId="36" w16cid:durableId="1380520704">
    <w:abstractNumId w:val="2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15B8"/>
    <w:rsid w:val="0000383C"/>
    <w:rsid w:val="00003CDC"/>
    <w:rsid w:val="00004A03"/>
    <w:rsid w:val="0000642B"/>
    <w:rsid w:val="00006D9F"/>
    <w:rsid w:val="00012775"/>
    <w:rsid w:val="000147FB"/>
    <w:rsid w:val="000159A7"/>
    <w:rsid w:val="00027874"/>
    <w:rsid w:val="00030449"/>
    <w:rsid w:val="00030481"/>
    <w:rsid w:val="000304B6"/>
    <w:rsid w:val="000372C5"/>
    <w:rsid w:val="00040ADD"/>
    <w:rsid w:val="000413D3"/>
    <w:rsid w:val="00044076"/>
    <w:rsid w:val="00045140"/>
    <w:rsid w:val="00047BAC"/>
    <w:rsid w:val="00070678"/>
    <w:rsid w:val="00070BE4"/>
    <w:rsid w:val="00070E04"/>
    <w:rsid w:val="00070E0C"/>
    <w:rsid w:val="000720E5"/>
    <w:rsid w:val="00073531"/>
    <w:rsid w:val="00077004"/>
    <w:rsid w:val="00081D29"/>
    <w:rsid w:val="00090521"/>
    <w:rsid w:val="00090B2F"/>
    <w:rsid w:val="000931E7"/>
    <w:rsid w:val="00093CDE"/>
    <w:rsid w:val="00095199"/>
    <w:rsid w:val="00097C79"/>
    <w:rsid w:val="00097E46"/>
    <w:rsid w:val="000A1074"/>
    <w:rsid w:val="000A1AAA"/>
    <w:rsid w:val="000A2003"/>
    <w:rsid w:val="000A32F6"/>
    <w:rsid w:val="000A62C4"/>
    <w:rsid w:val="000A63BB"/>
    <w:rsid w:val="000A63C7"/>
    <w:rsid w:val="000A7EB1"/>
    <w:rsid w:val="000B0A25"/>
    <w:rsid w:val="000B1717"/>
    <w:rsid w:val="000B18B8"/>
    <w:rsid w:val="000B2AF4"/>
    <w:rsid w:val="000B776D"/>
    <w:rsid w:val="000C2816"/>
    <w:rsid w:val="000C3EF8"/>
    <w:rsid w:val="000C79DF"/>
    <w:rsid w:val="000D160B"/>
    <w:rsid w:val="000D1812"/>
    <w:rsid w:val="000D417B"/>
    <w:rsid w:val="000D6A44"/>
    <w:rsid w:val="000E3A4F"/>
    <w:rsid w:val="000E6FCF"/>
    <w:rsid w:val="000F21BF"/>
    <w:rsid w:val="000F5FDD"/>
    <w:rsid w:val="000F7F4D"/>
    <w:rsid w:val="00100BBC"/>
    <w:rsid w:val="001026C1"/>
    <w:rsid w:val="00104CD0"/>
    <w:rsid w:val="0010553E"/>
    <w:rsid w:val="0011138D"/>
    <w:rsid w:val="0011345B"/>
    <w:rsid w:val="001140AA"/>
    <w:rsid w:val="00116A5A"/>
    <w:rsid w:val="00117B5F"/>
    <w:rsid w:val="00124E31"/>
    <w:rsid w:val="0013078B"/>
    <w:rsid w:val="00137B10"/>
    <w:rsid w:val="001402A2"/>
    <w:rsid w:val="001435BF"/>
    <w:rsid w:val="001439E5"/>
    <w:rsid w:val="001530D1"/>
    <w:rsid w:val="00155E5E"/>
    <w:rsid w:val="00156EB2"/>
    <w:rsid w:val="001610A9"/>
    <w:rsid w:val="00161160"/>
    <w:rsid w:val="0016465D"/>
    <w:rsid w:val="001649CA"/>
    <w:rsid w:val="001724E2"/>
    <w:rsid w:val="00173D7A"/>
    <w:rsid w:val="00174F75"/>
    <w:rsid w:val="0017507F"/>
    <w:rsid w:val="00180EDE"/>
    <w:rsid w:val="00184306"/>
    <w:rsid w:val="001857FC"/>
    <w:rsid w:val="0019561E"/>
    <w:rsid w:val="001A0F0A"/>
    <w:rsid w:val="001A2F05"/>
    <w:rsid w:val="001B11BD"/>
    <w:rsid w:val="001B5DE2"/>
    <w:rsid w:val="001C1CB0"/>
    <w:rsid w:val="001C795E"/>
    <w:rsid w:val="001D1C1F"/>
    <w:rsid w:val="001D23F8"/>
    <w:rsid w:val="001D4202"/>
    <w:rsid w:val="001D4D3C"/>
    <w:rsid w:val="001E0AAF"/>
    <w:rsid w:val="001E3E4D"/>
    <w:rsid w:val="001E7489"/>
    <w:rsid w:val="001E7E00"/>
    <w:rsid w:val="001F4E2C"/>
    <w:rsid w:val="001F6078"/>
    <w:rsid w:val="001F6B72"/>
    <w:rsid w:val="001F7E42"/>
    <w:rsid w:val="00201078"/>
    <w:rsid w:val="00202A03"/>
    <w:rsid w:val="00202B90"/>
    <w:rsid w:val="00203959"/>
    <w:rsid w:val="00203D14"/>
    <w:rsid w:val="00204621"/>
    <w:rsid w:val="00205797"/>
    <w:rsid w:val="002103A7"/>
    <w:rsid w:val="002124CE"/>
    <w:rsid w:val="00212A76"/>
    <w:rsid w:val="00214F76"/>
    <w:rsid w:val="002150B7"/>
    <w:rsid w:val="0021561C"/>
    <w:rsid w:val="00220580"/>
    <w:rsid w:val="00222B80"/>
    <w:rsid w:val="002238CA"/>
    <w:rsid w:val="00226907"/>
    <w:rsid w:val="00227257"/>
    <w:rsid w:val="0023427E"/>
    <w:rsid w:val="0023667C"/>
    <w:rsid w:val="002413C0"/>
    <w:rsid w:val="002416D2"/>
    <w:rsid w:val="002425EA"/>
    <w:rsid w:val="00242889"/>
    <w:rsid w:val="002433AF"/>
    <w:rsid w:val="00243EFA"/>
    <w:rsid w:val="00251782"/>
    <w:rsid w:val="002524AC"/>
    <w:rsid w:val="002528AE"/>
    <w:rsid w:val="00253757"/>
    <w:rsid w:val="0025599F"/>
    <w:rsid w:val="00255DE8"/>
    <w:rsid w:val="002563C4"/>
    <w:rsid w:val="002600B8"/>
    <w:rsid w:val="00262979"/>
    <w:rsid w:val="00270D5C"/>
    <w:rsid w:val="00271A58"/>
    <w:rsid w:val="002722E0"/>
    <w:rsid w:val="00272E11"/>
    <w:rsid w:val="002807E8"/>
    <w:rsid w:val="00281C21"/>
    <w:rsid w:val="002A2C5B"/>
    <w:rsid w:val="002A61BC"/>
    <w:rsid w:val="002B2F96"/>
    <w:rsid w:val="002B703D"/>
    <w:rsid w:val="002B73EA"/>
    <w:rsid w:val="002C0777"/>
    <w:rsid w:val="002C202A"/>
    <w:rsid w:val="002C3C99"/>
    <w:rsid w:val="002C5B38"/>
    <w:rsid w:val="002C5D0E"/>
    <w:rsid w:val="002C6DD9"/>
    <w:rsid w:val="002D2DC8"/>
    <w:rsid w:val="002E1E5C"/>
    <w:rsid w:val="002E2DB5"/>
    <w:rsid w:val="002E4C28"/>
    <w:rsid w:val="00300343"/>
    <w:rsid w:val="00300F04"/>
    <w:rsid w:val="0030520A"/>
    <w:rsid w:val="0030596C"/>
    <w:rsid w:val="00306701"/>
    <w:rsid w:val="00307E62"/>
    <w:rsid w:val="00310818"/>
    <w:rsid w:val="00310A0B"/>
    <w:rsid w:val="00313E51"/>
    <w:rsid w:val="00317744"/>
    <w:rsid w:val="0031782B"/>
    <w:rsid w:val="00317B38"/>
    <w:rsid w:val="00321127"/>
    <w:rsid w:val="00322FCF"/>
    <w:rsid w:val="003233BB"/>
    <w:rsid w:val="003252DE"/>
    <w:rsid w:val="00325E63"/>
    <w:rsid w:val="00333DE6"/>
    <w:rsid w:val="003370AE"/>
    <w:rsid w:val="00346176"/>
    <w:rsid w:val="00346DBC"/>
    <w:rsid w:val="00353F2A"/>
    <w:rsid w:val="003656A7"/>
    <w:rsid w:val="00366B4C"/>
    <w:rsid w:val="00367B7D"/>
    <w:rsid w:val="00367E3D"/>
    <w:rsid w:val="00376CF8"/>
    <w:rsid w:val="0037723C"/>
    <w:rsid w:val="00377C61"/>
    <w:rsid w:val="00380E05"/>
    <w:rsid w:val="00382163"/>
    <w:rsid w:val="00382AAF"/>
    <w:rsid w:val="00386B3D"/>
    <w:rsid w:val="0039305C"/>
    <w:rsid w:val="0039476D"/>
    <w:rsid w:val="003949A7"/>
    <w:rsid w:val="003A0B40"/>
    <w:rsid w:val="003A37C4"/>
    <w:rsid w:val="003A49BA"/>
    <w:rsid w:val="003A5EF4"/>
    <w:rsid w:val="003B346B"/>
    <w:rsid w:val="003B6136"/>
    <w:rsid w:val="003C1F14"/>
    <w:rsid w:val="003C3052"/>
    <w:rsid w:val="003C3609"/>
    <w:rsid w:val="003C416E"/>
    <w:rsid w:val="003D02D5"/>
    <w:rsid w:val="003D1EC1"/>
    <w:rsid w:val="003D2681"/>
    <w:rsid w:val="003D27EA"/>
    <w:rsid w:val="003D29EC"/>
    <w:rsid w:val="003D43B9"/>
    <w:rsid w:val="003D4D32"/>
    <w:rsid w:val="003D5892"/>
    <w:rsid w:val="003E15B8"/>
    <w:rsid w:val="003E22D9"/>
    <w:rsid w:val="003E3B4A"/>
    <w:rsid w:val="003E4E58"/>
    <w:rsid w:val="003E71DE"/>
    <w:rsid w:val="003F3840"/>
    <w:rsid w:val="003F597B"/>
    <w:rsid w:val="003F5F40"/>
    <w:rsid w:val="0040043D"/>
    <w:rsid w:val="00403BC2"/>
    <w:rsid w:val="004066A5"/>
    <w:rsid w:val="004101A5"/>
    <w:rsid w:val="00412BAC"/>
    <w:rsid w:val="004247C4"/>
    <w:rsid w:val="00426356"/>
    <w:rsid w:val="00426FF1"/>
    <w:rsid w:val="00427DD4"/>
    <w:rsid w:val="0043209A"/>
    <w:rsid w:val="00433C88"/>
    <w:rsid w:val="0043758D"/>
    <w:rsid w:val="00440E6B"/>
    <w:rsid w:val="004413E9"/>
    <w:rsid w:val="0044252F"/>
    <w:rsid w:val="00446CB7"/>
    <w:rsid w:val="00447FA5"/>
    <w:rsid w:val="00460C55"/>
    <w:rsid w:val="00465011"/>
    <w:rsid w:val="004705A9"/>
    <w:rsid w:val="00472E78"/>
    <w:rsid w:val="00474FFF"/>
    <w:rsid w:val="004754AA"/>
    <w:rsid w:val="004777AF"/>
    <w:rsid w:val="00480046"/>
    <w:rsid w:val="0049178F"/>
    <w:rsid w:val="00491DAB"/>
    <w:rsid w:val="0049425B"/>
    <w:rsid w:val="00495CD0"/>
    <w:rsid w:val="004A0153"/>
    <w:rsid w:val="004A1730"/>
    <w:rsid w:val="004A21AD"/>
    <w:rsid w:val="004B0F2C"/>
    <w:rsid w:val="004B1DD6"/>
    <w:rsid w:val="004B3D60"/>
    <w:rsid w:val="004B72E3"/>
    <w:rsid w:val="004C1161"/>
    <w:rsid w:val="004C397E"/>
    <w:rsid w:val="004C55C9"/>
    <w:rsid w:val="004C5B71"/>
    <w:rsid w:val="004C5C38"/>
    <w:rsid w:val="004C739E"/>
    <w:rsid w:val="004D411D"/>
    <w:rsid w:val="004D4300"/>
    <w:rsid w:val="004E01BE"/>
    <w:rsid w:val="004E0E16"/>
    <w:rsid w:val="004E4397"/>
    <w:rsid w:val="004F0A11"/>
    <w:rsid w:val="005030CD"/>
    <w:rsid w:val="0050351B"/>
    <w:rsid w:val="005054D3"/>
    <w:rsid w:val="00505FBF"/>
    <w:rsid w:val="00506765"/>
    <w:rsid w:val="00507776"/>
    <w:rsid w:val="00511DE3"/>
    <w:rsid w:val="00512605"/>
    <w:rsid w:val="005130AA"/>
    <w:rsid w:val="00513F42"/>
    <w:rsid w:val="00516B6F"/>
    <w:rsid w:val="00521F69"/>
    <w:rsid w:val="005235C1"/>
    <w:rsid w:val="005275AC"/>
    <w:rsid w:val="00530CD5"/>
    <w:rsid w:val="00534A18"/>
    <w:rsid w:val="00535573"/>
    <w:rsid w:val="005402D6"/>
    <w:rsid w:val="00542BD6"/>
    <w:rsid w:val="005468DF"/>
    <w:rsid w:val="005469E3"/>
    <w:rsid w:val="005513A1"/>
    <w:rsid w:val="00554FAD"/>
    <w:rsid w:val="005559D2"/>
    <w:rsid w:val="00555E8E"/>
    <w:rsid w:val="005601E6"/>
    <w:rsid w:val="00560D19"/>
    <w:rsid w:val="00560E26"/>
    <w:rsid w:val="00563C92"/>
    <w:rsid w:val="00567B85"/>
    <w:rsid w:val="00570A64"/>
    <w:rsid w:val="00573A79"/>
    <w:rsid w:val="00574461"/>
    <w:rsid w:val="00574D42"/>
    <w:rsid w:val="0057650C"/>
    <w:rsid w:val="00576687"/>
    <w:rsid w:val="00576722"/>
    <w:rsid w:val="0058167B"/>
    <w:rsid w:val="00586091"/>
    <w:rsid w:val="005875E7"/>
    <w:rsid w:val="00587C21"/>
    <w:rsid w:val="00591AEB"/>
    <w:rsid w:val="0059331C"/>
    <w:rsid w:val="00594DA1"/>
    <w:rsid w:val="005960DA"/>
    <w:rsid w:val="005A1025"/>
    <w:rsid w:val="005A3DA6"/>
    <w:rsid w:val="005A486D"/>
    <w:rsid w:val="005B38EF"/>
    <w:rsid w:val="005C4B82"/>
    <w:rsid w:val="005C56D6"/>
    <w:rsid w:val="005D1303"/>
    <w:rsid w:val="005E72F4"/>
    <w:rsid w:val="005E7E10"/>
    <w:rsid w:val="005F3C1A"/>
    <w:rsid w:val="005F578E"/>
    <w:rsid w:val="005F7F0B"/>
    <w:rsid w:val="0060273B"/>
    <w:rsid w:val="00604D12"/>
    <w:rsid w:val="0060516C"/>
    <w:rsid w:val="00607572"/>
    <w:rsid w:val="0061054B"/>
    <w:rsid w:val="006113FB"/>
    <w:rsid w:val="0061367D"/>
    <w:rsid w:val="00617221"/>
    <w:rsid w:val="00617BC7"/>
    <w:rsid w:val="00620EC5"/>
    <w:rsid w:val="006214DC"/>
    <w:rsid w:val="00627957"/>
    <w:rsid w:val="00627E1F"/>
    <w:rsid w:val="00627F71"/>
    <w:rsid w:val="00633617"/>
    <w:rsid w:val="006337C2"/>
    <w:rsid w:val="0063483A"/>
    <w:rsid w:val="00634896"/>
    <w:rsid w:val="0064358A"/>
    <w:rsid w:val="006445E9"/>
    <w:rsid w:val="0065029F"/>
    <w:rsid w:val="0065243F"/>
    <w:rsid w:val="00652AEE"/>
    <w:rsid w:val="00655021"/>
    <w:rsid w:val="006561C1"/>
    <w:rsid w:val="00662212"/>
    <w:rsid w:val="00662359"/>
    <w:rsid w:val="00664166"/>
    <w:rsid w:val="00665F2F"/>
    <w:rsid w:val="00670FCA"/>
    <w:rsid w:val="00671D5F"/>
    <w:rsid w:val="006723D5"/>
    <w:rsid w:val="00672E9B"/>
    <w:rsid w:val="006732D7"/>
    <w:rsid w:val="006767E6"/>
    <w:rsid w:val="00677628"/>
    <w:rsid w:val="00682AD5"/>
    <w:rsid w:val="0068559D"/>
    <w:rsid w:val="006914B1"/>
    <w:rsid w:val="006A11FA"/>
    <w:rsid w:val="006A2484"/>
    <w:rsid w:val="006A3912"/>
    <w:rsid w:val="006A60E9"/>
    <w:rsid w:val="006B1305"/>
    <w:rsid w:val="006B1C19"/>
    <w:rsid w:val="006B7D6A"/>
    <w:rsid w:val="006C0A7F"/>
    <w:rsid w:val="006C7AC4"/>
    <w:rsid w:val="006D008D"/>
    <w:rsid w:val="006D06A4"/>
    <w:rsid w:val="006D4C2D"/>
    <w:rsid w:val="006D6068"/>
    <w:rsid w:val="006E42AD"/>
    <w:rsid w:val="006E5CA2"/>
    <w:rsid w:val="006E69AA"/>
    <w:rsid w:val="006E74D3"/>
    <w:rsid w:val="006F0FC7"/>
    <w:rsid w:val="006F12B6"/>
    <w:rsid w:val="006F40BD"/>
    <w:rsid w:val="006F40DF"/>
    <w:rsid w:val="006F5E8A"/>
    <w:rsid w:val="006F74CD"/>
    <w:rsid w:val="006F7CAF"/>
    <w:rsid w:val="00700567"/>
    <w:rsid w:val="0070107F"/>
    <w:rsid w:val="007016E6"/>
    <w:rsid w:val="00701A0D"/>
    <w:rsid w:val="00701B11"/>
    <w:rsid w:val="0070525C"/>
    <w:rsid w:val="00706022"/>
    <w:rsid w:val="00706FD7"/>
    <w:rsid w:val="007073B5"/>
    <w:rsid w:val="00707B5E"/>
    <w:rsid w:val="00712F73"/>
    <w:rsid w:val="007145E7"/>
    <w:rsid w:val="007152FB"/>
    <w:rsid w:val="0071551F"/>
    <w:rsid w:val="00717A72"/>
    <w:rsid w:val="00720BE5"/>
    <w:rsid w:val="00720D2C"/>
    <w:rsid w:val="0072145F"/>
    <w:rsid w:val="007222F8"/>
    <w:rsid w:val="0072477F"/>
    <w:rsid w:val="00730F4A"/>
    <w:rsid w:val="007310E4"/>
    <w:rsid w:val="00731357"/>
    <w:rsid w:val="007318FE"/>
    <w:rsid w:val="007409A3"/>
    <w:rsid w:val="00743C71"/>
    <w:rsid w:val="0074762E"/>
    <w:rsid w:val="007539CB"/>
    <w:rsid w:val="007568FA"/>
    <w:rsid w:val="00756C3E"/>
    <w:rsid w:val="00762EB6"/>
    <w:rsid w:val="00763477"/>
    <w:rsid w:val="0076492D"/>
    <w:rsid w:val="007657AE"/>
    <w:rsid w:val="00766EC8"/>
    <w:rsid w:val="00775105"/>
    <w:rsid w:val="00782CA7"/>
    <w:rsid w:val="00786EDE"/>
    <w:rsid w:val="007909CA"/>
    <w:rsid w:val="007923D6"/>
    <w:rsid w:val="00793E6B"/>
    <w:rsid w:val="00796693"/>
    <w:rsid w:val="00796F61"/>
    <w:rsid w:val="00797726"/>
    <w:rsid w:val="007A0094"/>
    <w:rsid w:val="007A0C63"/>
    <w:rsid w:val="007A1819"/>
    <w:rsid w:val="007A32F5"/>
    <w:rsid w:val="007A388F"/>
    <w:rsid w:val="007A4598"/>
    <w:rsid w:val="007A6375"/>
    <w:rsid w:val="007A67B5"/>
    <w:rsid w:val="007A68E1"/>
    <w:rsid w:val="007B465B"/>
    <w:rsid w:val="007C01A5"/>
    <w:rsid w:val="007C3E18"/>
    <w:rsid w:val="007C62EF"/>
    <w:rsid w:val="007C6312"/>
    <w:rsid w:val="007D514C"/>
    <w:rsid w:val="007D6D5C"/>
    <w:rsid w:val="007E1025"/>
    <w:rsid w:val="007E201B"/>
    <w:rsid w:val="007E363E"/>
    <w:rsid w:val="007F18B8"/>
    <w:rsid w:val="007F190C"/>
    <w:rsid w:val="007F1BD3"/>
    <w:rsid w:val="007F4E72"/>
    <w:rsid w:val="007F5354"/>
    <w:rsid w:val="007F69EA"/>
    <w:rsid w:val="0080277A"/>
    <w:rsid w:val="00802C55"/>
    <w:rsid w:val="00803DB8"/>
    <w:rsid w:val="00803E73"/>
    <w:rsid w:val="008041DB"/>
    <w:rsid w:val="00805F52"/>
    <w:rsid w:val="00807807"/>
    <w:rsid w:val="008216DC"/>
    <w:rsid w:val="00823AC1"/>
    <w:rsid w:val="0083118D"/>
    <w:rsid w:val="00831E16"/>
    <w:rsid w:val="0083208E"/>
    <w:rsid w:val="00841302"/>
    <w:rsid w:val="00842F58"/>
    <w:rsid w:val="008432AE"/>
    <w:rsid w:val="008438CB"/>
    <w:rsid w:val="00844B53"/>
    <w:rsid w:val="008471D2"/>
    <w:rsid w:val="00852D37"/>
    <w:rsid w:val="0086356E"/>
    <w:rsid w:val="0086455E"/>
    <w:rsid w:val="00864D76"/>
    <w:rsid w:val="00865745"/>
    <w:rsid w:val="00870E31"/>
    <w:rsid w:val="00872466"/>
    <w:rsid w:val="00880A2F"/>
    <w:rsid w:val="00881704"/>
    <w:rsid w:val="00881A1D"/>
    <w:rsid w:val="00881D4B"/>
    <w:rsid w:val="00887420"/>
    <w:rsid w:val="00887763"/>
    <w:rsid w:val="00887A05"/>
    <w:rsid w:val="00894107"/>
    <w:rsid w:val="008A6C51"/>
    <w:rsid w:val="008A7C4B"/>
    <w:rsid w:val="008B323E"/>
    <w:rsid w:val="008B383F"/>
    <w:rsid w:val="008B38C2"/>
    <w:rsid w:val="008B4036"/>
    <w:rsid w:val="008B45AE"/>
    <w:rsid w:val="008B46AE"/>
    <w:rsid w:val="008B584E"/>
    <w:rsid w:val="008B6024"/>
    <w:rsid w:val="008B71F8"/>
    <w:rsid w:val="008C0914"/>
    <w:rsid w:val="008C41FD"/>
    <w:rsid w:val="008C6A4D"/>
    <w:rsid w:val="008D147E"/>
    <w:rsid w:val="008D35BB"/>
    <w:rsid w:val="008E0663"/>
    <w:rsid w:val="008E4819"/>
    <w:rsid w:val="008E7A45"/>
    <w:rsid w:val="008E7C09"/>
    <w:rsid w:val="008F1A67"/>
    <w:rsid w:val="008F2906"/>
    <w:rsid w:val="008F3935"/>
    <w:rsid w:val="008F430F"/>
    <w:rsid w:val="008F4C1A"/>
    <w:rsid w:val="008F5447"/>
    <w:rsid w:val="008F569B"/>
    <w:rsid w:val="0090505D"/>
    <w:rsid w:val="00911FB3"/>
    <w:rsid w:val="0091252A"/>
    <w:rsid w:val="00913000"/>
    <w:rsid w:val="009151B9"/>
    <w:rsid w:val="00922AE8"/>
    <w:rsid w:val="00922FBB"/>
    <w:rsid w:val="00923D8E"/>
    <w:rsid w:val="00925EFF"/>
    <w:rsid w:val="009269B1"/>
    <w:rsid w:val="00931B67"/>
    <w:rsid w:val="00932D0D"/>
    <w:rsid w:val="00940387"/>
    <w:rsid w:val="00941B2B"/>
    <w:rsid w:val="00941CA5"/>
    <w:rsid w:val="009432EF"/>
    <w:rsid w:val="00943E61"/>
    <w:rsid w:val="00956271"/>
    <w:rsid w:val="00963338"/>
    <w:rsid w:val="00964502"/>
    <w:rsid w:val="009662DD"/>
    <w:rsid w:val="00966D1A"/>
    <w:rsid w:val="00974723"/>
    <w:rsid w:val="00977787"/>
    <w:rsid w:val="00980044"/>
    <w:rsid w:val="00983CCB"/>
    <w:rsid w:val="00983E73"/>
    <w:rsid w:val="009855A3"/>
    <w:rsid w:val="00992231"/>
    <w:rsid w:val="0099493A"/>
    <w:rsid w:val="00995AF9"/>
    <w:rsid w:val="00995CE9"/>
    <w:rsid w:val="009A4328"/>
    <w:rsid w:val="009B46C1"/>
    <w:rsid w:val="009C4B6E"/>
    <w:rsid w:val="009C6FC6"/>
    <w:rsid w:val="009C7823"/>
    <w:rsid w:val="009D0717"/>
    <w:rsid w:val="009D134D"/>
    <w:rsid w:val="009D1CEE"/>
    <w:rsid w:val="009D2E87"/>
    <w:rsid w:val="009D4137"/>
    <w:rsid w:val="009D6952"/>
    <w:rsid w:val="009D7D67"/>
    <w:rsid w:val="009E0ABE"/>
    <w:rsid w:val="009E131C"/>
    <w:rsid w:val="009E1B71"/>
    <w:rsid w:val="009E490C"/>
    <w:rsid w:val="009F0E79"/>
    <w:rsid w:val="009F3C7D"/>
    <w:rsid w:val="009F473B"/>
    <w:rsid w:val="009F5C6E"/>
    <w:rsid w:val="009F63A4"/>
    <w:rsid w:val="009F7805"/>
    <w:rsid w:val="009F7AC7"/>
    <w:rsid w:val="00A01B36"/>
    <w:rsid w:val="00A0224C"/>
    <w:rsid w:val="00A04637"/>
    <w:rsid w:val="00A1203D"/>
    <w:rsid w:val="00A17558"/>
    <w:rsid w:val="00A20207"/>
    <w:rsid w:val="00A2315B"/>
    <w:rsid w:val="00A238CB"/>
    <w:rsid w:val="00A23FB7"/>
    <w:rsid w:val="00A277A9"/>
    <w:rsid w:val="00A33286"/>
    <w:rsid w:val="00A337ED"/>
    <w:rsid w:val="00A36667"/>
    <w:rsid w:val="00A41D2E"/>
    <w:rsid w:val="00A41DF1"/>
    <w:rsid w:val="00A421BC"/>
    <w:rsid w:val="00A4336F"/>
    <w:rsid w:val="00A44D5D"/>
    <w:rsid w:val="00A46D12"/>
    <w:rsid w:val="00A51B53"/>
    <w:rsid w:val="00A642D9"/>
    <w:rsid w:val="00A7208F"/>
    <w:rsid w:val="00A72C0A"/>
    <w:rsid w:val="00A74B40"/>
    <w:rsid w:val="00A7575B"/>
    <w:rsid w:val="00A76763"/>
    <w:rsid w:val="00A812B6"/>
    <w:rsid w:val="00A822A5"/>
    <w:rsid w:val="00A9005E"/>
    <w:rsid w:val="00A979AC"/>
    <w:rsid w:val="00AA486B"/>
    <w:rsid w:val="00AA4BA3"/>
    <w:rsid w:val="00AA6363"/>
    <w:rsid w:val="00AA7E00"/>
    <w:rsid w:val="00AB1292"/>
    <w:rsid w:val="00AB1608"/>
    <w:rsid w:val="00AB56A1"/>
    <w:rsid w:val="00AB7625"/>
    <w:rsid w:val="00AC112A"/>
    <w:rsid w:val="00AC3833"/>
    <w:rsid w:val="00AC3ACA"/>
    <w:rsid w:val="00AC5F9C"/>
    <w:rsid w:val="00AC6C29"/>
    <w:rsid w:val="00AC7D54"/>
    <w:rsid w:val="00AD07E3"/>
    <w:rsid w:val="00AD2814"/>
    <w:rsid w:val="00AD4817"/>
    <w:rsid w:val="00AD7D44"/>
    <w:rsid w:val="00AE20C5"/>
    <w:rsid w:val="00AE38F9"/>
    <w:rsid w:val="00AE40FA"/>
    <w:rsid w:val="00AE4771"/>
    <w:rsid w:val="00AE48BA"/>
    <w:rsid w:val="00AE4C51"/>
    <w:rsid w:val="00AE7C32"/>
    <w:rsid w:val="00AF0748"/>
    <w:rsid w:val="00AF101E"/>
    <w:rsid w:val="00AF12BE"/>
    <w:rsid w:val="00AF2B83"/>
    <w:rsid w:val="00AF3A8E"/>
    <w:rsid w:val="00AF6060"/>
    <w:rsid w:val="00B02718"/>
    <w:rsid w:val="00B02A8E"/>
    <w:rsid w:val="00B03805"/>
    <w:rsid w:val="00B07616"/>
    <w:rsid w:val="00B14230"/>
    <w:rsid w:val="00B1514C"/>
    <w:rsid w:val="00B201CD"/>
    <w:rsid w:val="00B2335C"/>
    <w:rsid w:val="00B233AA"/>
    <w:rsid w:val="00B23E54"/>
    <w:rsid w:val="00B24A9D"/>
    <w:rsid w:val="00B250E8"/>
    <w:rsid w:val="00B254A1"/>
    <w:rsid w:val="00B278C7"/>
    <w:rsid w:val="00B307E6"/>
    <w:rsid w:val="00B31E62"/>
    <w:rsid w:val="00B31FB0"/>
    <w:rsid w:val="00B37F57"/>
    <w:rsid w:val="00B44732"/>
    <w:rsid w:val="00B45DAE"/>
    <w:rsid w:val="00B45ED0"/>
    <w:rsid w:val="00B4735C"/>
    <w:rsid w:val="00B47FE5"/>
    <w:rsid w:val="00B50401"/>
    <w:rsid w:val="00B5407E"/>
    <w:rsid w:val="00B64E30"/>
    <w:rsid w:val="00B67F2A"/>
    <w:rsid w:val="00B72DF4"/>
    <w:rsid w:val="00B73997"/>
    <w:rsid w:val="00B74637"/>
    <w:rsid w:val="00B82472"/>
    <w:rsid w:val="00B85DFB"/>
    <w:rsid w:val="00B865B0"/>
    <w:rsid w:val="00B93B3A"/>
    <w:rsid w:val="00BA1170"/>
    <w:rsid w:val="00BA3844"/>
    <w:rsid w:val="00BA3995"/>
    <w:rsid w:val="00BA5AC8"/>
    <w:rsid w:val="00BA6F05"/>
    <w:rsid w:val="00BA77E4"/>
    <w:rsid w:val="00BB56DF"/>
    <w:rsid w:val="00BB5B6D"/>
    <w:rsid w:val="00BB645C"/>
    <w:rsid w:val="00BD05B4"/>
    <w:rsid w:val="00BD28A0"/>
    <w:rsid w:val="00BD2FC8"/>
    <w:rsid w:val="00BD47D7"/>
    <w:rsid w:val="00BD4BEC"/>
    <w:rsid w:val="00BD589A"/>
    <w:rsid w:val="00BE2AA5"/>
    <w:rsid w:val="00BE716F"/>
    <w:rsid w:val="00BF01CC"/>
    <w:rsid w:val="00BF0FA3"/>
    <w:rsid w:val="00BF108F"/>
    <w:rsid w:val="00BF1FCC"/>
    <w:rsid w:val="00BF6DE7"/>
    <w:rsid w:val="00C00BA1"/>
    <w:rsid w:val="00C067B5"/>
    <w:rsid w:val="00C140B1"/>
    <w:rsid w:val="00C16FFC"/>
    <w:rsid w:val="00C25529"/>
    <w:rsid w:val="00C27FB0"/>
    <w:rsid w:val="00C310C5"/>
    <w:rsid w:val="00C32643"/>
    <w:rsid w:val="00C3387D"/>
    <w:rsid w:val="00C3508A"/>
    <w:rsid w:val="00C35BD4"/>
    <w:rsid w:val="00C4108A"/>
    <w:rsid w:val="00C419BC"/>
    <w:rsid w:val="00C41C95"/>
    <w:rsid w:val="00C500F6"/>
    <w:rsid w:val="00C52C57"/>
    <w:rsid w:val="00C5352E"/>
    <w:rsid w:val="00C53901"/>
    <w:rsid w:val="00C56220"/>
    <w:rsid w:val="00C56DA5"/>
    <w:rsid w:val="00C63F8A"/>
    <w:rsid w:val="00C64845"/>
    <w:rsid w:val="00C64D5E"/>
    <w:rsid w:val="00C6617E"/>
    <w:rsid w:val="00C6706F"/>
    <w:rsid w:val="00C700D0"/>
    <w:rsid w:val="00C70D4A"/>
    <w:rsid w:val="00C80BF2"/>
    <w:rsid w:val="00C84016"/>
    <w:rsid w:val="00C86F92"/>
    <w:rsid w:val="00C90FC7"/>
    <w:rsid w:val="00C94F8F"/>
    <w:rsid w:val="00C97235"/>
    <w:rsid w:val="00CA1C2F"/>
    <w:rsid w:val="00CA4F14"/>
    <w:rsid w:val="00CA5E25"/>
    <w:rsid w:val="00CA6411"/>
    <w:rsid w:val="00CA6A3A"/>
    <w:rsid w:val="00CB1D13"/>
    <w:rsid w:val="00CB220D"/>
    <w:rsid w:val="00CB52A2"/>
    <w:rsid w:val="00CB5AA8"/>
    <w:rsid w:val="00CC0E84"/>
    <w:rsid w:val="00CC222C"/>
    <w:rsid w:val="00CC4DDC"/>
    <w:rsid w:val="00CC5867"/>
    <w:rsid w:val="00CC5BDA"/>
    <w:rsid w:val="00CC6569"/>
    <w:rsid w:val="00CC662D"/>
    <w:rsid w:val="00CC7EA1"/>
    <w:rsid w:val="00CD18B7"/>
    <w:rsid w:val="00CE340E"/>
    <w:rsid w:val="00CE61C0"/>
    <w:rsid w:val="00CE79C0"/>
    <w:rsid w:val="00CF5612"/>
    <w:rsid w:val="00CF72A7"/>
    <w:rsid w:val="00D006C5"/>
    <w:rsid w:val="00D01C0B"/>
    <w:rsid w:val="00D02C05"/>
    <w:rsid w:val="00D03AB2"/>
    <w:rsid w:val="00D04F93"/>
    <w:rsid w:val="00D05E95"/>
    <w:rsid w:val="00D07CFF"/>
    <w:rsid w:val="00D11798"/>
    <w:rsid w:val="00D120FB"/>
    <w:rsid w:val="00D12671"/>
    <w:rsid w:val="00D1576A"/>
    <w:rsid w:val="00D20D3F"/>
    <w:rsid w:val="00D26558"/>
    <w:rsid w:val="00D26E2E"/>
    <w:rsid w:val="00D27D33"/>
    <w:rsid w:val="00D33E02"/>
    <w:rsid w:val="00D358C5"/>
    <w:rsid w:val="00D373E0"/>
    <w:rsid w:val="00D4136D"/>
    <w:rsid w:val="00D4198D"/>
    <w:rsid w:val="00D43546"/>
    <w:rsid w:val="00D43D85"/>
    <w:rsid w:val="00D50FD8"/>
    <w:rsid w:val="00D5241D"/>
    <w:rsid w:val="00D5423C"/>
    <w:rsid w:val="00D558E2"/>
    <w:rsid w:val="00D57548"/>
    <w:rsid w:val="00D60805"/>
    <w:rsid w:val="00D62426"/>
    <w:rsid w:val="00D628C0"/>
    <w:rsid w:val="00D666F8"/>
    <w:rsid w:val="00D66B3D"/>
    <w:rsid w:val="00D72C87"/>
    <w:rsid w:val="00D74EC3"/>
    <w:rsid w:val="00D8244E"/>
    <w:rsid w:val="00D84A6B"/>
    <w:rsid w:val="00D86C43"/>
    <w:rsid w:val="00D91A79"/>
    <w:rsid w:val="00D920BF"/>
    <w:rsid w:val="00D959C4"/>
    <w:rsid w:val="00D96081"/>
    <w:rsid w:val="00D96439"/>
    <w:rsid w:val="00DA168E"/>
    <w:rsid w:val="00DA6AF4"/>
    <w:rsid w:val="00DA7571"/>
    <w:rsid w:val="00DB047A"/>
    <w:rsid w:val="00DB0F72"/>
    <w:rsid w:val="00DC1F4D"/>
    <w:rsid w:val="00DC3FB6"/>
    <w:rsid w:val="00DD03A4"/>
    <w:rsid w:val="00DD23A9"/>
    <w:rsid w:val="00DD377F"/>
    <w:rsid w:val="00DD694C"/>
    <w:rsid w:val="00DE03BC"/>
    <w:rsid w:val="00DE1506"/>
    <w:rsid w:val="00DE6FDC"/>
    <w:rsid w:val="00DE7A02"/>
    <w:rsid w:val="00DF0088"/>
    <w:rsid w:val="00DF1105"/>
    <w:rsid w:val="00DF4D85"/>
    <w:rsid w:val="00DF4F59"/>
    <w:rsid w:val="00DF7DB1"/>
    <w:rsid w:val="00E01B40"/>
    <w:rsid w:val="00E022E6"/>
    <w:rsid w:val="00E03827"/>
    <w:rsid w:val="00E13E2E"/>
    <w:rsid w:val="00E142FC"/>
    <w:rsid w:val="00E14730"/>
    <w:rsid w:val="00E1741A"/>
    <w:rsid w:val="00E227EE"/>
    <w:rsid w:val="00E3427D"/>
    <w:rsid w:val="00E4411D"/>
    <w:rsid w:val="00E4480D"/>
    <w:rsid w:val="00E45465"/>
    <w:rsid w:val="00E47EC6"/>
    <w:rsid w:val="00E51841"/>
    <w:rsid w:val="00E518F2"/>
    <w:rsid w:val="00E55BD7"/>
    <w:rsid w:val="00E61741"/>
    <w:rsid w:val="00E62F55"/>
    <w:rsid w:val="00E64C57"/>
    <w:rsid w:val="00E74B41"/>
    <w:rsid w:val="00E91769"/>
    <w:rsid w:val="00E937A4"/>
    <w:rsid w:val="00E94E49"/>
    <w:rsid w:val="00EA4561"/>
    <w:rsid w:val="00EB038A"/>
    <w:rsid w:val="00EB0FB8"/>
    <w:rsid w:val="00EB1521"/>
    <w:rsid w:val="00EB658E"/>
    <w:rsid w:val="00EC322A"/>
    <w:rsid w:val="00EC3387"/>
    <w:rsid w:val="00EC5532"/>
    <w:rsid w:val="00EC6106"/>
    <w:rsid w:val="00ED072B"/>
    <w:rsid w:val="00ED2322"/>
    <w:rsid w:val="00ED3666"/>
    <w:rsid w:val="00ED43F6"/>
    <w:rsid w:val="00EE2234"/>
    <w:rsid w:val="00EE252E"/>
    <w:rsid w:val="00EE38D0"/>
    <w:rsid w:val="00EE4502"/>
    <w:rsid w:val="00EE5C0C"/>
    <w:rsid w:val="00EF632A"/>
    <w:rsid w:val="00EF6A3F"/>
    <w:rsid w:val="00F047EB"/>
    <w:rsid w:val="00F059E6"/>
    <w:rsid w:val="00F077CA"/>
    <w:rsid w:val="00F13914"/>
    <w:rsid w:val="00F13A92"/>
    <w:rsid w:val="00F16301"/>
    <w:rsid w:val="00F23682"/>
    <w:rsid w:val="00F2589D"/>
    <w:rsid w:val="00F26986"/>
    <w:rsid w:val="00F26F9E"/>
    <w:rsid w:val="00F33637"/>
    <w:rsid w:val="00F34330"/>
    <w:rsid w:val="00F37283"/>
    <w:rsid w:val="00F40A4B"/>
    <w:rsid w:val="00F4105F"/>
    <w:rsid w:val="00F42AD7"/>
    <w:rsid w:val="00F43C7A"/>
    <w:rsid w:val="00F44531"/>
    <w:rsid w:val="00F478D1"/>
    <w:rsid w:val="00F50918"/>
    <w:rsid w:val="00F5136F"/>
    <w:rsid w:val="00F51A75"/>
    <w:rsid w:val="00F61444"/>
    <w:rsid w:val="00F67245"/>
    <w:rsid w:val="00F72812"/>
    <w:rsid w:val="00F73802"/>
    <w:rsid w:val="00F7380C"/>
    <w:rsid w:val="00F82257"/>
    <w:rsid w:val="00F837B1"/>
    <w:rsid w:val="00F84866"/>
    <w:rsid w:val="00F857E8"/>
    <w:rsid w:val="00F87701"/>
    <w:rsid w:val="00F877DA"/>
    <w:rsid w:val="00F97E0B"/>
    <w:rsid w:val="00FA08C9"/>
    <w:rsid w:val="00FA5BEF"/>
    <w:rsid w:val="00FA622B"/>
    <w:rsid w:val="00FA7873"/>
    <w:rsid w:val="00FB0382"/>
    <w:rsid w:val="00FB2E06"/>
    <w:rsid w:val="00FB35AC"/>
    <w:rsid w:val="00FB4826"/>
    <w:rsid w:val="00FB5349"/>
    <w:rsid w:val="00FC3B5B"/>
    <w:rsid w:val="00FC6651"/>
    <w:rsid w:val="00FD356D"/>
    <w:rsid w:val="00FD6B23"/>
    <w:rsid w:val="00FE01FC"/>
    <w:rsid w:val="00FE040D"/>
    <w:rsid w:val="00FE087B"/>
    <w:rsid w:val="00FE10D9"/>
    <w:rsid w:val="00FE21E0"/>
    <w:rsid w:val="00FE485F"/>
    <w:rsid w:val="00FF1797"/>
    <w:rsid w:val="00FF4236"/>
    <w:rsid w:val="00FF5851"/>
    <w:rsid w:val="00FF5A75"/>
    <w:rsid w:val="00FF68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B292B1"/>
  <w15:chartTrackingRefBased/>
  <w15:docId w15:val="{AFCF8F8E-949B-4CBE-9D90-FD651356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7B38"/>
    <w:pPr>
      <w:spacing w:after="0" w:line="240" w:lineRule="auto"/>
    </w:pPr>
    <w:rPr>
      <w:rFonts w:eastAsiaTheme="minorEastAsia"/>
      <w:sz w:val="24"/>
      <w:szCs w:val="24"/>
      <w:lang w:val="en-US"/>
    </w:rPr>
  </w:style>
  <w:style w:type="paragraph" w:styleId="Heading1">
    <w:name w:val="heading 1"/>
    <w:basedOn w:val="Normal"/>
    <w:next w:val="Normal"/>
    <w:link w:val="Heading1Char"/>
    <w:uiPriority w:val="9"/>
    <w:qFormat/>
    <w:rsid w:val="004C397E"/>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autoRedefine/>
    <w:uiPriority w:val="9"/>
    <w:unhideWhenUsed/>
    <w:qFormat/>
    <w:rsid w:val="0011138D"/>
    <w:pPr>
      <w:keepNext/>
      <w:keepLines/>
      <w:spacing w:before="360" w:after="360"/>
      <w:outlineLvl w:val="1"/>
    </w:pPr>
    <w:rPr>
      <w:rFonts w:ascii="Times New Roman" w:eastAsia="Calibri" w:hAnsi="Times New Roman" w:cs="Times New Roman"/>
      <w:b/>
      <w:bCs/>
      <w:sz w:val="28"/>
      <w:szCs w:val="28"/>
      <w:lang w:val="en-GB"/>
    </w:rPr>
  </w:style>
  <w:style w:type="paragraph" w:styleId="Heading3">
    <w:name w:val="heading 3"/>
    <w:basedOn w:val="Normal"/>
    <w:link w:val="Heading3Char"/>
    <w:uiPriority w:val="9"/>
    <w:qFormat/>
    <w:rsid w:val="004C397E"/>
    <w:pPr>
      <w:spacing w:before="100" w:beforeAutospacing="1" w:after="100" w:afterAutospacing="1"/>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autoRedefine/>
    <w:uiPriority w:val="9"/>
    <w:unhideWhenUsed/>
    <w:qFormat/>
    <w:rsid w:val="0011138D"/>
    <w:pPr>
      <w:keepNext/>
      <w:keepLines/>
      <w:spacing w:before="40"/>
      <w:outlineLvl w:val="3"/>
    </w:pPr>
    <w:rPr>
      <w:rFonts w:ascii="Times New Roman" w:eastAsia="Calibri" w:hAnsi="Times New Roman" w:cs="Times New Roman"/>
      <w:b/>
      <w:bCs/>
    </w:rPr>
  </w:style>
  <w:style w:type="paragraph" w:styleId="Heading5">
    <w:name w:val="heading 5"/>
    <w:basedOn w:val="Normal"/>
    <w:next w:val="Normal"/>
    <w:link w:val="Heading5Char"/>
    <w:uiPriority w:val="9"/>
    <w:semiHidden/>
    <w:unhideWhenUsed/>
    <w:qFormat/>
    <w:rsid w:val="00BD589A"/>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530D1"/>
    <w:pPr>
      <w:tabs>
        <w:tab w:val="center" w:pos="4320"/>
        <w:tab w:val="right" w:pos="8640"/>
      </w:tabs>
    </w:pPr>
  </w:style>
  <w:style w:type="character" w:customStyle="1" w:styleId="HeaderChar">
    <w:name w:val="Header Char"/>
    <w:basedOn w:val="DefaultParagraphFont"/>
    <w:link w:val="Header"/>
    <w:uiPriority w:val="99"/>
    <w:rsid w:val="001530D1"/>
    <w:rPr>
      <w:rFonts w:eastAsiaTheme="minorEastAsia"/>
      <w:sz w:val="24"/>
      <w:szCs w:val="24"/>
      <w:lang w:val="en-US"/>
    </w:rPr>
  </w:style>
  <w:style w:type="paragraph" w:styleId="Footer">
    <w:name w:val="footer"/>
    <w:basedOn w:val="Normal"/>
    <w:link w:val="FooterChar"/>
    <w:uiPriority w:val="99"/>
    <w:unhideWhenUsed/>
    <w:rsid w:val="001530D1"/>
    <w:pPr>
      <w:tabs>
        <w:tab w:val="center" w:pos="4320"/>
        <w:tab w:val="right" w:pos="8640"/>
      </w:tabs>
    </w:pPr>
  </w:style>
  <w:style w:type="character" w:customStyle="1" w:styleId="FooterChar">
    <w:name w:val="Footer Char"/>
    <w:basedOn w:val="DefaultParagraphFont"/>
    <w:link w:val="Footer"/>
    <w:uiPriority w:val="99"/>
    <w:rsid w:val="001530D1"/>
    <w:rPr>
      <w:rFonts w:eastAsiaTheme="minorEastAsia"/>
      <w:sz w:val="24"/>
      <w:szCs w:val="24"/>
      <w:lang w:val="en-US"/>
    </w:rPr>
  </w:style>
  <w:style w:type="table" w:styleId="TableGrid">
    <w:name w:val="Table Grid"/>
    <w:basedOn w:val="TableNormal"/>
    <w:uiPriority w:val="39"/>
    <w:rsid w:val="001530D1"/>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530D1"/>
    <w:rPr>
      <w:color w:val="0563C1" w:themeColor="hyperlink"/>
      <w:u w:val="single"/>
    </w:rPr>
  </w:style>
  <w:style w:type="character" w:styleId="PageNumber">
    <w:name w:val="page number"/>
    <w:basedOn w:val="DefaultParagraphFont"/>
    <w:uiPriority w:val="99"/>
    <w:semiHidden/>
    <w:unhideWhenUsed/>
    <w:rsid w:val="001530D1"/>
  </w:style>
  <w:style w:type="character" w:styleId="FollowedHyperlink">
    <w:name w:val="FollowedHyperlink"/>
    <w:basedOn w:val="DefaultParagraphFont"/>
    <w:uiPriority w:val="99"/>
    <w:semiHidden/>
    <w:unhideWhenUsed/>
    <w:rsid w:val="00B4735C"/>
    <w:rPr>
      <w:color w:val="954F72" w:themeColor="followedHyperlink"/>
      <w:u w:val="single"/>
    </w:rPr>
  </w:style>
  <w:style w:type="table" w:styleId="TableWeb2">
    <w:name w:val="Table Web 2"/>
    <w:basedOn w:val="TableNormal"/>
    <w:uiPriority w:val="99"/>
    <w:rsid w:val="00B02A8E"/>
    <w:rPr>
      <w:lang w:val="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E94E49"/>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NoSpacing">
    <w:name w:val="No Spacing"/>
    <w:uiPriority w:val="1"/>
    <w:qFormat/>
    <w:rsid w:val="00460C55"/>
    <w:pPr>
      <w:spacing w:after="0" w:line="240" w:lineRule="auto"/>
    </w:pPr>
    <w:rPr>
      <w:rFonts w:ascii="Times New Roman" w:eastAsiaTheme="minorEastAsia" w:hAnsi="Times New Roman" w:cs="Times New Roman"/>
      <w:lang w:val="en-US" w:eastAsia="ja-JP"/>
    </w:rPr>
  </w:style>
  <w:style w:type="table" w:customStyle="1" w:styleId="TableGrid1">
    <w:name w:val="Table Grid1"/>
    <w:basedOn w:val="TableNormal"/>
    <w:next w:val="TableGrid"/>
    <w:uiPriority w:val="59"/>
    <w:rsid w:val="00852D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F51A75"/>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TableNormal"/>
    <w:uiPriority w:val="60"/>
    <w:rsid w:val="003D5892"/>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TableNormal"/>
    <w:uiPriority w:val="60"/>
    <w:rsid w:val="007A009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Bibliography">
    <w:name w:val="Bibliography"/>
    <w:basedOn w:val="Normal"/>
    <w:next w:val="Normal"/>
    <w:uiPriority w:val="37"/>
    <w:unhideWhenUsed/>
    <w:rsid w:val="005F7F0B"/>
  </w:style>
  <w:style w:type="numbering" w:customStyle="1" w:styleId="WWNum6">
    <w:name w:val="WWNum6"/>
    <w:basedOn w:val="NoList"/>
    <w:rsid w:val="0074762E"/>
    <w:pPr>
      <w:numPr>
        <w:numId w:val="1"/>
      </w:numPr>
    </w:pPr>
  </w:style>
  <w:style w:type="character" w:styleId="CommentReference">
    <w:name w:val="annotation reference"/>
    <w:basedOn w:val="DefaultParagraphFont"/>
    <w:uiPriority w:val="99"/>
    <w:semiHidden/>
    <w:unhideWhenUsed/>
    <w:rsid w:val="009D0717"/>
    <w:rPr>
      <w:sz w:val="16"/>
      <w:szCs w:val="16"/>
    </w:rPr>
  </w:style>
  <w:style w:type="paragraph" w:styleId="BalloonText">
    <w:name w:val="Balloon Text"/>
    <w:basedOn w:val="Normal"/>
    <w:link w:val="BalloonTextChar"/>
    <w:uiPriority w:val="99"/>
    <w:semiHidden/>
    <w:unhideWhenUsed/>
    <w:rsid w:val="009D071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D0717"/>
    <w:rPr>
      <w:rFonts w:ascii="Segoe UI" w:eastAsiaTheme="minorEastAsia" w:hAnsi="Segoe UI" w:cs="Segoe UI"/>
      <w:sz w:val="18"/>
      <w:szCs w:val="18"/>
      <w:lang w:val="en-US"/>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eastAsiaTheme="minorEastAsia"/>
      <w:sz w:val="20"/>
      <w:szCs w:val="20"/>
      <w:lang w:val="en-US"/>
    </w:rPr>
  </w:style>
  <w:style w:type="table" w:customStyle="1" w:styleId="TableGrid2">
    <w:name w:val="Table Grid2"/>
    <w:basedOn w:val="TableNormal"/>
    <w:next w:val="TableGrid"/>
    <w:uiPriority w:val="39"/>
    <w:rsid w:val="0083118D"/>
    <w:pPr>
      <w:spacing w:after="0" w:line="240" w:lineRule="auto"/>
      <w:ind w:left="-187" w:firstLine="187"/>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uiPriority w:val="99"/>
    <w:unhideWhenUsed/>
    <w:qFormat/>
    <w:rsid w:val="009D1CEE"/>
    <w:pPr>
      <w:spacing w:beforeAutospacing="1" w:after="0" w:afterAutospacing="1" w:line="240" w:lineRule="auto"/>
    </w:pPr>
    <w:rPr>
      <w:rFonts w:ascii="Times New Roman" w:eastAsia="SimSun" w:hAnsi="Times New Roman" w:cs="Times New Roman"/>
      <w:sz w:val="24"/>
      <w:szCs w:val="24"/>
      <w:lang w:val="en-US" w:eastAsia="zh-CN"/>
    </w:rPr>
  </w:style>
  <w:style w:type="paragraph" w:styleId="ListParagraph">
    <w:name w:val="List Paragraph"/>
    <w:basedOn w:val="Normal"/>
    <w:uiPriority w:val="34"/>
    <w:qFormat/>
    <w:rsid w:val="009D1CEE"/>
    <w:pPr>
      <w:spacing w:after="200" w:line="276" w:lineRule="auto"/>
      <w:ind w:left="720"/>
      <w:contextualSpacing/>
    </w:pPr>
    <w:rPr>
      <w:rFonts w:ascii="Calibri" w:eastAsia="Calibri" w:hAnsi="Calibri" w:cs="Times New Roman"/>
      <w:sz w:val="22"/>
      <w:szCs w:val="22"/>
    </w:rPr>
  </w:style>
  <w:style w:type="character" w:customStyle="1" w:styleId="element-citation">
    <w:name w:val="element-citation"/>
    <w:basedOn w:val="DefaultParagraphFont"/>
    <w:rsid w:val="009D1CEE"/>
  </w:style>
  <w:style w:type="table" w:styleId="LightList">
    <w:name w:val="Light List"/>
    <w:basedOn w:val="TableNormal"/>
    <w:uiPriority w:val="61"/>
    <w:unhideWhenUsed/>
    <w:rsid w:val="00CB1D13"/>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Grid3">
    <w:name w:val="Table Grid3"/>
    <w:basedOn w:val="TableNormal"/>
    <w:next w:val="TableGrid"/>
    <w:uiPriority w:val="39"/>
    <w:rsid w:val="00CB1D13"/>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CC222C"/>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basedOn w:val="DefaultParagraphFont"/>
    <w:link w:val="Heading1"/>
    <w:uiPriority w:val="9"/>
    <w:rsid w:val="004C397E"/>
    <w:rPr>
      <w:rFonts w:asciiTheme="majorHAnsi" w:eastAsiaTheme="majorEastAsia" w:hAnsiTheme="majorHAnsi" w:cstheme="majorBidi"/>
      <w:color w:val="2E74B5" w:themeColor="accent1" w:themeShade="BF"/>
      <w:sz w:val="32"/>
      <w:szCs w:val="32"/>
      <w:lang w:val="en-US"/>
    </w:rPr>
  </w:style>
  <w:style w:type="character" w:customStyle="1" w:styleId="Heading3Char">
    <w:name w:val="Heading 3 Char"/>
    <w:basedOn w:val="DefaultParagraphFont"/>
    <w:link w:val="Heading3"/>
    <w:uiPriority w:val="9"/>
    <w:rsid w:val="004C397E"/>
    <w:rPr>
      <w:rFonts w:ascii="Times New Roman" w:eastAsia="Times New Roman" w:hAnsi="Times New Roman" w:cs="Times New Roman"/>
      <w:b/>
      <w:bCs/>
      <w:sz w:val="27"/>
      <w:szCs w:val="27"/>
      <w:lang w:val="en-US"/>
    </w:rPr>
  </w:style>
  <w:style w:type="character" w:customStyle="1" w:styleId="UnresolvedMention1">
    <w:name w:val="Unresolved Mention1"/>
    <w:basedOn w:val="DefaultParagraphFont"/>
    <w:uiPriority w:val="99"/>
    <w:semiHidden/>
    <w:unhideWhenUsed/>
    <w:rsid w:val="004C397E"/>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4C397E"/>
    <w:pPr>
      <w:spacing w:after="200"/>
    </w:pPr>
    <w:rPr>
      <w:rFonts w:eastAsiaTheme="minorHAnsi"/>
      <w:b/>
      <w:bCs/>
    </w:rPr>
  </w:style>
  <w:style w:type="character" w:customStyle="1" w:styleId="CommentSubjectChar">
    <w:name w:val="Comment Subject Char"/>
    <w:basedOn w:val="CommentTextChar"/>
    <w:link w:val="CommentSubject"/>
    <w:uiPriority w:val="99"/>
    <w:semiHidden/>
    <w:rsid w:val="004C397E"/>
    <w:rPr>
      <w:rFonts w:eastAsiaTheme="minorEastAsia"/>
      <w:b/>
      <w:bCs/>
      <w:sz w:val="20"/>
      <w:szCs w:val="20"/>
      <w:lang w:val="en-US"/>
    </w:rPr>
  </w:style>
  <w:style w:type="character" w:styleId="LineNumber">
    <w:name w:val="line number"/>
    <w:basedOn w:val="DefaultParagraphFont"/>
    <w:uiPriority w:val="99"/>
    <w:semiHidden/>
    <w:unhideWhenUsed/>
    <w:rsid w:val="004C397E"/>
  </w:style>
  <w:style w:type="paragraph" w:styleId="Revision">
    <w:name w:val="Revision"/>
    <w:hidden/>
    <w:uiPriority w:val="99"/>
    <w:semiHidden/>
    <w:rsid w:val="004C397E"/>
    <w:pPr>
      <w:spacing w:after="0" w:line="240" w:lineRule="auto"/>
    </w:pPr>
    <w:rPr>
      <w:lang w:val="en-US"/>
    </w:rPr>
  </w:style>
  <w:style w:type="paragraph" w:styleId="BodyText">
    <w:name w:val="Body Text"/>
    <w:basedOn w:val="Normal"/>
    <w:link w:val="BodyTextChar"/>
    <w:uiPriority w:val="1"/>
    <w:qFormat/>
    <w:rsid w:val="004C397E"/>
    <w:pPr>
      <w:widowControl w:val="0"/>
      <w:autoSpaceDE w:val="0"/>
      <w:autoSpaceDN w:val="0"/>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4C397E"/>
    <w:rPr>
      <w:rFonts w:ascii="Times New Roman" w:eastAsia="Times New Roman" w:hAnsi="Times New Roman" w:cs="Times New Roman"/>
      <w:sz w:val="24"/>
      <w:szCs w:val="24"/>
      <w:lang w:val="en-US"/>
    </w:rPr>
  </w:style>
  <w:style w:type="paragraph" w:customStyle="1" w:styleId="TableParagraph">
    <w:name w:val="Table Paragraph"/>
    <w:basedOn w:val="Normal"/>
    <w:uiPriority w:val="1"/>
    <w:qFormat/>
    <w:rsid w:val="004C397E"/>
    <w:pPr>
      <w:widowControl w:val="0"/>
      <w:autoSpaceDE w:val="0"/>
      <w:autoSpaceDN w:val="0"/>
    </w:pPr>
    <w:rPr>
      <w:rFonts w:ascii="Times New Roman" w:eastAsia="Times New Roman" w:hAnsi="Times New Roman" w:cs="Times New Roman"/>
      <w:sz w:val="22"/>
      <w:szCs w:val="22"/>
    </w:rPr>
  </w:style>
  <w:style w:type="character" w:customStyle="1" w:styleId="UnresolvedMention2">
    <w:name w:val="Unresolved Mention2"/>
    <w:basedOn w:val="DefaultParagraphFont"/>
    <w:uiPriority w:val="99"/>
    <w:semiHidden/>
    <w:unhideWhenUsed/>
    <w:rsid w:val="004C397E"/>
    <w:rPr>
      <w:color w:val="605E5C"/>
      <w:shd w:val="clear" w:color="auto" w:fill="E1DFDD"/>
    </w:rPr>
  </w:style>
  <w:style w:type="character" w:customStyle="1" w:styleId="fm-vol-iss-date">
    <w:name w:val="fm-vol-iss-date"/>
    <w:basedOn w:val="DefaultParagraphFont"/>
    <w:rsid w:val="004C397E"/>
  </w:style>
  <w:style w:type="character" w:customStyle="1" w:styleId="doi">
    <w:name w:val="doi"/>
    <w:basedOn w:val="DefaultParagraphFont"/>
    <w:rsid w:val="004C397E"/>
  </w:style>
  <w:style w:type="character" w:styleId="PlaceholderText">
    <w:name w:val="Placeholder Text"/>
    <w:basedOn w:val="DefaultParagraphFont"/>
    <w:uiPriority w:val="99"/>
    <w:semiHidden/>
    <w:rsid w:val="000B776D"/>
    <w:rPr>
      <w:color w:val="808080"/>
    </w:rPr>
  </w:style>
  <w:style w:type="character" w:customStyle="1" w:styleId="Heading2Char">
    <w:name w:val="Heading 2 Char"/>
    <w:basedOn w:val="DefaultParagraphFont"/>
    <w:link w:val="Heading2"/>
    <w:uiPriority w:val="9"/>
    <w:rsid w:val="0011138D"/>
    <w:rPr>
      <w:rFonts w:ascii="Times New Roman" w:eastAsia="Calibri" w:hAnsi="Times New Roman" w:cs="Times New Roman"/>
      <w:b/>
      <w:bCs/>
      <w:sz w:val="28"/>
      <w:szCs w:val="28"/>
    </w:rPr>
  </w:style>
  <w:style w:type="character" w:customStyle="1" w:styleId="Heading4Char">
    <w:name w:val="Heading 4 Char"/>
    <w:basedOn w:val="DefaultParagraphFont"/>
    <w:link w:val="Heading4"/>
    <w:uiPriority w:val="9"/>
    <w:rsid w:val="0011138D"/>
    <w:rPr>
      <w:rFonts w:ascii="Times New Roman" w:eastAsia="Calibri" w:hAnsi="Times New Roman" w:cs="Times New Roman"/>
      <w:b/>
      <w:bCs/>
      <w:sz w:val="24"/>
      <w:szCs w:val="24"/>
      <w:lang w:val="en-US"/>
    </w:rPr>
  </w:style>
  <w:style w:type="paragraph" w:customStyle="1" w:styleId="Heading11">
    <w:name w:val="Heading 11"/>
    <w:basedOn w:val="Normal"/>
    <w:next w:val="Normal"/>
    <w:uiPriority w:val="9"/>
    <w:qFormat/>
    <w:rsid w:val="0011138D"/>
    <w:pPr>
      <w:keepNext/>
      <w:keepLines/>
      <w:spacing w:before="480" w:line="276" w:lineRule="auto"/>
      <w:outlineLvl w:val="0"/>
    </w:pPr>
    <w:rPr>
      <w:rFonts w:ascii="Cambria" w:eastAsia="Times New Roman" w:hAnsi="Cambria" w:cs="Times New Roman"/>
      <w:b/>
      <w:bCs/>
      <w:color w:val="365F91"/>
      <w:sz w:val="28"/>
      <w:szCs w:val="28"/>
      <w:lang w:eastAsia="ja-JP"/>
    </w:rPr>
  </w:style>
  <w:style w:type="paragraph" w:customStyle="1" w:styleId="Heading21">
    <w:name w:val="Heading 21"/>
    <w:basedOn w:val="Normal"/>
    <w:next w:val="Normal"/>
    <w:uiPriority w:val="9"/>
    <w:unhideWhenUsed/>
    <w:qFormat/>
    <w:rsid w:val="0011138D"/>
    <w:pPr>
      <w:keepNext/>
      <w:keepLines/>
      <w:spacing w:before="200" w:line="276" w:lineRule="auto"/>
      <w:outlineLvl w:val="1"/>
    </w:pPr>
    <w:rPr>
      <w:rFonts w:ascii="Cambria" w:eastAsia="Times New Roman" w:hAnsi="Cambria" w:cs="Times New Roman"/>
      <w:b/>
      <w:bCs/>
      <w:color w:val="4F81BD"/>
      <w:sz w:val="26"/>
      <w:szCs w:val="26"/>
      <w:lang w:val="en-GB"/>
    </w:rPr>
  </w:style>
  <w:style w:type="paragraph" w:customStyle="1" w:styleId="Heading31">
    <w:name w:val="Heading 31"/>
    <w:basedOn w:val="Normal"/>
    <w:next w:val="Normal"/>
    <w:uiPriority w:val="9"/>
    <w:unhideWhenUsed/>
    <w:qFormat/>
    <w:rsid w:val="0011138D"/>
    <w:pPr>
      <w:keepNext/>
      <w:keepLines/>
      <w:spacing w:before="200" w:line="276" w:lineRule="auto"/>
      <w:outlineLvl w:val="2"/>
    </w:pPr>
    <w:rPr>
      <w:rFonts w:ascii="Cambria" w:eastAsia="Times New Roman" w:hAnsi="Cambria" w:cs="Times New Roman"/>
      <w:b/>
      <w:bCs/>
      <w:color w:val="4F81BD"/>
      <w:sz w:val="22"/>
      <w:szCs w:val="22"/>
      <w:lang w:val="en-GB"/>
    </w:rPr>
  </w:style>
  <w:style w:type="paragraph" w:styleId="TableofFigures">
    <w:name w:val="table of figures"/>
    <w:basedOn w:val="Normal"/>
    <w:next w:val="Normal"/>
    <w:uiPriority w:val="99"/>
    <w:unhideWhenUsed/>
    <w:rsid w:val="0011138D"/>
    <w:pPr>
      <w:spacing w:line="259" w:lineRule="auto"/>
    </w:pPr>
    <w:rPr>
      <w:rFonts w:eastAsiaTheme="minorHAnsi"/>
      <w:sz w:val="22"/>
      <w:szCs w:val="22"/>
    </w:rPr>
  </w:style>
  <w:style w:type="character" w:customStyle="1" w:styleId="Hyperlink1">
    <w:name w:val="Hyperlink1"/>
    <w:basedOn w:val="DefaultParagraphFont"/>
    <w:uiPriority w:val="99"/>
    <w:unhideWhenUsed/>
    <w:rsid w:val="0011138D"/>
    <w:rPr>
      <w:color w:val="0000FF"/>
      <w:u w:val="single"/>
    </w:rPr>
  </w:style>
  <w:style w:type="paragraph" w:customStyle="1" w:styleId="NoSpacing1">
    <w:name w:val="No Spacing1"/>
    <w:next w:val="NoSpacing"/>
    <w:uiPriority w:val="1"/>
    <w:qFormat/>
    <w:rsid w:val="0011138D"/>
    <w:pPr>
      <w:spacing w:after="0" w:line="240" w:lineRule="auto"/>
    </w:pPr>
  </w:style>
  <w:style w:type="paragraph" w:customStyle="1" w:styleId="ListParagraph1">
    <w:name w:val="List Paragraph1"/>
    <w:basedOn w:val="Normal"/>
    <w:next w:val="ListParagraph"/>
    <w:uiPriority w:val="34"/>
    <w:qFormat/>
    <w:rsid w:val="0011138D"/>
    <w:pPr>
      <w:spacing w:after="200" w:line="276" w:lineRule="auto"/>
      <w:ind w:left="720"/>
      <w:contextualSpacing/>
    </w:pPr>
    <w:rPr>
      <w:rFonts w:eastAsiaTheme="minorHAnsi"/>
      <w:sz w:val="22"/>
      <w:szCs w:val="22"/>
      <w:lang w:val="en-GB"/>
    </w:rPr>
  </w:style>
  <w:style w:type="paragraph" w:customStyle="1" w:styleId="c-bibliographic-informationcitation">
    <w:name w:val="c-bibliographic-information__citation"/>
    <w:basedOn w:val="Normal"/>
    <w:rsid w:val="0011138D"/>
    <w:pPr>
      <w:spacing w:before="100" w:beforeAutospacing="1" w:after="100" w:afterAutospacing="1"/>
    </w:pPr>
    <w:rPr>
      <w:rFonts w:ascii="Times New Roman" w:eastAsia="Times New Roman" w:hAnsi="Times New Roman" w:cs="Times New Roman"/>
    </w:rPr>
  </w:style>
  <w:style w:type="paragraph" w:customStyle="1" w:styleId="EndnoteText1">
    <w:name w:val="Endnote Text1"/>
    <w:basedOn w:val="Normal"/>
    <w:next w:val="EndnoteText"/>
    <w:link w:val="EndnoteTextChar"/>
    <w:uiPriority w:val="99"/>
    <w:semiHidden/>
    <w:unhideWhenUsed/>
    <w:rsid w:val="0011138D"/>
    <w:rPr>
      <w:rFonts w:eastAsiaTheme="minorHAnsi"/>
      <w:sz w:val="20"/>
      <w:szCs w:val="20"/>
      <w:lang w:val="en-GB"/>
    </w:rPr>
  </w:style>
  <w:style w:type="character" w:customStyle="1" w:styleId="EndnoteTextChar">
    <w:name w:val="Endnote Text Char"/>
    <w:basedOn w:val="DefaultParagraphFont"/>
    <w:link w:val="EndnoteText1"/>
    <w:uiPriority w:val="99"/>
    <w:semiHidden/>
    <w:rsid w:val="0011138D"/>
    <w:rPr>
      <w:sz w:val="20"/>
      <w:szCs w:val="20"/>
    </w:rPr>
  </w:style>
  <w:style w:type="character" w:styleId="EndnoteReference">
    <w:name w:val="endnote reference"/>
    <w:basedOn w:val="DefaultParagraphFont"/>
    <w:uiPriority w:val="99"/>
    <w:semiHidden/>
    <w:unhideWhenUsed/>
    <w:rsid w:val="0011138D"/>
    <w:rPr>
      <w:vertAlign w:val="superscript"/>
    </w:rPr>
  </w:style>
  <w:style w:type="paragraph" w:customStyle="1" w:styleId="Header1">
    <w:name w:val="Header1"/>
    <w:basedOn w:val="Normal"/>
    <w:next w:val="Header"/>
    <w:uiPriority w:val="99"/>
    <w:unhideWhenUsed/>
    <w:rsid w:val="0011138D"/>
    <w:pPr>
      <w:tabs>
        <w:tab w:val="center" w:pos="4680"/>
        <w:tab w:val="right" w:pos="9360"/>
      </w:tabs>
    </w:pPr>
    <w:rPr>
      <w:rFonts w:eastAsiaTheme="minorHAnsi"/>
      <w:sz w:val="22"/>
      <w:szCs w:val="22"/>
      <w:lang w:val="en-GB"/>
    </w:rPr>
  </w:style>
  <w:style w:type="paragraph" w:customStyle="1" w:styleId="Footer1">
    <w:name w:val="Footer1"/>
    <w:basedOn w:val="Normal"/>
    <w:next w:val="Footer"/>
    <w:uiPriority w:val="99"/>
    <w:unhideWhenUsed/>
    <w:rsid w:val="0011138D"/>
    <w:pPr>
      <w:tabs>
        <w:tab w:val="center" w:pos="4680"/>
        <w:tab w:val="right" w:pos="9360"/>
      </w:tabs>
    </w:pPr>
    <w:rPr>
      <w:rFonts w:eastAsiaTheme="minorHAnsi"/>
      <w:sz w:val="22"/>
      <w:szCs w:val="22"/>
      <w:lang w:val="en-GB"/>
    </w:rPr>
  </w:style>
  <w:style w:type="paragraph" w:customStyle="1" w:styleId="BalloonText1">
    <w:name w:val="Balloon Text1"/>
    <w:basedOn w:val="Normal"/>
    <w:next w:val="BalloonText"/>
    <w:uiPriority w:val="99"/>
    <w:semiHidden/>
    <w:unhideWhenUsed/>
    <w:rsid w:val="0011138D"/>
    <w:rPr>
      <w:rFonts w:ascii="Tahoma" w:eastAsiaTheme="minorHAnsi" w:hAnsi="Tahoma" w:cs="Tahoma"/>
      <w:sz w:val="16"/>
      <w:szCs w:val="16"/>
      <w:lang w:val="en-GB"/>
    </w:rPr>
  </w:style>
  <w:style w:type="paragraph" w:customStyle="1" w:styleId="Bibliography1">
    <w:name w:val="Bibliography1"/>
    <w:basedOn w:val="Normal"/>
    <w:next w:val="Normal"/>
    <w:uiPriority w:val="37"/>
    <w:unhideWhenUsed/>
    <w:rsid w:val="0011138D"/>
    <w:pPr>
      <w:spacing w:after="200" w:line="276" w:lineRule="auto"/>
    </w:pPr>
    <w:rPr>
      <w:rFonts w:eastAsiaTheme="minorHAnsi"/>
      <w:sz w:val="22"/>
      <w:szCs w:val="22"/>
      <w:lang w:val="en-GB"/>
    </w:rPr>
  </w:style>
  <w:style w:type="paragraph" w:customStyle="1" w:styleId="FootnoteText1">
    <w:name w:val="Footnote Text1"/>
    <w:basedOn w:val="Normal"/>
    <w:next w:val="FootnoteText"/>
    <w:link w:val="FootnoteTextChar"/>
    <w:uiPriority w:val="99"/>
    <w:semiHidden/>
    <w:unhideWhenUsed/>
    <w:rsid w:val="0011138D"/>
    <w:rPr>
      <w:rFonts w:eastAsiaTheme="minorHAnsi"/>
      <w:sz w:val="20"/>
      <w:szCs w:val="20"/>
      <w:lang w:val="en-GB"/>
    </w:rPr>
  </w:style>
  <w:style w:type="character" w:customStyle="1" w:styleId="FootnoteTextChar">
    <w:name w:val="Footnote Text Char"/>
    <w:basedOn w:val="DefaultParagraphFont"/>
    <w:link w:val="FootnoteText1"/>
    <w:uiPriority w:val="99"/>
    <w:semiHidden/>
    <w:rsid w:val="0011138D"/>
    <w:rPr>
      <w:sz w:val="20"/>
      <w:szCs w:val="20"/>
    </w:rPr>
  </w:style>
  <w:style w:type="character" w:styleId="FootnoteReference">
    <w:name w:val="footnote reference"/>
    <w:basedOn w:val="DefaultParagraphFont"/>
    <w:uiPriority w:val="99"/>
    <w:semiHidden/>
    <w:unhideWhenUsed/>
    <w:rsid w:val="0011138D"/>
    <w:rPr>
      <w:vertAlign w:val="superscript"/>
    </w:rPr>
  </w:style>
  <w:style w:type="paragraph" w:customStyle="1" w:styleId="Caption1">
    <w:name w:val="Caption1"/>
    <w:basedOn w:val="Normal"/>
    <w:next w:val="Normal"/>
    <w:uiPriority w:val="35"/>
    <w:unhideWhenUsed/>
    <w:qFormat/>
    <w:rsid w:val="0011138D"/>
    <w:pPr>
      <w:spacing w:after="200"/>
    </w:pPr>
    <w:rPr>
      <w:rFonts w:eastAsiaTheme="minorHAnsi"/>
      <w:b/>
      <w:bCs/>
      <w:color w:val="4F81BD"/>
      <w:sz w:val="18"/>
      <w:szCs w:val="18"/>
      <w:lang w:val="en-GB"/>
    </w:rPr>
  </w:style>
  <w:style w:type="table" w:customStyle="1" w:styleId="LightShading-Accent11">
    <w:name w:val="Light Shading - Accent 11"/>
    <w:basedOn w:val="TableNormal"/>
    <w:next w:val="LightShading-Accent1"/>
    <w:uiPriority w:val="60"/>
    <w:rsid w:val="0011138D"/>
    <w:pPr>
      <w:spacing w:after="0" w:line="240" w:lineRule="auto"/>
    </w:pPr>
    <w:rPr>
      <w:color w:val="365F91"/>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ableofFigures1">
    <w:name w:val="Table of Figures1"/>
    <w:basedOn w:val="Normal"/>
    <w:next w:val="Normal"/>
    <w:uiPriority w:val="99"/>
    <w:unhideWhenUsed/>
    <w:rsid w:val="0011138D"/>
    <w:pPr>
      <w:spacing w:line="276" w:lineRule="auto"/>
    </w:pPr>
    <w:rPr>
      <w:rFonts w:eastAsiaTheme="minorHAnsi"/>
      <w:sz w:val="22"/>
      <w:szCs w:val="22"/>
      <w:lang w:val="en-GB"/>
    </w:rPr>
  </w:style>
  <w:style w:type="paragraph" w:customStyle="1" w:styleId="TOCHeading1">
    <w:name w:val="TOC Heading1"/>
    <w:basedOn w:val="Heading1"/>
    <w:next w:val="Normal"/>
    <w:uiPriority w:val="39"/>
    <w:semiHidden/>
    <w:unhideWhenUsed/>
    <w:qFormat/>
    <w:rsid w:val="0011138D"/>
    <w:pPr>
      <w:spacing w:line="240" w:lineRule="auto"/>
    </w:pPr>
    <w:rPr>
      <w:rFonts w:ascii="Cambria" w:eastAsia="Times New Roman" w:hAnsi="Cambria" w:cs="Times New Roman"/>
      <w:b/>
      <w:bCs/>
      <w:color w:val="365F91"/>
      <w:szCs w:val="28"/>
      <w:lang w:eastAsia="ja-JP"/>
    </w:rPr>
  </w:style>
  <w:style w:type="paragraph" w:customStyle="1" w:styleId="TOC21">
    <w:name w:val="TOC 21"/>
    <w:basedOn w:val="Normal"/>
    <w:next w:val="Normal"/>
    <w:autoRedefine/>
    <w:uiPriority w:val="39"/>
    <w:unhideWhenUsed/>
    <w:rsid w:val="0011138D"/>
    <w:pPr>
      <w:spacing w:after="100" w:line="276" w:lineRule="auto"/>
      <w:ind w:left="220"/>
    </w:pPr>
    <w:rPr>
      <w:rFonts w:eastAsiaTheme="minorHAnsi"/>
      <w:sz w:val="22"/>
      <w:szCs w:val="22"/>
      <w:lang w:val="en-GB"/>
    </w:rPr>
  </w:style>
  <w:style w:type="paragraph" w:customStyle="1" w:styleId="TOC31">
    <w:name w:val="TOC 31"/>
    <w:basedOn w:val="Normal"/>
    <w:next w:val="Normal"/>
    <w:autoRedefine/>
    <w:uiPriority w:val="39"/>
    <w:unhideWhenUsed/>
    <w:rsid w:val="0011138D"/>
    <w:pPr>
      <w:spacing w:after="100" w:line="276" w:lineRule="auto"/>
      <w:ind w:left="440"/>
    </w:pPr>
    <w:rPr>
      <w:rFonts w:eastAsiaTheme="minorHAnsi"/>
      <w:sz w:val="22"/>
      <w:szCs w:val="22"/>
      <w:lang w:val="en-GB"/>
    </w:rPr>
  </w:style>
  <w:style w:type="paragraph" w:customStyle="1" w:styleId="TOC11">
    <w:name w:val="TOC 11"/>
    <w:basedOn w:val="Normal"/>
    <w:next w:val="Normal"/>
    <w:autoRedefine/>
    <w:uiPriority w:val="39"/>
    <w:unhideWhenUsed/>
    <w:rsid w:val="0011138D"/>
    <w:pPr>
      <w:spacing w:after="100" w:line="276" w:lineRule="auto"/>
    </w:pPr>
    <w:rPr>
      <w:rFonts w:eastAsiaTheme="minorHAnsi"/>
      <w:sz w:val="22"/>
      <w:szCs w:val="22"/>
      <w:lang w:val="en-GB"/>
    </w:rPr>
  </w:style>
  <w:style w:type="table" w:customStyle="1" w:styleId="GridTable2-Accent51">
    <w:name w:val="Grid Table 2 - Accent 51"/>
    <w:basedOn w:val="TableNormal"/>
    <w:next w:val="GridTable2-Accent52"/>
    <w:uiPriority w:val="47"/>
    <w:rsid w:val="0011138D"/>
    <w:pPr>
      <w:spacing w:after="0" w:line="240" w:lineRule="auto"/>
    </w:pPr>
    <w:rPr>
      <w:lang w:val="en-US"/>
    </w:rPr>
    <w:tblPr>
      <w:tblStyleRowBandSize w:val="1"/>
      <w:tblStyleColBandSize w:val="1"/>
      <w:tblBorders>
        <w:top w:val="single" w:sz="2" w:space="0" w:color="92CDDC"/>
        <w:bottom w:val="single" w:sz="2" w:space="0" w:color="92CDDC"/>
        <w:insideH w:val="single" w:sz="2" w:space="0" w:color="92CDDC"/>
        <w:insideV w:val="single" w:sz="2" w:space="0" w:color="92CDDC"/>
      </w:tblBorders>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4-Accent51">
    <w:name w:val="Grid Table 4 - Accent 51"/>
    <w:basedOn w:val="TableNormal"/>
    <w:next w:val="GridTable4-Accent52"/>
    <w:uiPriority w:val="49"/>
    <w:rsid w:val="0011138D"/>
    <w:pPr>
      <w:spacing w:after="0" w:line="240" w:lineRule="auto"/>
    </w:pPr>
    <w:rPr>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character" w:customStyle="1" w:styleId="FollowedHyperlink1">
    <w:name w:val="FollowedHyperlink1"/>
    <w:basedOn w:val="DefaultParagraphFont"/>
    <w:uiPriority w:val="99"/>
    <w:semiHidden/>
    <w:unhideWhenUsed/>
    <w:rsid w:val="0011138D"/>
    <w:rPr>
      <w:color w:val="800080"/>
      <w:u w:val="single"/>
    </w:rPr>
  </w:style>
  <w:style w:type="paragraph" w:customStyle="1" w:styleId="Revision1">
    <w:name w:val="Revision1"/>
    <w:next w:val="Revision"/>
    <w:hidden/>
    <w:uiPriority w:val="99"/>
    <w:semiHidden/>
    <w:rsid w:val="0011138D"/>
    <w:pPr>
      <w:spacing w:after="0" w:line="240" w:lineRule="auto"/>
    </w:pPr>
  </w:style>
  <w:style w:type="paragraph" w:customStyle="1" w:styleId="CommentText1">
    <w:name w:val="Comment Text1"/>
    <w:basedOn w:val="Normal"/>
    <w:next w:val="CommentText"/>
    <w:uiPriority w:val="99"/>
    <w:unhideWhenUsed/>
    <w:rsid w:val="0011138D"/>
    <w:pPr>
      <w:spacing w:after="200"/>
    </w:pPr>
    <w:rPr>
      <w:rFonts w:eastAsiaTheme="minorHAnsi"/>
      <w:sz w:val="20"/>
      <w:szCs w:val="20"/>
      <w:lang w:val="en-GB"/>
    </w:rPr>
  </w:style>
  <w:style w:type="paragraph" w:customStyle="1" w:styleId="CommentSubject1">
    <w:name w:val="Comment Subject1"/>
    <w:basedOn w:val="CommentText"/>
    <w:next w:val="CommentText"/>
    <w:uiPriority w:val="99"/>
    <w:semiHidden/>
    <w:unhideWhenUsed/>
    <w:rsid w:val="0011138D"/>
    <w:pPr>
      <w:spacing w:after="200"/>
    </w:pPr>
    <w:rPr>
      <w:rFonts w:eastAsiaTheme="minorHAnsi"/>
      <w:b/>
      <w:bCs/>
      <w:lang w:val="en-GB"/>
    </w:rPr>
  </w:style>
  <w:style w:type="table" w:customStyle="1" w:styleId="GridTable4-Accent11">
    <w:name w:val="Grid Table 4 - Accent 11"/>
    <w:basedOn w:val="TableNormal"/>
    <w:next w:val="GridTable4-Accent12"/>
    <w:uiPriority w:val="49"/>
    <w:rsid w:val="0011138D"/>
    <w:pPr>
      <w:spacing w:after="0" w:line="240" w:lineRule="auto"/>
    </w:pPr>
    <w:rPr>
      <w:lang w:val="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PlainTable11">
    <w:name w:val="Plain Table 11"/>
    <w:basedOn w:val="TableNormal"/>
    <w:next w:val="PlainTable12"/>
    <w:uiPriority w:val="41"/>
    <w:rsid w:val="0011138D"/>
    <w:pPr>
      <w:spacing w:after="0" w:line="240" w:lineRule="auto"/>
    </w:pPr>
    <w:rPr>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1Char1">
    <w:name w:val="Heading 1 Char1"/>
    <w:basedOn w:val="DefaultParagraphFont"/>
    <w:uiPriority w:val="9"/>
    <w:rsid w:val="0011138D"/>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11138D"/>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11138D"/>
    <w:rPr>
      <w:rFonts w:asciiTheme="majorHAnsi" w:eastAsiaTheme="majorEastAsia" w:hAnsiTheme="majorHAnsi" w:cstheme="majorBidi"/>
      <w:color w:val="1F4D78" w:themeColor="accent1" w:themeShade="7F"/>
      <w:sz w:val="24"/>
      <w:szCs w:val="24"/>
    </w:rPr>
  </w:style>
  <w:style w:type="paragraph" w:styleId="EndnoteText">
    <w:name w:val="endnote text"/>
    <w:basedOn w:val="Normal"/>
    <w:link w:val="EndnoteTextChar1"/>
    <w:uiPriority w:val="99"/>
    <w:semiHidden/>
    <w:unhideWhenUsed/>
    <w:rsid w:val="0011138D"/>
    <w:rPr>
      <w:rFonts w:eastAsiaTheme="minorHAnsi"/>
      <w:sz w:val="20"/>
      <w:szCs w:val="20"/>
    </w:rPr>
  </w:style>
  <w:style w:type="character" w:customStyle="1" w:styleId="EndnoteTextChar1">
    <w:name w:val="Endnote Text Char1"/>
    <w:basedOn w:val="DefaultParagraphFont"/>
    <w:link w:val="EndnoteText"/>
    <w:uiPriority w:val="99"/>
    <w:semiHidden/>
    <w:rsid w:val="0011138D"/>
    <w:rPr>
      <w:sz w:val="20"/>
      <w:szCs w:val="20"/>
      <w:lang w:val="en-US"/>
    </w:rPr>
  </w:style>
  <w:style w:type="character" w:customStyle="1" w:styleId="HeaderChar1">
    <w:name w:val="Header Char1"/>
    <w:basedOn w:val="DefaultParagraphFont"/>
    <w:uiPriority w:val="99"/>
    <w:rsid w:val="0011138D"/>
    <w:rPr>
      <w:rFonts w:asciiTheme="minorHAnsi" w:hAnsiTheme="minorHAnsi" w:cstheme="minorBidi"/>
      <w:sz w:val="22"/>
      <w:szCs w:val="22"/>
    </w:rPr>
  </w:style>
  <w:style w:type="character" w:customStyle="1" w:styleId="FooterChar1">
    <w:name w:val="Footer Char1"/>
    <w:basedOn w:val="DefaultParagraphFont"/>
    <w:uiPriority w:val="99"/>
    <w:rsid w:val="0011138D"/>
    <w:rPr>
      <w:rFonts w:asciiTheme="minorHAnsi" w:hAnsiTheme="minorHAnsi" w:cstheme="minorBidi"/>
      <w:sz w:val="22"/>
      <w:szCs w:val="22"/>
    </w:rPr>
  </w:style>
  <w:style w:type="character" w:customStyle="1" w:styleId="BalloonTextChar1">
    <w:name w:val="Balloon Text Char1"/>
    <w:basedOn w:val="DefaultParagraphFont"/>
    <w:uiPriority w:val="99"/>
    <w:semiHidden/>
    <w:rsid w:val="0011138D"/>
    <w:rPr>
      <w:rFonts w:ascii="Segoe UI" w:hAnsi="Segoe UI" w:cs="Segoe UI"/>
      <w:sz w:val="18"/>
      <w:szCs w:val="18"/>
    </w:rPr>
  </w:style>
  <w:style w:type="paragraph" w:styleId="FootnoteText">
    <w:name w:val="footnote text"/>
    <w:basedOn w:val="Normal"/>
    <w:link w:val="FootnoteTextChar1"/>
    <w:uiPriority w:val="99"/>
    <w:semiHidden/>
    <w:unhideWhenUsed/>
    <w:rsid w:val="0011138D"/>
    <w:rPr>
      <w:rFonts w:eastAsiaTheme="minorHAnsi"/>
      <w:sz w:val="20"/>
      <w:szCs w:val="20"/>
    </w:rPr>
  </w:style>
  <w:style w:type="character" w:customStyle="1" w:styleId="FootnoteTextChar1">
    <w:name w:val="Footnote Text Char1"/>
    <w:basedOn w:val="DefaultParagraphFont"/>
    <w:link w:val="FootnoteText"/>
    <w:uiPriority w:val="99"/>
    <w:semiHidden/>
    <w:rsid w:val="0011138D"/>
    <w:rPr>
      <w:sz w:val="20"/>
      <w:szCs w:val="20"/>
      <w:lang w:val="en-US"/>
    </w:rPr>
  </w:style>
  <w:style w:type="table" w:styleId="LightShading-Accent1">
    <w:name w:val="Light Shading Accent 1"/>
    <w:basedOn w:val="TableNormal"/>
    <w:uiPriority w:val="60"/>
    <w:semiHidden/>
    <w:unhideWhenUsed/>
    <w:rsid w:val="0011138D"/>
    <w:pPr>
      <w:spacing w:after="0" w:line="240" w:lineRule="auto"/>
    </w:pPr>
    <w:rPr>
      <w:color w:val="2E74B5" w:themeColor="accent1" w:themeShade="BF"/>
      <w:lang w:val="en-U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GridTable2-Accent52">
    <w:name w:val="Grid Table 2 - Accent 52"/>
    <w:basedOn w:val="TableNormal"/>
    <w:uiPriority w:val="47"/>
    <w:rsid w:val="0011138D"/>
    <w:pPr>
      <w:spacing w:after="0" w:line="240" w:lineRule="auto"/>
    </w:pPr>
    <w:rPr>
      <w:lang w:val="en-US"/>
    </w:r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4-Accent52">
    <w:name w:val="Grid Table 4 - Accent 52"/>
    <w:basedOn w:val="TableNormal"/>
    <w:uiPriority w:val="49"/>
    <w:rsid w:val="0011138D"/>
    <w:pPr>
      <w:spacing w:after="0" w:line="240" w:lineRule="auto"/>
    </w:pPr>
    <w:rPr>
      <w:lang w:val="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CommentTextChar1">
    <w:name w:val="Comment Text Char1"/>
    <w:basedOn w:val="DefaultParagraphFont"/>
    <w:uiPriority w:val="99"/>
    <w:rsid w:val="0011138D"/>
    <w:rPr>
      <w:rFonts w:asciiTheme="minorHAnsi" w:hAnsiTheme="minorHAnsi" w:cstheme="minorBidi"/>
      <w:sz w:val="20"/>
      <w:szCs w:val="20"/>
    </w:rPr>
  </w:style>
  <w:style w:type="character" w:customStyle="1" w:styleId="CommentSubjectChar1">
    <w:name w:val="Comment Subject Char1"/>
    <w:basedOn w:val="CommentTextChar1"/>
    <w:uiPriority w:val="99"/>
    <w:semiHidden/>
    <w:rsid w:val="0011138D"/>
    <w:rPr>
      <w:rFonts w:asciiTheme="minorHAnsi" w:hAnsiTheme="minorHAnsi" w:cstheme="minorBidi"/>
      <w:b/>
      <w:bCs/>
      <w:sz w:val="20"/>
      <w:szCs w:val="20"/>
    </w:rPr>
  </w:style>
  <w:style w:type="table" w:customStyle="1" w:styleId="GridTable4-Accent12">
    <w:name w:val="Grid Table 4 - Accent 12"/>
    <w:basedOn w:val="TableNormal"/>
    <w:uiPriority w:val="49"/>
    <w:rsid w:val="0011138D"/>
    <w:pPr>
      <w:spacing w:after="0" w:line="240" w:lineRule="auto"/>
    </w:pPr>
    <w:rPr>
      <w:lang w:val="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PlainTable12">
    <w:name w:val="Plain Table 12"/>
    <w:basedOn w:val="TableNormal"/>
    <w:uiPriority w:val="41"/>
    <w:rsid w:val="0011138D"/>
    <w:pPr>
      <w:spacing w:after="0" w:line="240" w:lineRule="auto"/>
    </w:pPr>
    <w:rPr>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1">
    <w:name w:val="toc 1"/>
    <w:basedOn w:val="Normal"/>
    <w:next w:val="Normal"/>
    <w:autoRedefine/>
    <w:uiPriority w:val="39"/>
    <w:unhideWhenUsed/>
    <w:rsid w:val="0011138D"/>
    <w:pPr>
      <w:spacing w:after="100" w:line="259" w:lineRule="auto"/>
    </w:pPr>
    <w:rPr>
      <w:rFonts w:eastAsiaTheme="minorHAnsi"/>
      <w:sz w:val="22"/>
      <w:szCs w:val="22"/>
    </w:rPr>
  </w:style>
  <w:style w:type="paragraph" w:styleId="TOC2">
    <w:name w:val="toc 2"/>
    <w:basedOn w:val="Normal"/>
    <w:next w:val="Normal"/>
    <w:autoRedefine/>
    <w:uiPriority w:val="39"/>
    <w:unhideWhenUsed/>
    <w:rsid w:val="0011138D"/>
    <w:pPr>
      <w:spacing w:after="100" w:line="259" w:lineRule="auto"/>
      <w:ind w:left="220"/>
    </w:pPr>
    <w:rPr>
      <w:rFonts w:eastAsiaTheme="minorHAnsi"/>
      <w:sz w:val="22"/>
      <w:szCs w:val="22"/>
    </w:rPr>
  </w:style>
  <w:style w:type="paragraph" w:styleId="TOC3">
    <w:name w:val="toc 3"/>
    <w:basedOn w:val="Normal"/>
    <w:next w:val="Normal"/>
    <w:autoRedefine/>
    <w:uiPriority w:val="39"/>
    <w:unhideWhenUsed/>
    <w:rsid w:val="0011138D"/>
    <w:pPr>
      <w:spacing w:after="100" w:line="259" w:lineRule="auto"/>
      <w:ind w:left="440"/>
    </w:pPr>
    <w:rPr>
      <w:rFonts w:eastAsiaTheme="minorHAnsi"/>
      <w:sz w:val="22"/>
      <w:szCs w:val="22"/>
    </w:rPr>
  </w:style>
  <w:style w:type="paragraph" w:styleId="TOC4">
    <w:name w:val="toc 4"/>
    <w:basedOn w:val="Normal"/>
    <w:next w:val="Normal"/>
    <w:autoRedefine/>
    <w:uiPriority w:val="39"/>
    <w:unhideWhenUsed/>
    <w:rsid w:val="0011138D"/>
    <w:pPr>
      <w:spacing w:after="100" w:line="259" w:lineRule="auto"/>
      <w:ind w:left="660"/>
    </w:pPr>
    <w:rPr>
      <w:sz w:val="22"/>
      <w:szCs w:val="22"/>
    </w:rPr>
  </w:style>
  <w:style w:type="paragraph" w:styleId="TOC5">
    <w:name w:val="toc 5"/>
    <w:basedOn w:val="Normal"/>
    <w:next w:val="Normal"/>
    <w:autoRedefine/>
    <w:uiPriority w:val="39"/>
    <w:unhideWhenUsed/>
    <w:rsid w:val="0011138D"/>
    <w:pPr>
      <w:spacing w:after="100" w:line="259" w:lineRule="auto"/>
      <w:ind w:left="880"/>
    </w:pPr>
    <w:rPr>
      <w:sz w:val="22"/>
      <w:szCs w:val="22"/>
    </w:rPr>
  </w:style>
  <w:style w:type="paragraph" w:styleId="TOC6">
    <w:name w:val="toc 6"/>
    <w:basedOn w:val="Normal"/>
    <w:next w:val="Normal"/>
    <w:autoRedefine/>
    <w:uiPriority w:val="39"/>
    <w:unhideWhenUsed/>
    <w:rsid w:val="0011138D"/>
    <w:pPr>
      <w:spacing w:after="100" w:line="259" w:lineRule="auto"/>
      <w:ind w:left="1100"/>
    </w:pPr>
    <w:rPr>
      <w:sz w:val="22"/>
      <w:szCs w:val="22"/>
    </w:rPr>
  </w:style>
  <w:style w:type="paragraph" w:styleId="TOC7">
    <w:name w:val="toc 7"/>
    <w:basedOn w:val="Normal"/>
    <w:next w:val="Normal"/>
    <w:autoRedefine/>
    <w:uiPriority w:val="39"/>
    <w:unhideWhenUsed/>
    <w:rsid w:val="0011138D"/>
    <w:pPr>
      <w:spacing w:after="100" w:line="259" w:lineRule="auto"/>
      <w:ind w:left="1320"/>
    </w:pPr>
    <w:rPr>
      <w:sz w:val="22"/>
      <w:szCs w:val="22"/>
    </w:rPr>
  </w:style>
  <w:style w:type="paragraph" w:styleId="TOC8">
    <w:name w:val="toc 8"/>
    <w:basedOn w:val="Normal"/>
    <w:next w:val="Normal"/>
    <w:autoRedefine/>
    <w:uiPriority w:val="39"/>
    <w:unhideWhenUsed/>
    <w:rsid w:val="0011138D"/>
    <w:pPr>
      <w:spacing w:after="100" w:line="259" w:lineRule="auto"/>
      <w:ind w:left="1540"/>
    </w:pPr>
    <w:rPr>
      <w:sz w:val="22"/>
      <w:szCs w:val="22"/>
    </w:rPr>
  </w:style>
  <w:style w:type="paragraph" w:styleId="TOC9">
    <w:name w:val="toc 9"/>
    <w:basedOn w:val="Normal"/>
    <w:next w:val="Normal"/>
    <w:autoRedefine/>
    <w:uiPriority w:val="39"/>
    <w:unhideWhenUsed/>
    <w:rsid w:val="0011138D"/>
    <w:pPr>
      <w:spacing w:after="100" w:line="259" w:lineRule="auto"/>
      <w:ind w:left="1760"/>
    </w:pPr>
    <w:rPr>
      <w:sz w:val="22"/>
      <w:szCs w:val="22"/>
    </w:rPr>
  </w:style>
  <w:style w:type="character" w:customStyle="1" w:styleId="UnresolvedMention20">
    <w:name w:val="Unresolved Mention2"/>
    <w:basedOn w:val="DefaultParagraphFont"/>
    <w:uiPriority w:val="99"/>
    <w:semiHidden/>
    <w:unhideWhenUsed/>
    <w:rsid w:val="0011138D"/>
    <w:rPr>
      <w:color w:val="605E5C"/>
      <w:shd w:val="clear" w:color="auto" w:fill="E1DFDD"/>
    </w:rPr>
  </w:style>
  <w:style w:type="paragraph" w:styleId="TOCHeading">
    <w:name w:val="TOC Heading"/>
    <w:basedOn w:val="Heading1"/>
    <w:next w:val="Normal"/>
    <w:uiPriority w:val="39"/>
    <w:unhideWhenUsed/>
    <w:qFormat/>
    <w:rsid w:val="0011138D"/>
    <w:pPr>
      <w:spacing w:line="240" w:lineRule="auto"/>
      <w:outlineLvl w:val="9"/>
    </w:pPr>
    <w:rPr>
      <w:rFonts w:eastAsia="Times New Roman" w:cs="Times New Roman"/>
      <w:lang w:eastAsia="ja-JP"/>
    </w:rPr>
  </w:style>
  <w:style w:type="paragraph" w:styleId="Caption">
    <w:name w:val="caption"/>
    <w:basedOn w:val="Normal"/>
    <w:next w:val="Normal"/>
    <w:uiPriority w:val="35"/>
    <w:unhideWhenUsed/>
    <w:qFormat/>
    <w:rsid w:val="0011138D"/>
    <w:pPr>
      <w:spacing w:after="200"/>
    </w:pPr>
    <w:rPr>
      <w:rFonts w:eastAsiaTheme="minorHAnsi"/>
      <w:i/>
      <w:iCs/>
      <w:color w:val="44546A" w:themeColor="text2"/>
      <w:sz w:val="18"/>
      <w:szCs w:val="18"/>
    </w:rPr>
  </w:style>
  <w:style w:type="paragraph" w:customStyle="1" w:styleId="Default">
    <w:name w:val="Default"/>
    <w:qFormat/>
    <w:rsid w:val="005275AC"/>
    <w:pPr>
      <w:autoSpaceDE w:val="0"/>
      <w:autoSpaceDN w:val="0"/>
      <w:adjustRightInd w:val="0"/>
      <w:spacing w:after="0" w:line="240" w:lineRule="auto"/>
    </w:pPr>
    <w:rPr>
      <w:rFonts w:ascii="Arial" w:hAnsi="Arial" w:cs="Arial"/>
      <w:color w:val="000000"/>
      <w:sz w:val="24"/>
      <w:szCs w:val="24"/>
    </w:rPr>
  </w:style>
  <w:style w:type="character" w:styleId="Emphasis">
    <w:name w:val="Emphasis"/>
    <w:basedOn w:val="DefaultParagraphFont"/>
    <w:uiPriority w:val="20"/>
    <w:qFormat/>
    <w:rsid w:val="001D1C1F"/>
    <w:rPr>
      <w:i/>
      <w:iCs/>
    </w:rPr>
  </w:style>
  <w:style w:type="character" w:customStyle="1" w:styleId="apple-converted-space">
    <w:name w:val="apple-converted-space"/>
    <w:basedOn w:val="DefaultParagraphFont"/>
    <w:rsid w:val="00831E16"/>
  </w:style>
  <w:style w:type="paragraph" w:customStyle="1" w:styleId="p">
    <w:name w:val="p"/>
    <w:basedOn w:val="Normal"/>
    <w:rsid w:val="00831E16"/>
    <w:pPr>
      <w:spacing w:before="100" w:beforeAutospacing="1" w:after="100" w:afterAutospacing="1"/>
    </w:pPr>
    <w:rPr>
      <w:rFonts w:ascii="Times New Roman" w:eastAsia="Times New Roman" w:hAnsi="Times New Roman" w:cs="Times New Roman"/>
    </w:rPr>
  </w:style>
  <w:style w:type="character" w:customStyle="1" w:styleId="jss3761">
    <w:name w:val="jss3761"/>
    <w:basedOn w:val="DefaultParagraphFont"/>
    <w:qFormat/>
    <w:rsid w:val="00831E16"/>
  </w:style>
  <w:style w:type="character" w:customStyle="1" w:styleId="Heading5Char">
    <w:name w:val="Heading 5 Char"/>
    <w:basedOn w:val="DefaultParagraphFont"/>
    <w:link w:val="Heading5"/>
    <w:uiPriority w:val="9"/>
    <w:semiHidden/>
    <w:rsid w:val="00BD589A"/>
    <w:rPr>
      <w:rFonts w:asciiTheme="majorHAnsi" w:eastAsiaTheme="majorEastAsia" w:hAnsiTheme="majorHAnsi" w:cstheme="majorBidi"/>
      <w:color w:val="2E74B5" w:themeColor="accent1" w:themeShade="BF"/>
      <w:sz w:val="24"/>
      <w:szCs w:val="24"/>
      <w:lang w:val="en-US"/>
    </w:rPr>
  </w:style>
  <w:style w:type="table" w:styleId="PlainTable2">
    <w:name w:val="Plain Table 2"/>
    <w:basedOn w:val="TableNormal"/>
    <w:uiPriority w:val="42"/>
    <w:rsid w:val="00A337ED"/>
    <w:pPr>
      <w:spacing w:after="0" w:line="240" w:lineRule="auto"/>
    </w:pPr>
    <w:rPr>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UnresolvedMention">
    <w:name w:val="Unresolved Mention"/>
    <w:basedOn w:val="DefaultParagraphFont"/>
    <w:uiPriority w:val="99"/>
    <w:semiHidden/>
    <w:unhideWhenUsed/>
    <w:rsid w:val="00C84016"/>
    <w:rPr>
      <w:color w:val="605E5C"/>
      <w:shd w:val="clear" w:color="auto" w:fill="E1DFDD"/>
    </w:rPr>
  </w:style>
  <w:style w:type="table" w:styleId="PlainTable5">
    <w:name w:val="Plain Table 5"/>
    <w:basedOn w:val="TableNormal"/>
    <w:uiPriority w:val="45"/>
    <w:rsid w:val="00EA456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932D0D"/>
  </w:style>
  <w:style w:type="table" w:customStyle="1" w:styleId="PlainTable21">
    <w:name w:val="Plain Table 21"/>
    <w:basedOn w:val="TableNormal"/>
    <w:uiPriority w:val="42"/>
    <w:rsid w:val="00932D0D"/>
    <w:pPr>
      <w:spacing w:after="0" w:line="240" w:lineRule="auto"/>
    </w:pPr>
    <w:rPr>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Strong">
    <w:name w:val="Strong"/>
    <w:basedOn w:val="DefaultParagraphFont"/>
    <w:uiPriority w:val="22"/>
    <w:qFormat/>
    <w:rsid w:val="008B46AE"/>
    <w:rPr>
      <w:b/>
      <w:bCs/>
    </w:rPr>
  </w:style>
  <w:style w:type="character" w:customStyle="1" w:styleId="anchor-text">
    <w:name w:val="anchor-text"/>
    <w:basedOn w:val="DefaultParagraphFont"/>
    <w:rsid w:val="008B46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0488">
      <w:bodyDiv w:val="1"/>
      <w:marLeft w:val="0"/>
      <w:marRight w:val="0"/>
      <w:marTop w:val="0"/>
      <w:marBottom w:val="0"/>
      <w:divBdr>
        <w:top w:val="none" w:sz="0" w:space="0" w:color="auto"/>
        <w:left w:val="none" w:sz="0" w:space="0" w:color="auto"/>
        <w:bottom w:val="none" w:sz="0" w:space="0" w:color="auto"/>
        <w:right w:val="none" w:sz="0" w:space="0" w:color="auto"/>
      </w:divBdr>
    </w:div>
    <w:div w:id="4989120">
      <w:bodyDiv w:val="1"/>
      <w:marLeft w:val="0"/>
      <w:marRight w:val="0"/>
      <w:marTop w:val="0"/>
      <w:marBottom w:val="0"/>
      <w:divBdr>
        <w:top w:val="none" w:sz="0" w:space="0" w:color="auto"/>
        <w:left w:val="none" w:sz="0" w:space="0" w:color="auto"/>
        <w:bottom w:val="none" w:sz="0" w:space="0" w:color="auto"/>
        <w:right w:val="none" w:sz="0" w:space="0" w:color="auto"/>
      </w:divBdr>
    </w:div>
    <w:div w:id="7686395">
      <w:bodyDiv w:val="1"/>
      <w:marLeft w:val="0"/>
      <w:marRight w:val="0"/>
      <w:marTop w:val="0"/>
      <w:marBottom w:val="0"/>
      <w:divBdr>
        <w:top w:val="none" w:sz="0" w:space="0" w:color="auto"/>
        <w:left w:val="none" w:sz="0" w:space="0" w:color="auto"/>
        <w:bottom w:val="none" w:sz="0" w:space="0" w:color="auto"/>
        <w:right w:val="none" w:sz="0" w:space="0" w:color="auto"/>
      </w:divBdr>
    </w:div>
    <w:div w:id="26953753">
      <w:bodyDiv w:val="1"/>
      <w:marLeft w:val="0"/>
      <w:marRight w:val="0"/>
      <w:marTop w:val="0"/>
      <w:marBottom w:val="0"/>
      <w:divBdr>
        <w:top w:val="none" w:sz="0" w:space="0" w:color="auto"/>
        <w:left w:val="none" w:sz="0" w:space="0" w:color="auto"/>
        <w:bottom w:val="none" w:sz="0" w:space="0" w:color="auto"/>
        <w:right w:val="none" w:sz="0" w:space="0" w:color="auto"/>
      </w:divBdr>
    </w:div>
    <w:div w:id="70584214">
      <w:bodyDiv w:val="1"/>
      <w:marLeft w:val="0"/>
      <w:marRight w:val="0"/>
      <w:marTop w:val="0"/>
      <w:marBottom w:val="0"/>
      <w:divBdr>
        <w:top w:val="none" w:sz="0" w:space="0" w:color="auto"/>
        <w:left w:val="none" w:sz="0" w:space="0" w:color="auto"/>
        <w:bottom w:val="none" w:sz="0" w:space="0" w:color="auto"/>
        <w:right w:val="none" w:sz="0" w:space="0" w:color="auto"/>
      </w:divBdr>
    </w:div>
    <w:div w:id="112873119">
      <w:bodyDiv w:val="1"/>
      <w:marLeft w:val="0"/>
      <w:marRight w:val="0"/>
      <w:marTop w:val="0"/>
      <w:marBottom w:val="0"/>
      <w:divBdr>
        <w:top w:val="none" w:sz="0" w:space="0" w:color="auto"/>
        <w:left w:val="none" w:sz="0" w:space="0" w:color="auto"/>
        <w:bottom w:val="none" w:sz="0" w:space="0" w:color="auto"/>
        <w:right w:val="none" w:sz="0" w:space="0" w:color="auto"/>
      </w:divBdr>
    </w:div>
    <w:div w:id="114980569">
      <w:bodyDiv w:val="1"/>
      <w:marLeft w:val="0"/>
      <w:marRight w:val="0"/>
      <w:marTop w:val="0"/>
      <w:marBottom w:val="0"/>
      <w:divBdr>
        <w:top w:val="none" w:sz="0" w:space="0" w:color="auto"/>
        <w:left w:val="none" w:sz="0" w:space="0" w:color="auto"/>
        <w:bottom w:val="none" w:sz="0" w:space="0" w:color="auto"/>
        <w:right w:val="none" w:sz="0" w:space="0" w:color="auto"/>
      </w:divBdr>
    </w:div>
    <w:div w:id="191768652">
      <w:bodyDiv w:val="1"/>
      <w:marLeft w:val="0"/>
      <w:marRight w:val="0"/>
      <w:marTop w:val="0"/>
      <w:marBottom w:val="0"/>
      <w:divBdr>
        <w:top w:val="none" w:sz="0" w:space="0" w:color="auto"/>
        <w:left w:val="none" w:sz="0" w:space="0" w:color="auto"/>
        <w:bottom w:val="none" w:sz="0" w:space="0" w:color="auto"/>
        <w:right w:val="none" w:sz="0" w:space="0" w:color="auto"/>
      </w:divBdr>
    </w:div>
    <w:div w:id="202257764">
      <w:bodyDiv w:val="1"/>
      <w:marLeft w:val="0"/>
      <w:marRight w:val="0"/>
      <w:marTop w:val="0"/>
      <w:marBottom w:val="0"/>
      <w:divBdr>
        <w:top w:val="none" w:sz="0" w:space="0" w:color="auto"/>
        <w:left w:val="none" w:sz="0" w:space="0" w:color="auto"/>
        <w:bottom w:val="none" w:sz="0" w:space="0" w:color="auto"/>
        <w:right w:val="none" w:sz="0" w:space="0" w:color="auto"/>
      </w:divBdr>
    </w:div>
    <w:div w:id="209803782">
      <w:bodyDiv w:val="1"/>
      <w:marLeft w:val="0"/>
      <w:marRight w:val="0"/>
      <w:marTop w:val="0"/>
      <w:marBottom w:val="0"/>
      <w:divBdr>
        <w:top w:val="none" w:sz="0" w:space="0" w:color="auto"/>
        <w:left w:val="none" w:sz="0" w:space="0" w:color="auto"/>
        <w:bottom w:val="none" w:sz="0" w:space="0" w:color="auto"/>
        <w:right w:val="none" w:sz="0" w:space="0" w:color="auto"/>
      </w:divBdr>
    </w:div>
    <w:div w:id="225410150">
      <w:bodyDiv w:val="1"/>
      <w:marLeft w:val="0"/>
      <w:marRight w:val="0"/>
      <w:marTop w:val="0"/>
      <w:marBottom w:val="0"/>
      <w:divBdr>
        <w:top w:val="none" w:sz="0" w:space="0" w:color="auto"/>
        <w:left w:val="none" w:sz="0" w:space="0" w:color="auto"/>
        <w:bottom w:val="none" w:sz="0" w:space="0" w:color="auto"/>
        <w:right w:val="none" w:sz="0" w:space="0" w:color="auto"/>
      </w:divBdr>
    </w:div>
    <w:div w:id="243271241">
      <w:bodyDiv w:val="1"/>
      <w:marLeft w:val="0"/>
      <w:marRight w:val="0"/>
      <w:marTop w:val="0"/>
      <w:marBottom w:val="0"/>
      <w:divBdr>
        <w:top w:val="none" w:sz="0" w:space="0" w:color="auto"/>
        <w:left w:val="none" w:sz="0" w:space="0" w:color="auto"/>
        <w:bottom w:val="none" w:sz="0" w:space="0" w:color="auto"/>
        <w:right w:val="none" w:sz="0" w:space="0" w:color="auto"/>
      </w:divBdr>
    </w:div>
    <w:div w:id="278030641">
      <w:bodyDiv w:val="1"/>
      <w:marLeft w:val="0"/>
      <w:marRight w:val="0"/>
      <w:marTop w:val="0"/>
      <w:marBottom w:val="0"/>
      <w:divBdr>
        <w:top w:val="none" w:sz="0" w:space="0" w:color="auto"/>
        <w:left w:val="none" w:sz="0" w:space="0" w:color="auto"/>
        <w:bottom w:val="none" w:sz="0" w:space="0" w:color="auto"/>
        <w:right w:val="none" w:sz="0" w:space="0" w:color="auto"/>
      </w:divBdr>
    </w:div>
    <w:div w:id="279184683">
      <w:bodyDiv w:val="1"/>
      <w:marLeft w:val="0"/>
      <w:marRight w:val="0"/>
      <w:marTop w:val="0"/>
      <w:marBottom w:val="0"/>
      <w:divBdr>
        <w:top w:val="none" w:sz="0" w:space="0" w:color="auto"/>
        <w:left w:val="none" w:sz="0" w:space="0" w:color="auto"/>
        <w:bottom w:val="none" w:sz="0" w:space="0" w:color="auto"/>
        <w:right w:val="none" w:sz="0" w:space="0" w:color="auto"/>
      </w:divBdr>
    </w:div>
    <w:div w:id="279995335">
      <w:bodyDiv w:val="1"/>
      <w:marLeft w:val="0"/>
      <w:marRight w:val="0"/>
      <w:marTop w:val="0"/>
      <w:marBottom w:val="0"/>
      <w:divBdr>
        <w:top w:val="none" w:sz="0" w:space="0" w:color="auto"/>
        <w:left w:val="none" w:sz="0" w:space="0" w:color="auto"/>
        <w:bottom w:val="none" w:sz="0" w:space="0" w:color="auto"/>
        <w:right w:val="none" w:sz="0" w:space="0" w:color="auto"/>
      </w:divBdr>
    </w:div>
    <w:div w:id="313066233">
      <w:bodyDiv w:val="1"/>
      <w:marLeft w:val="0"/>
      <w:marRight w:val="0"/>
      <w:marTop w:val="0"/>
      <w:marBottom w:val="0"/>
      <w:divBdr>
        <w:top w:val="none" w:sz="0" w:space="0" w:color="auto"/>
        <w:left w:val="none" w:sz="0" w:space="0" w:color="auto"/>
        <w:bottom w:val="none" w:sz="0" w:space="0" w:color="auto"/>
        <w:right w:val="none" w:sz="0" w:space="0" w:color="auto"/>
      </w:divBdr>
    </w:div>
    <w:div w:id="346449673">
      <w:bodyDiv w:val="1"/>
      <w:marLeft w:val="0"/>
      <w:marRight w:val="0"/>
      <w:marTop w:val="0"/>
      <w:marBottom w:val="0"/>
      <w:divBdr>
        <w:top w:val="none" w:sz="0" w:space="0" w:color="auto"/>
        <w:left w:val="none" w:sz="0" w:space="0" w:color="auto"/>
        <w:bottom w:val="none" w:sz="0" w:space="0" w:color="auto"/>
        <w:right w:val="none" w:sz="0" w:space="0" w:color="auto"/>
      </w:divBdr>
    </w:div>
    <w:div w:id="361710026">
      <w:bodyDiv w:val="1"/>
      <w:marLeft w:val="0"/>
      <w:marRight w:val="0"/>
      <w:marTop w:val="0"/>
      <w:marBottom w:val="0"/>
      <w:divBdr>
        <w:top w:val="none" w:sz="0" w:space="0" w:color="auto"/>
        <w:left w:val="none" w:sz="0" w:space="0" w:color="auto"/>
        <w:bottom w:val="none" w:sz="0" w:space="0" w:color="auto"/>
        <w:right w:val="none" w:sz="0" w:space="0" w:color="auto"/>
      </w:divBdr>
    </w:div>
    <w:div w:id="475684919">
      <w:bodyDiv w:val="1"/>
      <w:marLeft w:val="0"/>
      <w:marRight w:val="0"/>
      <w:marTop w:val="0"/>
      <w:marBottom w:val="0"/>
      <w:divBdr>
        <w:top w:val="none" w:sz="0" w:space="0" w:color="auto"/>
        <w:left w:val="none" w:sz="0" w:space="0" w:color="auto"/>
        <w:bottom w:val="none" w:sz="0" w:space="0" w:color="auto"/>
        <w:right w:val="none" w:sz="0" w:space="0" w:color="auto"/>
      </w:divBdr>
    </w:div>
    <w:div w:id="483160477">
      <w:bodyDiv w:val="1"/>
      <w:marLeft w:val="0"/>
      <w:marRight w:val="0"/>
      <w:marTop w:val="0"/>
      <w:marBottom w:val="0"/>
      <w:divBdr>
        <w:top w:val="none" w:sz="0" w:space="0" w:color="auto"/>
        <w:left w:val="none" w:sz="0" w:space="0" w:color="auto"/>
        <w:bottom w:val="none" w:sz="0" w:space="0" w:color="auto"/>
        <w:right w:val="none" w:sz="0" w:space="0" w:color="auto"/>
      </w:divBdr>
    </w:div>
    <w:div w:id="499397252">
      <w:bodyDiv w:val="1"/>
      <w:marLeft w:val="0"/>
      <w:marRight w:val="0"/>
      <w:marTop w:val="0"/>
      <w:marBottom w:val="0"/>
      <w:divBdr>
        <w:top w:val="none" w:sz="0" w:space="0" w:color="auto"/>
        <w:left w:val="none" w:sz="0" w:space="0" w:color="auto"/>
        <w:bottom w:val="none" w:sz="0" w:space="0" w:color="auto"/>
        <w:right w:val="none" w:sz="0" w:space="0" w:color="auto"/>
      </w:divBdr>
    </w:div>
    <w:div w:id="522980463">
      <w:bodyDiv w:val="1"/>
      <w:marLeft w:val="0"/>
      <w:marRight w:val="0"/>
      <w:marTop w:val="0"/>
      <w:marBottom w:val="0"/>
      <w:divBdr>
        <w:top w:val="none" w:sz="0" w:space="0" w:color="auto"/>
        <w:left w:val="none" w:sz="0" w:space="0" w:color="auto"/>
        <w:bottom w:val="none" w:sz="0" w:space="0" w:color="auto"/>
        <w:right w:val="none" w:sz="0" w:space="0" w:color="auto"/>
      </w:divBdr>
    </w:div>
    <w:div w:id="525756320">
      <w:bodyDiv w:val="1"/>
      <w:marLeft w:val="0"/>
      <w:marRight w:val="0"/>
      <w:marTop w:val="0"/>
      <w:marBottom w:val="0"/>
      <w:divBdr>
        <w:top w:val="none" w:sz="0" w:space="0" w:color="auto"/>
        <w:left w:val="none" w:sz="0" w:space="0" w:color="auto"/>
        <w:bottom w:val="none" w:sz="0" w:space="0" w:color="auto"/>
        <w:right w:val="none" w:sz="0" w:space="0" w:color="auto"/>
      </w:divBdr>
    </w:div>
    <w:div w:id="534315969">
      <w:bodyDiv w:val="1"/>
      <w:marLeft w:val="0"/>
      <w:marRight w:val="0"/>
      <w:marTop w:val="0"/>
      <w:marBottom w:val="0"/>
      <w:divBdr>
        <w:top w:val="none" w:sz="0" w:space="0" w:color="auto"/>
        <w:left w:val="none" w:sz="0" w:space="0" w:color="auto"/>
        <w:bottom w:val="none" w:sz="0" w:space="0" w:color="auto"/>
        <w:right w:val="none" w:sz="0" w:space="0" w:color="auto"/>
      </w:divBdr>
    </w:div>
    <w:div w:id="576669085">
      <w:bodyDiv w:val="1"/>
      <w:marLeft w:val="0"/>
      <w:marRight w:val="0"/>
      <w:marTop w:val="0"/>
      <w:marBottom w:val="0"/>
      <w:divBdr>
        <w:top w:val="none" w:sz="0" w:space="0" w:color="auto"/>
        <w:left w:val="none" w:sz="0" w:space="0" w:color="auto"/>
        <w:bottom w:val="none" w:sz="0" w:space="0" w:color="auto"/>
        <w:right w:val="none" w:sz="0" w:space="0" w:color="auto"/>
      </w:divBdr>
    </w:div>
    <w:div w:id="600573234">
      <w:bodyDiv w:val="1"/>
      <w:marLeft w:val="0"/>
      <w:marRight w:val="0"/>
      <w:marTop w:val="0"/>
      <w:marBottom w:val="0"/>
      <w:divBdr>
        <w:top w:val="none" w:sz="0" w:space="0" w:color="auto"/>
        <w:left w:val="none" w:sz="0" w:space="0" w:color="auto"/>
        <w:bottom w:val="none" w:sz="0" w:space="0" w:color="auto"/>
        <w:right w:val="none" w:sz="0" w:space="0" w:color="auto"/>
      </w:divBdr>
    </w:div>
    <w:div w:id="642348617">
      <w:bodyDiv w:val="1"/>
      <w:marLeft w:val="0"/>
      <w:marRight w:val="0"/>
      <w:marTop w:val="0"/>
      <w:marBottom w:val="0"/>
      <w:divBdr>
        <w:top w:val="none" w:sz="0" w:space="0" w:color="auto"/>
        <w:left w:val="none" w:sz="0" w:space="0" w:color="auto"/>
        <w:bottom w:val="none" w:sz="0" w:space="0" w:color="auto"/>
        <w:right w:val="none" w:sz="0" w:space="0" w:color="auto"/>
      </w:divBdr>
    </w:div>
    <w:div w:id="680471530">
      <w:bodyDiv w:val="1"/>
      <w:marLeft w:val="0"/>
      <w:marRight w:val="0"/>
      <w:marTop w:val="0"/>
      <w:marBottom w:val="0"/>
      <w:divBdr>
        <w:top w:val="none" w:sz="0" w:space="0" w:color="auto"/>
        <w:left w:val="none" w:sz="0" w:space="0" w:color="auto"/>
        <w:bottom w:val="none" w:sz="0" w:space="0" w:color="auto"/>
        <w:right w:val="none" w:sz="0" w:space="0" w:color="auto"/>
      </w:divBdr>
    </w:div>
    <w:div w:id="706492790">
      <w:bodyDiv w:val="1"/>
      <w:marLeft w:val="0"/>
      <w:marRight w:val="0"/>
      <w:marTop w:val="0"/>
      <w:marBottom w:val="0"/>
      <w:divBdr>
        <w:top w:val="none" w:sz="0" w:space="0" w:color="auto"/>
        <w:left w:val="none" w:sz="0" w:space="0" w:color="auto"/>
        <w:bottom w:val="none" w:sz="0" w:space="0" w:color="auto"/>
        <w:right w:val="none" w:sz="0" w:space="0" w:color="auto"/>
      </w:divBdr>
    </w:div>
    <w:div w:id="721640044">
      <w:bodyDiv w:val="1"/>
      <w:marLeft w:val="0"/>
      <w:marRight w:val="0"/>
      <w:marTop w:val="0"/>
      <w:marBottom w:val="0"/>
      <w:divBdr>
        <w:top w:val="none" w:sz="0" w:space="0" w:color="auto"/>
        <w:left w:val="none" w:sz="0" w:space="0" w:color="auto"/>
        <w:bottom w:val="none" w:sz="0" w:space="0" w:color="auto"/>
        <w:right w:val="none" w:sz="0" w:space="0" w:color="auto"/>
      </w:divBdr>
    </w:div>
    <w:div w:id="749038887">
      <w:bodyDiv w:val="1"/>
      <w:marLeft w:val="0"/>
      <w:marRight w:val="0"/>
      <w:marTop w:val="0"/>
      <w:marBottom w:val="0"/>
      <w:divBdr>
        <w:top w:val="none" w:sz="0" w:space="0" w:color="auto"/>
        <w:left w:val="none" w:sz="0" w:space="0" w:color="auto"/>
        <w:bottom w:val="none" w:sz="0" w:space="0" w:color="auto"/>
        <w:right w:val="none" w:sz="0" w:space="0" w:color="auto"/>
      </w:divBdr>
    </w:div>
    <w:div w:id="764690880">
      <w:bodyDiv w:val="1"/>
      <w:marLeft w:val="0"/>
      <w:marRight w:val="0"/>
      <w:marTop w:val="0"/>
      <w:marBottom w:val="0"/>
      <w:divBdr>
        <w:top w:val="none" w:sz="0" w:space="0" w:color="auto"/>
        <w:left w:val="none" w:sz="0" w:space="0" w:color="auto"/>
        <w:bottom w:val="none" w:sz="0" w:space="0" w:color="auto"/>
        <w:right w:val="none" w:sz="0" w:space="0" w:color="auto"/>
      </w:divBdr>
    </w:div>
    <w:div w:id="768819717">
      <w:bodyDiv w:val="1"/>
      <w:marLeft w:val="0"/>
      <w:marRight w:val="0"/>
      <w:marTop w:val="0"/>
      <w:marBottom w:val="0"/>
      <w:divBdr>
        <w:top w:val="none" w:sz="0" w:space="0" w:color="auto"/>
        <w:left w:val="none" w:sz="0" w:space="0" w:color="auto"/>
        <w:bottom w:val="none" w:sz="0" w:space="0" w:color="auto"/>
        <w:right w:val="none" w:sz="0" w:space="0" w:color="auto"/>
      </w:divBdr>
    </w:div>
    <w:div w:id="841627144">
      <w:bodyDiv w:val="1"/>
      <w:marLeft w:val="0"/>
      <w:marRight w:val="0"/>
      <w:marTop w:val="0"/>
      <w:marBottom w:val="0"/>
      <w:divBdr>
        <w:top w:val="none" w:sz="0" w:space="0" w:color="auto"/>
        <w:left w:val="none" w:sz="0" w:space="0" w:color="auto"/>
        <w:bottom w:val="none" w:sz="0" w:space="0" w:color="auto"/>
        <w:right w:val="none" w:sz="0" w:space="0" w:color="auto"/>
      </w:divBdr>
    </w:div>
    <w:div w:id="851340460">
      <w:bodyDiv w:val="1"/>
      <w:marLeft w:val="0"/>
      <w:marRight w:val="0"/>
      <w:marTop w:val="0"/>
      <w:marBottom w:val="0"/>
      <w:divBdr>
        <w:top w:val="none" w:sz="0" w:space="0" w:color="auto"/>
        <w:left w:val="none" w:sz="0" w:space="0" w:color="auto"/>
        <w:bottom w:val="none" w:sz="0" w:space="0" w:color="auto"/>
        <w:right w:val="none" w:sz="0" w:space="0" w:color="auto"/>
      </w:divBdr>
    </w:div>
    <w:div w:id="881013172">
      <w:bodyDiv w:val="1"/>
      <w:marLeft w:val="0"/>
      <w:marRight w:val="0"/>
      <w:marTop w:val="0"/>
      <w:marBottom w:val="0"/>
      <w:divBdr>
        <w:top w:val="none" w:sz="0" w:space="0" w:color="auto"/>
        <w:left w:val="none" w:sz="0" w:space="0" w:color="auto"/>
        <w:bottom w:val="none" w:sz="0" w:space="0" w:color="auto"/>
        <w:right w:val="none" w:sz="0" w:space="0" w:color="auto"/>
      </w:divBdr>
    </w:div>
    <w:div w:id="904489538">
      <w:bodyDiv w:val="1"/>
      <w:marLeft w:val="0"/>
      <w:marRight w:val="0"/>
      <w:marTop w:val="0"/>
      <w:marBottom w:val="0"/>
      <w:divBdr>
        <w:top w:val="none" w:sz="0" w:space="0" w:color="auto"/>
        <w:left w:val="none" w:sz="0" w:space="0" w:color="auto"/>
        <w:bottom w:val="none" w:sz="0" w:space="0" w:color="auto"/>
        <w:right w:val="none" w:sz="0" w:space="0" w:color="auto"/>
      </w:divBdr>
    </w:div>
    <w:div w:id="935357964">
      <w:bodyDiv w:val="1"/>
      <w:marLeft w:val="0"/>
      <w:marRight w:val="0"/>
      <w:marTop w:val="0"/>
      <w:marBottom w:val="0"/>
      <w:divBdr>
        <w:top w:val="none" w:sz="0" w:space="0" w:color="auto"/>
        <w:left w:val="none" w:sz="0" w:space="0" w:color="auto"/>
        <w:bottom w:val="none" w:sz="0" w:space="0" w:color="auto"/>
        <w:right w:val="none" w:sz="0" w:space="0" w:color="auto"/>
      </w:divBdr>
    </w:div>
    <w:div w:id="977615363">
      <w:bodyDiv w:val="1"/>
      <w:marLeft w:val="0"/>
      <w:marRight w:val="0"/>
      <w:marTop w:val="0"/>
      <w:marBottom w:val="0"/>
      <w:divBdr>
        <w:top w:val="none" w:sz="0" w:space="0" w:color="auto"/>
        <w:left w:val="none" w:sz="0" w:space="0" w:color="auto"/>
        <w:bottom w:val="none" w:sz="0" w:space="0" w:color="auto"/>
        <w:right w:val="none" w:sz="0" w:space="0" w:color="auto"/>
      </w:divBdr>
    </w:div>
    <w:div w:id="1030254746">
      <w:bodyDiv w:val="1"/>
      <w:marLeft w:val="0"/>
      <w:marRight w:val="0"/>
      <w:marTop w:val="0"/>
      <w:marBottom w:val="0"/>
      <w:divBdr>
        <w:top w:val="none" w:sz="0" w:space="0" w:color="auto"/>
        <w:left w:val="none" w:sz="0" w:space="0" w:color="auto"/>
        <w:bottom w:val="none" w:sz="0" w:space="0" w:color="auto"/>
        <w:right w:val="none" w:sz="0" w:space="0" w:color="auto"/>
      </w:divBdr>
    </w:div>
    <w:div w:id="1064912528">
      <w:bodyDiv w:val="1"/>
      <w:marLeft w:val="0"/>
      <w:marRight w:val="0"/>
      <w:marTop w:val="0"/>
      <w:marBottom w:val="0"/>
      <w:divBdr>
        <w:top w:val="none" w:sz="0" w:space="0" w:color="auto"/>
        <w:left w:val="none" w:sz="0" w:space="0" w:color="auto"/>
        <w:bottom w:val="none" w:sz="0" w:space="0" w:color="auto"/>
        <w:right w:val="none" w:sz="0" w:space="0" w:color="auto"/>
      </w:divBdr>
    </w:div>
    <w:div w:id="1071002783">
      <w:bodyDiv w:val="1"/>
      <w:marLeft w:val="0"/>
      <w:marRight w:val="0"/>
      <w:marTop w:val="0"/>
      <w:marBottom w:val="0"/>
      <w:divBdr>
        <w:top w:val="none" w:sz="0" w:space="0" w:color="auto"/>
        <w:left w:val="none" w:sz="0" w:space="0" w:color="auto"/>
        <w:bottom w:val="none" w:sz="0" w:space="0" w:color="auto"/>
        <w:right w:val="none" w:sz="0" w:space="0" w:color="auto"/>
      </w:divBdr>
    </w:div>
    <w:div w:id="1107703113">
      <w:bodyDiv w:val="1"/>
      <w:marLeft w:val="0"/>
      <w:marRight w:val="0"/>
      <w:marTop w:val="0"/>
      <w:marBottom w:val="0"/>
      <w:divBdr>
        <w:top w:val="none" w:sz="0" w:space="0" w:color="auto"/>
        <w:left w:val="none" w:sz="0" w:space="0" w:color="auto"/>
        <w:bottom w:val="none" w:sz="0" w:space="0" w:color="auto"/>
        <w:right w:val="none" w:sz="0" w:space="0" w:color="auto"/>
      </w:divBdr>
    </w:div>
    <w:div w:id="1124425281">
      <w:bodyDiv w:val="1"/>
      <w:marLeft w:val="0"/>
      <w:marRight w:val="0"/>
      <w:marTop w:val="0"/>
      <w:marBottom w:val="0"/>
      <w:divBdr>
        <w:top w:val="none" w:sz="0" w:space="0" w:color="auto"/>
        <w:left w:val="none" w:sz="0" w:space="0" w:color="auto"/>
        <w:bottom w:val="none" w:sz="0" w:space="0" w:color="auto"/>
        <w:right w:val="none" w:sz="0" w:space="0" w:color="auto"/>
      </w:divBdr>
    </w:div>
    <w:div w:id="1166673099">
      <w:bodyDiv w:val="1"/>
      <w:marLeft w:val="0"/>
      <w:marRight w:val="0"/>
      <w:marTop w:val="0"/>
      <w:marBottom w:val="0"/>
      <w:divBdr>
        <w:top w:val="none" w:sz="0" w:space="0" w:color="auto"/>
        <w:left w:val="none" w:sz="0" w:space="0" w:color="auto"/>
        <w:bottom w:val="none" w:sz="0" w:space="0" w:color="auto"/>
        <w:right w:val="none" w:sz="0" w:space="0" w:color="auto"/>
      </w:divBdr>
    </w:div>
    <w:div w:id="1218084275">
      <w:bodyDiv w:val="1"/>
      <w:marLeft w:val="0"/>
      <w:marRight w:val="0"/>
      <w:marTop w:val="0"/>
      <w:marBottom w:val="0"/>
      <w:divBdr>
        <w:top w:val="none" w:sz="0" w:space="0" w:color="auto"/>
        <w:left w:val="none" w:sz="0" w:space="0" w:color="auto"/>
        <w:bottom w:val="none" w:sz="0" w:space="0" w:color="auto"/>
        <w:right w:val="none" w:sz="0" w:space="0" w:color="auto"/>
      </w:divBdr>
    </w:div>
    <w:div w:id="1220677468">
      <w:bodyDiv w:val="1"/>
      <w:marLeft w:val="0"/>
      <w:marRight w:val="0"/>
      <w:marTop w:val="0"/>
      <w:marBottom w:val="0"/>
      <w:divBdr>
        <w:top w:val="none" w:sz="0" w:space="0" w:color="auto"/>
        <w:left w:val="none" w:sz="0" w:space="0" w:color="auto"/>
        <w:bottom w:val="none" w:sz="0" w:space="0" w:color="auto"/>
        <w:right w:val="none" w:sz="0" w:space="0" w:color="auto"/>
      </w:divBdr>
    </w:div>
    <w:div w:id="1256091571">
      <w:bodyDiv w:val="1"/>
      <w:marLeft w:val="0"/>
      <w:marRight w:val="0"/>
      <w:marTop w:val="0"/>
      <w:marBottom w:val="0"/>
      <w:divBdr>
        <w:top w:val="none" w:sz="0" w:space="0" w:color="auto"/>
        <w:left w:val="none" w:sz="0" w:space="0" w:color="auto"/>
        <w:bottom w:val="none" w:sz="0" w:space="0" w:color="auto"/>
        <w:right w:val="none" w:sz="0" w:space="0" w:color="auto"/>
      </w:divBdr>
    </w:div>
    <w:div w:id="1256549799">
      <w:bodyDiv w:val="1"/>
      <w:marLeft w:val="0"/>
      <w:marRight w:val="0"/>
      <w:marTop w:val="0"/>
      <w:marBottom w:val="0"/>
      <w:divBdr>
        <w:top w:val="none" w:sz="0" w:space="0" w:color="auto"/>
        <w:left w:val="none" w:sz="0" w:space="0" w:color="auto"/>
        <w:bottom w:val="none" w:sz="0" w:space="0" w:color="auto"/>
        <w:right w:val="none" w:sz="0" w:space="0" w:color="auto"/>
      </w:divBdr>
    </w:div>
    <w:div w:id="1308440696">
      <w:bodyDiv w:val="1"/>
      <w:marLeft w:val="0"/>
      <w:marRight w:val="0"/>
      <w:marTop w:val="0"/>
      <w:marBottom w:val="0"/>
      <w:divBdr>
        <w:top w:val="none" w:sz="0" w:space="0" w:color="auto"/>
        <w:left w:val="none" w:sz="0" w:space="0" w:color="auto"/>
        <w:bottom w:val="none" w:sz="0" w:space="0" w:color="auto"/>
        <w:right w:val="none" w:sz="0" w:space="0" w:color="auto"/>
      </w:divBdr>
    </w:div>
    <w:div w:id="1323267277">
      <w:bodyDiv w:val="1"/>
      <w:marLeft w:val="0"/>
      <w:marRight w:val="0"/>
      <w:marTop w:val="0"/>
      <w:marBottom w:val="0"/>
      <w:divBdr>
        <w:top w:val="none" w:sz="0" w:space="0" w:color="auto"/>
        <w:left w:val="none" w:sz="0" w:space="0" w:color="auto"/>
        <w:bottom w:val="none" w:sz="0" w:space="0" w:color="auto"/>
        <w:right w:val="none" w:sz="0" w:space="0" w:color="auto"/>
      </w:divBdr>
    </w:div>
    <w:div w:id="1398896082">
      <w:bodyDiv w:val="1"/>
      <w:marLeft w:val="0"/>
      <w:marRight w:val="0"/>
      <w:marTop w:val="0"/>
      <w:marBottom w:val="0"/>
      <w:divBdr>
        <w:top w:val="none" w:sz="0" w:space="0" w:color="auto"/>
        <w:left w:val="none" w:sz="0" w:space="0" w:color="auto"/>
        <w:bottom w:val="none" w:sz="0" w:space="0" w:color="auto"/>
        <w:right w:val="none" w:sz="0" w:space="0" w:color="auto"/>
      </w:divBdr>
    </w:div>
    <w:div w:id="1411737967">
      <w:bodyDiv w:val="1"/>
      <w:marLeft w:val="0"/>
      <w:marRight w:val="0"/>
      <w:marTop w:val="0"/>
      <w:marBottom w:val="0"/>
      <w:divBdr>
        <w:top w:val="none" w:sz="0" w:space="0" w:color="auto"/>
        <w:left w:val="none" w:sz="0" w:space="0" w:color="auto"/>
        <w:bottom w:val="none" w:sz="0" w:space="0" w:color="auto"/>
        <w:right w:val="none" w:sz="0" w:space="0" w:color="auto"/>
      </w:divBdr>
    </w:div>
    <w:div w:id="1415735514">
      <w:bodyDiv w:val="1"/>
      <w:marLeft w:val="0"/>
      <w:marRight w:val="0"/>
      <w:marTop w:val="0"/>
      <w:marBottom w:val="0"/>
      <w:divBdr>
        <w:top w:val="none" w:sz="0" w:space="0" w:color="auto"/>
        <w:left w:val="none" w:sz="0" w:space="0" w:color="auto"/>
        <w:bottom w:val="none" w:sz="0" w:space="0" w:color="auto"/>
        <w:right w:val="none" w:sz="0" w:space="0" w:color="auto"/>
      </w:divBdr>
    </w:div>
    <w:div w:id="1461877828">
      <w:bodyDiv w:val="1"/>
      <w:marLeft w:val="0"/>
      <w:marRight w:val="0"/>
      <w:marTop w:val="0"/>
      <w:marBottom w:val="0"/>
      <w:divBdr>
        <w:top w:val="none" w:sz="0" w:space="0" w:color="auto"/>
        <w:left w:val="none" w:sz="0" w:space="0" w:color="auto"/>
        <w:bottom w:val="none" w:sz="0" w:space="0" w:color="auto"/>
        <w:right w:val="none" w:sz="0" w:space="0" w:color="auto"/>
      </w:divBdr>
    </w:div>
    <w:div w:id="1523863709">
      <w:bodyDiv w:val="1"/>
      <w:marLeft w:val="0"/>
      <w:marRight w:val="0"/>
      <w:marTop w:val="0"/>
      <w:marBottom w:val="0"/>
      <w:divBdr>
        <w:top w:val="none" w:sz="0" w:space="0" w:color="auto"/>
        <w:left w:val="none" w:sz="0" w:space="0" w:color="auto"/>
        <w:bottom w:val="none" w:sz="0" w:space="0" w:color="auto"/>
        <w:right w:val="none" w:sz="0" w:space="0" w:color="auto"/>
      </w:divBdr>
    </w:div>
    <w:div w:id="1560357707">
      <w:bodyDiv w:val="1"/>
      <w:marLeft w:val="0"/>
      <w:marRight w:val="0"/>
      <w:marTop w:val="0"/>
      <w:marBottom w:val="0"/>
      <w:divBdr>
        <w:top w:val="none" w:sz="0" w:space="0" w:color="auto"/>
        <w:left w:val="none" w:sz="0" w:space="0" w:color="auto"/>
        <w:bottom w:val="none" w:sz="0" w:space="0" w:color="auto"/>
        <w:right w:val="none" w:sz="0" w:space="0" w:color="auto"/>
      </w:divBdr>
    </w:div>
    <w:div w:id="1588535551">
      <w:bodyDiv w:val="1"/>
      <w:marLeft w:val="0"/>
      <w:marRight w:val="0"/>
      <w:marTop w:val="0"/>
      <w:marBottom w:val="0"/>
      <w:divBdr>
        <w:top w:val="none" w:sz="0" w:space="0" w:color="auto"/>
        <w:left w:val="none" w:sz="0" w:space="0" w:color="auto"/>
        <w:bottom w:val="none" w:sz="0" w:space="0" w:color="auto"/>
        <w:right w:val="none" w:sz="0" w:space="0" w:color="auto"/>
      </w:divBdr>
    </w:div>
    <w:div w:id="1630819955">
      <w:bodyDiv w:val="1"/>
      <w:marLeft w:val="0"/>
      <w:marRight w:val="0"/>
      <w:marTop w:val="0"/>
      <w:marBottom w:val="0"/>
      <w:divBdr>
        <w:top w:val="none" w:sz="0" w:space="0" w:color="auto"/>
        <w:left w:val="none" w:sz="0" w:space="0" w:color="auto"/>
        <w:bottom w:val="none" w:sz="0" w:space="0" w:color="auto"/>
        <w:right w:val="none" w:sz="0" w:space="0" w:color="auto"/>
      </w:divBdr>
    </w:div>
    <w:div w:id="1649553566">
      <w:bodyDiv w:val="1"/>
      <w:marLeft w:val="0"/>
      <w:marRight w:val="0"/>
      <w:marTop w:val="0"/>
      <w:marBottom w:val="0"/>
      <w:divBdr>
        <w:top w:val="none" w:sz="0" w:space="0" w:color="auto"/>
        <w:left w:val="none" w:sz="0" w:space="0" w:color="auto"/>
        <w:bottom w:val="none" w:sz="0" w:space="0" w:color="auto"/>
        <w:right w:val="none" w:sz="0" w:space="0" w:color="auto"/>
      </w:divBdr>
    </w:div>
    <w:div w:id="1667047448">
      <w:bodyDiv w:val="1"/>
      <w:marLeft w:val="0"/>
      <w:marRight w:val="0"/>
      <w:marTop w:val="0"/>
      <w:marBottom w:val="0"/>
      <w:divBdr>
        <w:top w:val="none" w:sz="0" w:space="0" w:color="auto"/>
        <w:left w:val="none" w:sz="0" w:space="0" w:color="auto"/>
        <w:bottom w:val="none" w:sz="0" w:space="0" w:color="auto"/>
        <w:right w:val="none" w:sz="0" w:space="0" w:color="auto"/>
      </w:divBdr>
    </w:div>
    <w:div w:id="1671563103">
      <w:bodyDiv w:val="1"/>
      <w:marLeft w:val="0"/>
      <w:marRight w:val="0"/>
      <w:marTop w:val="0"/>
      <w:marBottom w:val="0"/>
      <w:divBdr>
        <w:top w:val="none" w:sz="0" w:space="0" w:color="auto"/>
        <w:left w:val="none" w:sz="0" w:space="0" w:color="auto"/>
        <w:bottom w:val="none" w:sz="0" w:space="0" w:color="auto"/>
        <w:right w:val="none" w:sz="0" w:space="0" w:color="auto"/>
      </w:divBdr>
    </w:div>
    <w:div w:id="1694763857">
      <w:bodyDiv w:val="1"/>
      <w:marLeft w:val="0"/>
      <w:marRight w:val="0"/>
      <w:marTop w:val="0"/>
      <w:marBottom w:val="0"/>
      <w:divBdr>
        <w:top w:val="none" w:sz="0" w:space="0" w:color="auto"/>
        <w:left w:val="none" w:sz="0" w:space="0" w:color="auto"/>
        <w:bottom w:val="none" w:sz="0" w:space="0" w:color="auto"/>
        <w:right w:val="none" w:sz="0" w:space="0" w:color="auto"/>
      </w:divBdr>
    </w:div>
    <w:div w:id="1758135232">
      <w:bodyDiv w:val="1"/>
      <w:marLeft w:val="0"/>
      <w:marRight w:val="0"/>
      <w:marTop w:val="0"/>
      <w:marBottom w:val="0"/>
      <w:divBdr>
        <w:top w:val="none" w:sz="0" w:space="0" w:color="auto"/>
        <w:left w:val="none" w:sz="0" w:space="0" w:color="auto"/>
        <w:bottom w:val="none" w:sz="0" w:space="0" w:color="auto"/>
        <w:right w:val="none" w:sz="0" w:space="0" w:color="auto"/>
      </w:divBdr>
    </w:div>
    <w:div w:id="1779593213">
      <w:bodyDiv w:val="1"/>
      <w:marLeft w:val="0"/>
      <w:marRight w:val="0"/>
      <w:marTop w:val="0"/>
      <w:marBottom w:val="0"/>
      <w:divBdr>
        <w:top w:val="none" w:sz="0" w:space="0" w:color="auto"/>
        <w:left w:val="none" w:sz="0" w:space="0" w:color="auto"/>
        <w:bottom w:val="none" w:sz="0" w:space="0" w:color="auto"/>
        <w:right w:val="none" w:sz="0" w:space="0" w:color="auto"/>
      </w:divBdr>
    </w:div>
    <w:div w:id="1804998577">
      <w:bodyDiv w:val="1"/>
      <w:marLeft w:val="0"/>
      <w:marRight w:val="0"/>
      <w:marTop w:val="0"/>
      <w:marBottom w:val="0"/>
      <w:divBdr>
        <w:top w:val="none" w:sz="0" w:space="0" w:color="auto"/>
        <w:left w:val="none" w:sz="0" w:space="0" w:color="auto"/>
        <w:bottom w:val="none" w:sz="0" w:space="0" w:color="auto"/>
        <w:right w:val="none" w:sz="0" w:space="0" w:color="auto"/>
      </w:divBdr>
    </w:div>
    <w:div w:id="1821847045">
      <w:bodyDiv w:val="1"/>
      <w:marLeft w:val="0"/>
      <w:marRight w:val="0"/>
      <w:marTop w:val="0"/>
      <w:marBottom w:val="0"/>
      <w:divBdr>
        <w:top w:val="none" w:sz="0" w:space="0" w:color="auto"/>
        <w:left w:val="none" w:sz="0" w:space="0" w:color="auto"/>
        <w:bottom w:val="none" w:sz="0" w:space="0" w:color="auto"/>
        <w:right w:val="none" w:sz="0" w:space="0" w:color="auto"/>
      </w:divBdr>
    </w:div>
    <w:div w:id="1833176685">
      <w:bodyDiv w:val="1"/>
      <w:marLeft w:val="0"/>
      <w:marRight w:val="0"/>
      <w:marTop w:val="0"/>
      <w:marBottom w:val="0"/>
      <w:divBdr>
        <w:top w:val="none" w:sz="0" w:space="0" w:color="auto"/>
        <w:left w:val="none" w:sz="0" w:space="0" w:color="auto"/>
        <w:bottom w:val="none" w:sz="0" w:space="0" w:color="auto"/>
        <w:right w:val="none" w:sz="0" w:space="0" w:color="auto"/>
      </w:divBdr>
    </w:div>
    <w:div w:id="1834952053">
      <w:bodyDiv w:val="1"/>
      <w:marLeft w:val="0"/>
      <w:marRight w:val="0"/>
      <w:marTop w:val="0"/>
      <w:marBottom w:val="0"/>
      <w:divBdr>
        <w:top w:val="none" w:sz="0" w:space="0" w:color="auto"/>
        <w:left w:val="none" w:sz="0" w:space="0" w:color="auto"/>
        <w:bottom w:val="none" w:sz="0" w:space="0" w:color="auto"/>
        <w:right w:val="none" w:sz="0" w:space="0" w:color="auto"/>
      </w:divBdr>
    </w:div>
    <w:div w:id="1861813328">
      <w:bodyDiv w:val="1"/>
      <w:marLeft w:val="0"/>
      <w:marRight w:val="0"/>
      <w:marTop w:val="0"/>
      <w:marBottom w:val="0"/>
      <w:divBdr>
        <w:top w:val="none" w:sz="0" w:space="0" w:color="auto"/>
        <w:left w:val="none" w:sz="0" w:space="0" w:color="auto"/>
        <w:bottom w:val="none" w:sz="0" w:space="0" w:color="auto"/>
        <w:right w:val="none" w:sz="0" w:space="0" w:color="auto"/>
      </w:divBdr>
    </w:div>
    <w:div w:id="1873612807">
      <w:bodyDiv w:val="1"/>
      <w:marLeft w:val="0"/>
      <w:marRight w:val="0"/>
      <w:marTop w:val="0"/>
      <w:marBottom w:val="0"/>
      <w:divBdr>
        <w:top w:val="none" w:sz="0" w:space="0" w:color="auto"/>
        <w:left w:val="none" w:sz="0" w:space="0" w:color="auto"/>
        <w:bottom w:val="none" w:sz="0" w:space="0" w:color="auto"/>
        <w:right w:val="none" w:sz="0" w:space="0" w:color="auto"/>
      </w:divBdr>
    </w:div>
    <w:div w:id="1912422332">
      <w:bodyDiv w:val="1"/>
      <w:marLeft w:val="0"/>
      <w:marRight w:val="0"/>
      <w:marTop w:val="0"/>
      <w:marBottom w:val="0"/>
      <w:divBdr>
        <w:top w:val="none" w:sz="0" w:space="0" w:color="auto"/>
        <w:left w:val="none" w:sz="0" w:space="0" w:color="auto"/>
        <w:bottom w:val="none" w:sz="0" w:space="0" w:color="auto"/>
        <w:right w:val="none" w:sz="0" w:space="0" w:color="auto"/>
      </w:divBdr>
    </w:div>
    <w:div w:id="1913925529">
      <w:bodyDiv w:val="1"/>
      <w:marLeft w:val="0"/>
      <w:marRight w:val="0"/>
      <w:marTop w:val="0"/>
      <w:marBottom w:val="0"/>
      <w:divBdr>
        <w:top w:val="none" w:sz="0" w:space="0" w:color="auto"/>
        <w:left w:val="none" w:sz="0" w:space="0" w:color="auto"/>
        <w:bottom w:val="none" w:sz="0" w:space="0" w:color="auto"/>
        <w:right w:val="none" w:sz="0" w:space="0" w:color="auto"/>
      </w:divBdr>
    </w:div>
    <w:div w:id="1925913025">
      <w:bodyDiv w:val="1"/>
      <w:marLeft w:val="0"/>
      <w:marRight w:val="0"/>
      <w:marTop w:val="0"/>
      <w:marBottom w:val="0"/>
      <w:divBdr>
        <w:top w:val="none" w:sz="0" w:space="0" w:color="auto"/>
        <w:left w:val="none" w:sz="0" w:space="0" w:color="auto"/>
        <w:bottom w:val="none" w:sz="0" w:space="0" w:color="auto"/>
        <w:right w:val="none" w:sz="0" w:space="0" w:color="auto"/>
      </w:divBdr>
    </w:div>
    <w:div w:id="2020110898">
      <w:bodyDiv w:val="1"/>
      <w:marLeft w:val="0"/>
      <w:marRight w:val="0"/>
      <w:marTop w:val="0"/>
      <w:marBottom w:val="0"/>
      <w:divBdr>
        <w:top w:val="none" w:sz="0" w:space="0" w:color="auto"/>
        <w:left w:val="none" w:sz="0" w:space="0" w:color="auto"/>
        <w:bottom w:val="none" w:sz="0" w:space="0" w:color="auto"/>
        <w:right w:val="none" w:sz="0" w:space="0" w:color="auto"/>
      </w:divBdr>
    </w:div>
    <w:div w:id="2028671865">
      <w:bodyDiv w:val="1"/>
      <w:marLeft w:val="0"/>
      <w:marRight w:val="0"/>
      <w:marTop w:val="0"/>
      <w:marBottom w:val="0"/>
      <w:divBdr>
        <w:top w:val="none" w:sz="0" w:space="0" w:color="auto"/>
        <w:left w:val="none" w:sz="0" w:space="0" w:color="auto"/>
        <w:bottom w:val="none" w:sz="0" w:space="0" w:color="auto"/>
        <w:right w:val="none" w:sz="0" w:space="0" w:color="auto"/>
      </w:divBdr>
    </w:div>
    <w:div w:id="2039381444">
      <w:bodyDiv w:val="1"/>
      <w:marLeft w:val="0"/>
      <w:marRight w:val="0"/>
      <w:marTop w:val="0"/>
      <w:marBottom w:val="0"/>
      <w:divBdr>
        <w:top w:val="none" w:sz="0" w:space="0" w:color="auto"/>
        <w:left w:val="none" w:sz="0" w:space="0" w:color="auto"/>
        <w:bottom w:val="none" w:sz="0" w:space="0" w:color="auto"/>
        <w:right w:val="none" w:sz="0" w:space="0" w:color="auto"/>
      </w:divBdr>
    </w:div>
    <w:div w:id="2049914048">
      <w:bodyDiv w:val="1"/>
      <w:marLeft w:val="0"/>
      <w:marRight w:val="0"/>
      <w:marTop w:val="0"/>
      <w:marBottom w:val="0"/>
      <w:divBdr>
        <w:top w:val="none" w:sz="0" w:space="0" w:color="auto"/>
        <w:left w:val="none" w:sz="0" w:space="0" w:color="auto"/>
        <w:bottom w:val="none" w:sz="0" w:space="0" w:color="auto"/>
        <w:right w:val="none" w:sz="0" w:space="0" w:color="auto"/>
      </w:divBdr>
    </w:div>
    <w:div w:id="2050688815">
      <w:bodyDiv w:val="1"/>
      <w:marLeft w:val="0"/>
      <w:marRight w:val="0"/>
      <w:marTop w:val="0"/>
      <w:marBottom w:val="0"/>
      <w:divBdr>
        <w:top w:val="none" w:sz="0" w:space="0" w:color="auto"/>
        <w:left w:val="none" w:sz="0" w:space="0" w:color="auto"/>
        <w:bottom w:val="none" w:sz="0" w:space="0" w:color="auto"/>
        <w:right w:val="none" w:sz="0" w:space="0" w:color="auto"/>
      </w:divBdr>
    </w:div>
    <w:div w:id="2061977959">
      <w:bodyDiv w:val="1"/>
      <w:marLeft w:val="0"/>
      <w:marRight w:val="0"/>
      <w:marTop w:val="0"/>
      <w:marBottom w:val="0"/>
      <w:divBdr>
        <w:top w:val="none" w:sz="0" w:space="0" w:color="auto"/>
        <w:left w:val="none" w:sz="0" w:space="0" w:color="auto"/>
        <w:bottom w:val="none" w:sz="0" w:space="0" w:color="auto"/>
        <w:right w:val="none" w:sz="0" w:space="0" w:color="auto"/>
      </w:divBdr>
    </w:div>
    <w:div w:id="2076199432">
      <w:bodyDiv w:val="1"/>
      <w:marLeft w:val="0"/>
      <w:marRight w:val="0"/>
      <w:marTop w:val="0"/>
      <w:marBottom w:val="0"/>
      <w:divBdr>
        <w:top w:val="none" w:sz="0" w:space="0" w:color="auto"/>
        <w:left w:val="none" w:sz="0" w:space="0" w:color="auto"/>
        <w:bottom w:val="none" w:sz="0" w:space="0" w:color="auto"/>
        <w:right w:val="none" w:sz="0" w:space="0" w:color="auto"/>
      </w:divBdr>
    </w:div>
    <w:div w:id="2076471135">
      <w:bodyDiv w:val="1"/>
      <w:marLeft w:val="0"/>
      <w:marRight w:val="0"/>
      <w:marTop w:val="0"/>
      <w:marBottom w:val="0"/>
      <w:divBdr>
        <w:top w:val="none" w:sz="0" w:space="0" w:color="auto"/>
        <w:left w:val="none" w:sz="0" w:space="0" w:color="auto"/>
        <w:bottom w:val="none" w:sz="0" w:space="0" w:color="auto"/>
        <w:right w:val="none" w:sz="0" w:space="0" w:color="auto"/>
      </w:divBdr>
    </w:div>
    <w:div w:id="2085443431">
      <w:bodyDiv w:val="1"/>
      <w:marLeft w:val="0"/>
      <w:marRight w:val="0"/>
      <w:marTop w:val="0"/>
      <w:marBottom w:val="0"/>
      <w:divBdr>
        <w:top w:val="none" w:sz="0" w:space="0" w:color="auto"/>
        <w:left w:val="none" w:sz="0" w:space="0" w:color="auto"/>
        <w:bottom w:val="none" w:sz="0" w:space="0" w:color="auto"/>
        <w:right w:val="none" w:sz="0" w:space="0" w:color="auto"/>
      </w:divBdr>
    </w:div>
    <w:div w:id="2090032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4.png"/><Relationship Id="rId39" Type="http://schemas.openxmlformats.org/officeDocument/2006/relationships/hyperlink" Target="https://doi.org/10.1021/acsomega.3c00156" TargetMode="External"/><Relationship Id="rId21" Type="http://schemas.openxmlformats.org/officeDocument/2006/relationships/image" Target="media/image3.jpeg"/><Relationship Id="rId34" Type="http://schemas.openxmlformats.org/officeDocument/2006/relationships/hyperlink" Target="https://doi.org/10.1038/s41573-023-00772-9" TargetMode="External"/><Relationship Id="rId42" Type="http://schemas.openxmlformats.org/officeDocument/2006/relationships/hyperlink" Target="https://doi.org/10.1016/j.jep.2024.118190" TargetMode="External"/><Relationship Id="rId47" Type="http://schemas.openxmlformats.org/officeDocument/2006/relationships/hyperlink" Target="https://doi.org/10.25258/ijddt.13.4.60"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yperlink" Target="https://doi.org/10.3389/fitd.2024.1394693" TargetMode="External"/><Relationship Id="rId11" Type="http://schemas.openxmlformats.org/officeDocument/2006/relationships/footer" Target="footer1.xml"/><Relationship Id="rId24" Type="http://schemas.openxmlformats.org/officeDocument/2006/relationships/hyperlink" Target="http://creativecommons.org/licenses/by/3.0/" TargetMode="External"/><Relationship Id="rId32" Type="http://schemas.openxmlformats.org/officeDocument/2006/relationships/hyperlink" Target="https://doi.org/10.1007/978-981-19-9605-4_21" TargetMode="External"/><Relationship Id="rId37" Type="http://schemas.openxmlformats.org/officeDocument/2006/relationships/hyperlink" Target="https://doi.org/10.1038/s41598-024-60721-3" TargetMode="External"/><Relationship Id="rId40" Type="http://schemas.openxmlformats.org/officeDocument/2006/relationships/hyperlink" Target="https://doi.org/10.1016/j.molstruc.2022.132712" TargetMode="External"/><Relationship Id="rId45" Type="http://schemas.openxmlformats.org/officeDocument/2006/relationships/hyperlink" Target="https://doi.org/10.3389/fphar.2022.857730"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s://doi.org/10.71637/tnhj.v26i1.1008" TargetMode="External"/><Relationship Id="rId28" Type="http://schemas.openxmlformats.org/officeDocument/2006/relationships/image" Target="media/image6.jpeg"/><Relationship Id="rId36" Type="http://schemas.openxmlformats.org/officeDocument/2006/relationships/hyperlink" Target="https://doi.org/10.1007/978-3-030-89873-1_1" TargetMode="External"/><Relationship Id="rId49" Type="http://schemas.openxmlformats.org/officeDocument/2006/relationships/hyperlink" Target="http://dx.doi.org/10.47857/irjms.2024.v05i01.0268" TargetMode="Externa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hyperlink" Target="https://doi.org/10.1007/978-3-031-32902-9_5" TargetMode="External"/><Relationship Id="rId44" Type="http://schemas.openxmlformats.org/officeDocument/2006/relationships/hyperlink" Target="https://doi.org/10.1021/acs.jproteome.2c00651"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doi.org/10.71637/tnhj.v26i1.1008" TargetMode="External"/><Relationship Id="rId27" Type="http://schemas.openxmlformats.org/officeDocument/2006/relationships/image" Target="media/image5.png"/><Relationship Id="rId30" Type="http://schemas.openxmlformats.org/officeDocument/2006/relationships/hyperlink" Target="https://doi.org/10.1002/9781394188741.ch20" TargetMode="External"/><Relationship Id="rId35" Type="http://schemas.openxmlformats.org/officeDocument/2006/relationships/hyperlink" Target="https://doi.org/10.1007/s00044-023-03113-y" TargetMode="External"/><Relationship Id="rId43" Type="http://schemas.openxmlformats.org/officeDocument/2006/relationships/hyperlink" Target="https://doi.org/10.1093/nar/gkac1000" TargetMode="External"/><Relationship Id="rId48" Type="http://schemas.openxmlformats.org/officeDocument/2006/relationships/hyperlink" Target="https://doi.org/10.47857/irjms.2024.v05i01.0300" TargetMode="External"/><Relationship Id="rId8" Type="http://schemas.openxmlformats.org/officeDocument/2006/relationships/hyperlink" Target="mailto:harshaltare51@gmail.com"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http://creativecommons.org/licenses/by/3.0/" TargetMode="External"/><Relationship Id="rId33" Type="http://schemas.openxmlformats.org/officeDocument/2006/relationships/hyperlink" Target="https://doi.org/10.1080/14787210.2021.1962291" TargetMode="External"/><Relationship Id="rId38" Type="http://schemas.openxmlformats.org/officeDocument/2006/relationships/hyperlink" Target="https://doi.org/10.1016/j.ebiom.2024.104988" TargetMode="External"/><Relationship Id="rId46" Type="http://schemas.openxmlformats.org/officeDocument/2006/relationships/hyperlink" Target="https://doi.org/10.1093/nar/gkac394" TargetMode="External"/><Relationship Id="rId20" Type="http://schemas.openxmlformats.org/officeDocument/2006/relationships/footer" Target="footer6.xml"/><Relationship Id="rId41" Type="http://schemas.openxmlformats.org/officeDocument/2006/relationships/hyperlink" Target="https://doi.org/10.32552/2022.ActaMedica.737"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D2A7F3-5F6B-48FB-B8BE-C30D6DB46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7431</Words>
  <Characters>42359</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THNJOURNAL</dc:creator>
  <cp:keywords/>
  <dc:description/>
  <cp:lastModifiedBy>Reviewer</cp:lastModifiedBy>
  <cp:revision>3</cp:revision>
  <dcterms:created xsi:type="dcterms:W3CDTF">2026-04-06T05:57:00Z</dcterms:created>
  <dcterms:modified xsi:type="dcterms:W3CDTF">2026-04-06T05:58:00Z</dcterms:modified>
</cp:coreProperties>
</file>