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0214CD0">
                <wp:simplePos x="0" y="0"/>
                <wp:positionH relativeFrom="column">
                  <wp:posOffset>-238539</wp:posOffset>
                </wp:positionH>
                <wp:positionV relativeFrom="paragraph">
                  <wp:posOffset>122997</wp:posOffset>
                </wp:positionV>
                <wp:extent cx="6419850" cy="628153"/>
                <wp:effectExtent l="0" t="0" r="19050" b="1968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2815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DE42EE7" id="Round Diagonal Corner Rectangle 262" o:spid="_x0000_s1026" style="position:absolute;margin-left:-18.8pt;margin-top:9.7pt;width:505.5pt;height:49.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2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" path="m104694,l6419850,r,l6419850,523459v,57821,-46873,104694,-104694,104694l,628153r,l,104694c,46873,46873,,104694,xe" fillcolor="#1a601c" strokecolor="#385723" strokeweight="1pt">
                <v:stroke joinstyle="miter"/>
                <v:path arrowok="t" o:connecttype="custom" o:connectlocs="104694,0;6419850,0;6419850,0;6419850,523459;6315156,628153;0,628153;0,628153;0,104694;104694,0" o:connectangles="0,0,0,0,0,0,0,0,0"/>
              </v:shape>
            </w:pict>
          </mc:Fallback>
        </mc:AlternateContent>
      </w:r>
    </w:p>
    <w:p w14:paraId="3EF47F59" w14:textId="77777777" w:rsidR="0092524D" w:rsidRPr="0092524D" w:rsidRDefault="0092524D" w:rsidP="0092524D">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92524D">
        <w:rPr>
          <w:rFonts w:ascii="Garamond" w:hAnsi="Garamond" w:cs="Times New Roman"/>
          <w:b/>
          <w:bCs/>
          <w:color w:val="FFFFFF" w:themeColor="background1"/>
          <w:sz w:val="32"/>
          <w:szCs w:val="32"/>
        </w:rPr>
        <w:t>Adaptation and Validation of Unconditional Positive Self Regard for the Indonesian Counseling Context</w:t>
      </w:r>
    </w:p>
    <w:p w14:paraId="4C44381D" w14:textId="2DDBF33D" w:rsidR="005323B2" w:rsidRPr="005F3F98" w:rsidRDefault="0024597C" w:rsidP="002265FA">
      <w:pPr>
        <w:pBdr>
          <w:bottom w:val="single" w:sz="6" w:space="1" w:color="auto"/>
        </w:pBdr>
        <w:jc w:val="both"/>
        <w:rPr>
          <w:rFonts w:ascii="Garamond" w:hAnsi="Garamond"/>
          <w:b/>
          <w:bCs/>
          <w:i/>
          <w:iCs/>
          <w:color w:val="FFFFFF" w:themeColor="background1"/>
          <w:sz w:val="20"/>
          <w:szCs w:val="20"/>
        </w:rPr>
      </w:pPr>
      <w:r w:rsidRPr="00AF2C8F">
        <w:rPr>
          <w:rFonts w:ascii="Garamond" w:hAnsi="Garamond"/>
          <w:b/>
          <w:bCs/>
          <w:i/>
          <w:iCs/>
          <w:color w:val="FFFFFF" w:themeColor="background1"/>
          <w:sz w:val="20"/>
          <w:szCs w:val="20"/>
          <w:vertAlign w:val="superscript"/>
        </w:rPr>
        <w:t>1</w:t>
      </w:r>
      <w:r w:rsidR="005323B2" w:rsidRPr="00AF2C8F">
        <w:rPr>
          <w:rFonts w:ascii="Garamond" w:hAnsi="Garamond"/>
          <w:b/>
          <w:bCs/>
          <w:i/>
          <w:iCs/>
          <w:color w:val="FFFFFF" w:themeColor="background1"/>
          <w:sz w:val="20"/>
          <w:szCs w:val="20"/>
        </w:rPr>
        <w:t xml:space="preserve">Veny </w:t>
      </w:r>
      <w:proofErr w:type="spellStart"/>
      <w:r w:rsidR="005323B2" w:rsidRPr="00AF2C8F">
        <w:rPr>
          <w:rFonts w:ascii="Garamond" w:hAnsi="Garamond"/>
          <w:b/>
          <w:bCs/>
          <w:i/>
          <w:iCs/>
          <w:color w:val="FFFFFF" w:themeColor="background1"/>
          <w:sz w:val="20"/>
          <w:szCs w:val="20"/>
        </w:rPr>
        <w:t>Mulyani</w:t>
      </w:r>
      <w:proofErr w:type="spellEnd"/>
      <w:r w:rsidR="005323B2" w:rsidRPr="00AF2C8F">
        <w:rPr>
          <w:rFonts w:ascii="Garamond" w:hAnsi="Garamond"/>
          <w:b/>
          <w:bCs/>
          <w:i/>
          <w:iCs/>
          <w:color w:val="FFFFFF" w:themeColor="background1"/>
          <w:sz w:val="20"/>
          <w:szCs w:val="20"/>
        </w:rPr>
        <w:t xml:space="preserve">, </w:t>
      </w:r>
      <w:r w:rsidR="00303C34" w:rsidRPr="00AF2C8F">
        <w:rPr>
          <w:rFonts w:ascii="Garamond" w:hAnsi="Garamond"/>
          <w:b/>
          <w:bCs/>
          <w:i/>
          <w:iCs/>
          <w:color w:val="FFFFFF" w:themeColor="background1"/>
          <w:sz w:val="20"/>
          <w:szCs w:val="20"/>
          <w:vertAlign w:val="superscript"/>
        </w:rPr>
        <w:t>1</w:t>
      </w:r>
      <w:r w:rsidR="005323B2" w:rsidRPr="00AF2C8F">
        <w:rPr>
          <w:rFonts w:ascii="Garamond" w:hAnsi="Garamond"/>
          <w:b/>
          <w:bCs/>
          <w:i/>
          <w:iCs/>
          <w:color w:val="FFFFFF" w:themeColor="background1"/>
          <w:sz w:val="20"/>
          <w:szCs w:val="20"/>
        </w:rPr>
        <w:t xml:space="preserve">Dwi </w:t>
      </w:r>
      <w:proofErr w:type="spellStart"/>
      <w:r w:rsidR="005323B2" w:rsidRPr="00AF2C8F">
        <w:rPr>
          <w:rFonts w:ascii="Garamond" w:hAnsi="Garamond"/>
          <w:b/>
          <w:bCs/>
          <w:i/>
          <w:iCs/>
          <w:color w:val="FFFFFF" w:themeColor="background1"/>
          <w:sz w:val="20"/>
          <w:szCs w:val="20"/>
        </w:rPr>
        <w:t>Yuwono</w:t>
      </w:r>
      <w:proofErr w:type="spellEnd"/>
      <w:r w:rsidR="005323B2" w:rsidRPr="00AF2C8F">
        <w:rPr>
          <w:rFonts w:ascii="Garamond" w:hAnsi="Garamond"/>
          <w:b/>
          <w:bCs/>
          <w:i/>
          <w:iCs/>
          <w:color w:val="FFFFFF" w:themeColor="background1"/>
          <w:sz w:val="20"/>
          <w:szCs w:val="20"/>
        </w:rPr>
        <w:t xml:space="preserve"> Puji </w:t>
      </w:r>
      <w:proofErr w:type="spellStart"/>
      <w:r w:rsidR="005323B2" w:rsidRPr="00AF2C8F">
        <w:rPr>
          <w:rFonts w:ascii="Garamond" w:hAnsi="Garamond"/>
          <w:b/>
          <w:bCs/>
          <w:i/>
          <w:iCs/>
          <w:color w:val="FFFFFF" w:themeColor="background1"/>
          <w:sz w:val="20"/>
          <w:szCs w:val="20"/>
        </w:rPr>
        <w:t>Sugiharto</w:t>
      </w:r>
      <w:proofErr w:type="spellEnd"/>
      <w:r w:rsidR="005323B2" w:rsidRPr="00AF2C8F">
        <w:rPr>
          <w:rFonts w:ascii="Garamond" w:hAnsi="Garamond"/>
          <w:b/>
          <w:bCs/>
          <w:i/>
          <w:iCs/>
          <w:color w:val="FFFFFF" w:themeColor="background1"/>
          <w:sz w:val="20"/>
          <w:szCs w:val="20"/>
        </w:rPr>
        <w:t xml:space="preserve">, </w:t>
      </w:r>
      <w:r w:rsidR="00303C34" w:rsidRPr="00AF2C8F">
        <w:rPr>
          <w:rFonts w:ascii="Garamond" w:hAnsi="Garamond"/>
          <w:b/>
          <w:bCs/>
          <w:i/>
          <w:iCs/>
          <w:color w:val="FFFFFF" w:themeColor="background1"/>
          <w:sz w:val="20"/>
          <w:szCs w:val="20"/>
          <w:vertAlign w:val="superscript"/>
        </w:rPr>
        <w:t>1</w:t>
      </w:r>
      <w:r w:rsidR="005323B2" w:rsidRPr="00AF2C8F">
        <w:rPr>
          <w:rFonts w:ascii="Garamond" w:hAnsi="Garamond"/>
          <w:b/>
          <w:bCs/>
          <w:i/>
          <w:iCs/>
          <w:color w:val="FFFFFF" w:themeColor="background1"/>
          <w:sz w:val="20"/>
          <w:szCs w:val="20"/>
        </w:rPr>
        <w:t xml:space="preserve">Edy Purwanto, </w:t>
      </w:r>
      <w:r w:rsidR="00303C34" w:rsidRPr="00AF2C8F">
        <w:rPr>
          <w:rFonts w:ascii="Garamond" w:hAnsi="Garamond"/>
          <w:b/>
          <w:bCs/>
          <w:i/>
          <w:iCs/>
          <w:color w:val="FFFFFF" w:themeColor="background1"/>
          <w:sz w:val="20"/>
          <w:szCs w:val="20"/>
          <w:vertAlign w:val="superscript"/>
        </w:rPr>
        <w:t>1</w:t>
      </w:r>
      <w:r w:rsidR="005323B2" w:rsidRPr="00AF2C8F">
        <w:rPr>
          <w:rFonts w:ascii="Garamond" w:hAnsi="Garamond"/>
          <w:b/>
          <w:bCs/>
          <w:i/>
          <w:iCs/>
          <w:color w:val="FFFFFF" w:themeColor="background1"/>
          <w:sz w:val="20"/>
          <w:szCs w:val="20"/>
        </w:rPr>
        <w:t>Mulawarman</w:t>
      </w:r>
      <w:r w:rsidR="00F33AF5">
        <w:rPr>
          <w:rFonts w:ascii="Garamond" w:hAnsi="Garamond"/>
          <w:b/>
          <w:bCs/>
          <w:i/>
          <w:iCs/>
          <w:color w:val="FFFFFF" w:themeColor="background1"/>
          <w:sz w:val="20"/>
          <w:szCs w:val="20"/>
        </w:rPr>
        <w:t xml:space="preserve"> </w:t>
      </w:r>
    </w:p>
    <w:p w14:paraId="6403B298" w14:textId="67C446B8" w:rsidR="002265FA" w:rsidRPr="005F3F98" w:rsidRDefault="00303C34" w:rsidP="002265FA">
      <w:pPr>
        <w:pBdr>
          <w:bottom w:val="single" w:sz="6" w:space="1" w:color="auto"/>
        </w:pBdr>
        <w:jc w:val="both"/>
        <w:rPr>
          <w:rFonts w:ascii="Garamond" w:hAnsi="Garamond"/>
          <w:i/>
          <w:iCs/>
          <w:sz w:val="20"/>
          <w:szCs w:val="20"/>
        </w:rPr>
      </w:pPr>
      <w:bookmarkStart w:id="4" w:name="_Hlk209348096"/>
      <w:bookmarkEnd w:id="2"/>
      <w:bookmarkEnd w:id="3"/>
      <w:r>
        <w:rPr>
          <w:rFonts w:ascii="Garamond" w:hAnsi="Garamond"/>
          <w:i/>
          <w:iCs/>
          <w:sz w:val="20"/>
          <w:szCs w:val="20"/>
          <w:vertAlign w:val="superscript"/>
        </w:rPr>
        <w:t>1</w:t>
      </w:r>
      <w:r w:rsidR="0082467B" w:rsidRPr="005F3F98">
        <w:rPr>
          <w:rFonts w:ascii="Garamond" w:hAnsi="Garamond"/>
          <w:i/>
          <w:iCs/>
          <w:sz w:val="20"/>
          <w:szCs w:val="20"/>
        </w:rPr>
        <w:t>Universitas Negeri Semarang (UNNES), Indonesia</w:t>
      </w:r>
      <w:r w:rsidR="00F33AF5">
        <w:rPr>
          <w:rFonts w:ascii="Garamond" w:hAnsi="Garamond"/>
          <w:i/>
          <w:iCs/>
          <w:sz w:val="20"/>
          <w:szCs w:val="20"/>
        </w:rPr>
        <w:t xml:space="preserve"> </w:t>
      </w:r>
    </w:p>
    <w:p w14:paraId="5B942685" w14:textId="77777777" w:rsidR="002265FA" w:rsidRPr="005F3F98" w:rsidRDefault="002265FA" w:rsidP="00F20CA0">
      <w:pPr>
        <w:pBdr>
          <w:bottom w:val="single" w:sz="6" w:space="1" w:color="auto"/>
        </w:pBdr>
        <w:jc w:val="both"/>
        <w:rPr>
          <w:rFonts w:ascii="Garamond" w:hAnsi="Garamond"/>
          <w:bCs/>
          <w:i/>
          <w:iCs/>
          <w:sz w:val="20"/>
          <w:szCs w:val="20"/>
        </w:rPr>
      </w:pPr>
    </w:p>
    <w:bookmarkEnd w:id="4"/>
    <w:p w14:paraId="39872139" w14:textId="17090B4B" w:rsidR="009568EC" w:rsidRPr="009568EC" w:rsidRDefault="001D4D3C" w:rsidP="009568EC">
      <w:pPr>
        <w:pBdr>
          <w:bottom w:val="single" w:sz="6" w:space="1" w:color="auto"/>
        </w:pBdr>
        <w:jc w:val="both"/>
        <w:rPr>
          <w:rFonts w:ascii="Garamond" w:hAnsi="Garamond"/>
          <w:bCs/>
          <w:sz w:val="20"/>
          <w:szCs w:val="20"/>
        </w:rPr>
      </w:pPr>
      <w:r w:rsidRPr="005F3F98">
        <w:rPr>
          <w:rFonts w:ascii="Garamond" w:hAnsi="Garamond"/>
          <w:b/>
          <w:sz w:val="20"/>
          <w:szCs w:val="20"/>
        </w:rPr>
        <w:t>Corresponding author</w:t>
      </w:r>
      <w:r w:rsidR="009E0ABE" w:rsidRPr="005F3F98">
        <w:rPr>
          <w:rFonts w:ascii="Garamond" w:hAnsi="Garamond"/>
          <w:b/>
          <w:sz w:val="20"/>
          <w:szCs w:val="20"/>
        </w:rPr>
        <w:t>:</w:t>
      </w:r>
      <w:r w:rsidR="00D66B3D" w:rsidRPr="005F3F98">
        <w:rPr>
          <w:rFonts w:ascii="Garamond" w:hAnsi="Garamond"/>
          <w:b/>
          <w:sz w:val="20"/>
          <w:szCs w:val="20"/>
        </w:rPr>
        <w:t xml:space="preserve"> </w:t>
      </w:r>
      <w:proofErr w:type="spellStart"/>
      <w:r w:rsidR="009568EC" w:rsidRPr="005F3F98">
        <w:rPr>
          <w:rFonts w:ascii="Garamond" w:hAnsi="Garamond" w:cs="Segoe UI"/>
          <w:b/>
          <w:bCs/>
          <w:sz w:val="20"/>
          <w:szCs w:val="20"/>
          <w:shd w:val="clear" w:color="auto" w:fill="FFFFFF"/>
        </w:rPr>
        <w:t>Veny</w:t>
      </w:r>
      <w:proofErr w:type="spellEnd"/>
      <w:r w:rsidR="009568EC" w:rsidRPr="005F3F98">
        <w:rPr>
          <w:rFonts w:ascii="Garamond" w:hAnsi="Garamond" w:cs="Segoe UI"/>
          <w:b/>
          <w:bCs/>
          <w:sz w:val="20"/>
          <w:szCs w:val="20"/>
          <w:shd w:val="clear" w:color="auto" w:fill="FFFFFF"/>
        </w:rPr>
        <w:t xml:space="preserve"> </w:t>
      </w:r>
      <w:proofErr w:type="spellStart"/>
      <w:r w:rsidR="009568EC" w:rsidRPr="005F3F98">
        <w:rPr>
          <w:rFonts w:ascii="Garamond" w:hAnsi="Garamond" w:cs="Segoe UI"/>
          <w:b/>
          <w:bCs/>
          <w:sz w:val="20"/>
          <w:szCs w:val="20"/>
          <w:shd w:val="clear" w:color="auto" w:fill="FFFFFF"/>
        </w:rPr>
        <w:t>Mulyani</w:t>
      </w:r>
      <w:proofErr w:type="spellEnd"/>
      <w:r w:rsidR="00CC5867" w:rsidRPr="005F3F98">
        <w:rPr>
          <w:rFonts w:ascii="Garamond" w:hAnsi="Garamond" w:cs="Segoe UI"/>
          <w:b/>
          <w:bCs/>
          <w:sz w:val="20"/>
          <w:szCs w:val="20"/>
          <w:shd w:val="clear" w:color="auto" w:fill="FFFFFF"/>
          <w:lang w:val="en-GB"/>
        </w:rPr>
        <w:t xml:space="preserve">, </w:t>
      </w:r>
      <w:r w:rsidR="009568EC" w:rsidRPr="005F3F98">
        <w:rPr>
          <w:rFonts w:ascii="Garamond" w:hAnsi="Garamond"/>
          <w:bCs/>
          <w:sz w:val="20"/>
          <w:szCs w:val="20"/>
        </w:rPr>
        <w:t xml:space="preserve">Sekaran Raya No.15, </w:t>
      </w:r>
      <w:proofErr w:type="spellStart"/>
      <w:r w:rsidR="009568EC" w:rsidRPr="005F3F98">
        <w:rPr>
          <w:rFonts w:ascii="Garamond" w:hAnsi="Garamond"/>
          <w:bCs/>
          <w:sz w:val="20"/>
          <w:szCs w:val="20"/>
        </w:rPr>
        <w:t>Gunungpati</w:t>
      </w:r>
      <w:proofErr w:type="spellEnd"/>
      <w:r w:rsidR="009568EC" w:rsidRPr="005F3F98">
        <w:rPr>
          <w:rFonts w:ascii="Garamond" w:hAnsi="Garamond"/>
          <w:bCs/>
          <w:sz w:val="20"/>
          <w:szCs w:val="20"/>
        </w:rPr>
        <w:t xml:space="preserve">, Kota Semarang, Jawa Tengah, Indonesia. </w:t>
      </w:r>
      <w:r w:rsidR="009568EC" w:rsidRPr="009568EC">
        <w:rPr>
          <w:rFonts w:ascii="Garamond" w:eastAsia="Times New Roman" w:hAnsi="Garamond" w:cs="Times New Roman"/>
          <w:sz w:val="20"/>
          <w:szCs w:val="20"/>
        </w:rPr>
        <w:t>venymulyani22@students.unnes.ac.id</w:t>
      </w:r>
      <w:r w:rsidR="009568EC" w:rsidRPr="005F3F98">
        <w:rPr>
          <w:rFonts w:ascii="Garamond" w:eastAsia="Times New Roman" w:hAnsi="Garamond" w:cs="Times New Roman"/>
          <w:sz w:val="20"/>
          <w:szCs w:val="20"/>
        </w:rPr>
        <w:t xml:space="preserve"> +628999884474</w:t>
      </w:r>
    </w:p>
    <w:p w14:paraId="53B0E608" w14:textId="77777777" w:rsidR="009568EC" w:rsidRPr="005F3F98" w:rsidRDefault="009568EC" w:rsidP="00855308">
      <w:pPr>
        <w:pBdr>
          <w:bottom w:val="single" w:sz="6" w:space="1" w:color="auto"/>
        </w:pBdr>
        <w:jc w:val="both"/>
        <w:rPr>
          <w:rFonts w:ascii="Times New Roman" w:eastAsia="Times New Roman" w:hAnsi="Times New Roman" w:cs="Times New Roman"/>
          <w:sz w:val="20"/>
          <w:szCs w:val="20"/>
        </w:rPr>
      </w:pPr>
    </w:p>
    <w:p w14:paraId="15BB8056" w14:textId="4FD3F9A8" w:rsidR="006732D7" w:rsidRPr="005F3F98" w:rsidRDefault="006732D7" w:rsidP="006732D7">
      <w:pPr>
        <w:pBdr>
          <w:bottom w:val="single" w:sz="6" w:space="1" w:color="auto"/>
        </w:pBdr>
        <w:tabs>
          <w:tab w:val="left" w:pos="6867"/>
        </w:tabs>
        <w:jc w:val="both"/>
        <w:rPr>
          <w:rFonts w:ascii="Garamond" w:hAnsi="Garamond"/>
          <w:sz w:val="20"/>
          <w:szCs w:val="20"/>
        </w:rPr>
      </w:pPr>
      <w:r w:rsidRPr="00303C34">
        <w:rPr>
          <w:rFonts w:ascii="Garamond" w:hAnsi="Garamond"/>
          <w:sz w:val="20"/>
          <w:szCs w:val="20"/>
        </w:rPr>
        <w:t>Arti</w:t>
      </w:r>
      <w:r w:rsidR="0023667C" w:rsidRPr="00303C34">
        <w:rPr>
          <w:rFonts w:ascii="Garamond" w:hAnsi="Garamond"/>
          <w:sz w:val="20"/>
          <w:szCs w:val="20"/>
        </w:rPr>
        <w:t>cl</w:t>
      </w:r>
      <w:r w:rsidR="00943E61" w:rsidRPr="00303C34">
        <w:rPr>
          <w:rFonts w:ascii="Garamond" w:hAnsi="Garamond"/>
          <w:sz w:val="20"/>
          <w:szCs w:val="20"/>
        </w:rPr>
        <w:t xml:space="preserve">e history: Received </w:t>
      </w:r>
      <w:r w:rsidR="00303C34" w:rsidRPr="00303C34">
        <w:rPr>
          <w:rFonts w:ascii="Garamond" w:hAnsi="Garamond"/>
          <w:sz w:val="20"/>
          <w:szCs w:val="20"/>
        </w:rPr>
        <w:t>05</w:t>
      </w:r>
      <w:r w:rsidR="00943E61" w:rsidRPr="00303C34">
        <w:rPr>
          <w:rFonts w:ascii="Garamond" w:hAnsi="Garamond"/>
          <w:sz w:val="20"/>
          <w:szCs w:val="20"/>
        </w:rPr>
        <w:t xml:space="preserve"> </w:t>
      </w:r>
      <w:r w:rsidR="00303C34" w:rsidRPr="00303C34">
        <w:rPr>
          <w:rFonts w:ascii="Garamond" w:hAnsi="Garamond"/>
          <w:sz w:val="20"/>
          <w:szCs w:val="20"/>
        </w:rPr>
        <w:t>July</w:t>
      </w:r>
      <w:r w:rsidR="00943E61" w:rsidRPr="00303C34">
        <w:rPr>
          <w:rFonts w:ascii="Garamond" w:hAnsi="Garamond"/>
          <w:sz w:val="20"/>
          <w:szCs w:val="20"/>
        </w:rPr>
        <w:t xml:space="preserve"> 202</w:t>
      </w:r>
      <w:r w:rsidR="006E1FEB" w:rsidRPr="00303C34">
        <w:rPr>
          <w:rFonts w:ascii="Garamond" w:hAnsi="Garamond"/>
          <w:sz w:val="20"/>
          <w:szCs w:val="20"/>
        </w:rPr>
        <w:t>5</w:t>
      </w:r>
      <w:r w:rsidR="00943E61" w:rsidRPr="00303C34">
        <w:rPr>
          <w:rFonts w:ascii="Garamond" w:hAnsi="Garamond"/>
          <w:sz w:val="20"/>
          <w:szCs w:val="20"/>
        </w:rPr>
        <w:t xml:space="preserve">, Reviewed </w:t>
      </w:r>
      <w:r w:rsidR="00154D8F" w:rsidRPr="00303C34">
        <w:rPr>
          <w:rFonts w:ascii="Garamond" w:hAnsi="Garamond"/>
          <w:sz w:val="20"/>
          <w:szCs w:val="20"/>
        </w:rPr>
        <w:t>2</w:t>
      </w:r>
      <w:r w:rsidR="00303C34" w:rsidRPr="00303C34">
        <w:rPr>
          <w:rFonts w:ascii="Garamond" w:hAnsi="Garamond"/>
          <w:sz w:val="20"/>
          <w:szCs w:val="20"/>
        </w:rPr>
        <w:t>7</w:t>
      </w:r>
      <w:r w:rsidR="00943E61" w:rsidRPr="00303C34">
        <w:rPr>
          <w:rFonts w:ascii="Garamond" w:hAnsi="Garamond"/>
          <w:sz w:val="20"/>
          <w:szCs w:val="20"/>
        </w:rPr>
        <w:t xml:space="preserve"> </w:t>
      </w:r>
      <w:r w:rsidR="00303C34" w:rsidRPr="00303C34">
        <w:rPr>
          <w:rFonts w:ascii="Garamond" w:hAnsi="Garamond"/>
          <w:sz w:val="20"/>
          <w:szCs w:val="20"/>
        </w:rPr>
        <w:t>July</w:t>
      </w:r>
      <w:r w:rsidR="00943E61" w:rsidRPr="00303C34">
        <w:rPr>
          <w:rFonts w:ascii="Garamond" w:hAnsi="Garamond"/>
          <w:sz w:val="20"/>
          <w:szCs w:val="20"/>
        </w:rPr>
        <w:t xml:space="preserve"> 202</w:t>
      </w:r>
      <w:r w:rsidR="00303C34" w:rsidRPr="00303C34">
        <w:rPr>
          <w:rFonts w:ascii="Garamond" w:hAnsi="Garamond"/>
          <w:sz w:val="20"/>
          <w:szCs w:val="20"/>
        </w:rPr>
        <w:t>5</w:t>
      </w:r>
      <w:r w:rsidRPr="00303C34">
        <w:rPr>
          <w:rFonts w:ascii="Garamond" w:hAnsi="Garamond"/>
          <w:sz w:val="20"/>
          <w:szCs w:val="20"/>
        </w:rPr>
        <w:t>, Accepted for pub</w:t>
      </w:r>
      <w:r w:rsidR="00943E61" w:rsidRPr="00303C34">
        <w:rPr>
          <w:rFonts w:ascii="Garamond" w:hAnsi="Garamond"/>
          <w:sz w:val="20"/>
          <w:szCs w:val="20"/>
        </w:rPr>
        <w:t xml:space="preserve">lication </w:t>
      </w:r>
      <w:r w:rsidR="005D69B0" w:rsidRPr="00303C34">
        <w:rPr>
          <w:rFonts w:ascii="Garamond" w:hAnsi="Garamond"/>
          <w:sz w:val="20"/>
          <w:szCs w:val="20"/>
        </w:rPr>
        <w:t>1</w:t>
      </w:r>
      <w:r w:rsidR="009568EC" w:rsidRPr="00303C34">
        <w:rPr>
          <w:rFonts w:ascii="Garamond" w:hAnsi="Garamond"/>
          <w:sz w:val="20"/>
          <w:szCs w:val="20"/>
        </w:rPr>
        <w:t>0</w:t>
      </w:r>
      <w:r w:rsidR="0023667C" w:rsidRPr="00303C34">
        <w:rPr>
          <w:rFonts w:ascii="Garamond" w:hAnsi="Garamond"/>
          <w:sz w:val="20"/>
          <w:szCs w:val="20"/>
        </w:rPr>
        <w:t xml:space="preserve"> </w:t>
      </w:r>
      <w:r w:rsidR="009568EC" w:rsidRPr="00303C34">
        <w:rPr>
          <w:rFonts w:ascii="Garamond" w:hAnsi="Garamond"/>
          <w:sz w:val="20"/>
          <w:szCs w:val="20"/>
        </w:rPr>
        <w:t>March</w:t>
      </w:r>
      <w:r w:rsidRPr="00303C34">
        <w:rPr>
          <w:rFonts w:ascii="Garamond" w:hAnsi="Garamond"/>
          <w:sz w:val="20"/>
          <w:szCs w:val="20"/>
        </w:rPr>
        <w:t xml:space="preserve"> 202</w:t>
      </w:r>
      <w:r w:rsidR="009568EC" w:rsidRPr="00303C34">
        <w:rPr>
          <w:rFonts w:ascii="Garamond" w:hAnsi="Garamond"/>
          <w:sz w:val="20"/>
          <w:szCs w:val="20"/>
        </w:rPr>
        <w:t>6</w:t>
      </w:r>
    </w:p>
    <w:p w14:paraId="553715AB" w14:textId="77777777" w:rsidR="006732D7" w:rsidRPr="005F3F98" w:rsidRDefault="006732D7" w:rsidP="006732D7">
      <w:pPr>
        <w:jc w:val="both"/>
        <w:rPr>
          <w:rFonts w:ascii="Garamond" w:hAnsi="Garamond"/>
          <w:sz w:val="20"/>
          <w:szCs w:val="20"/>
        </w:rPr>
      </w:pPr>
      <w:r w:rsidRPr="005F3F98">
        <w:rPr>
          <w:rFonts w:ascii="Garamond" w:hAnsi="Garamond"/>
          <w:noProof/>
          <w:sz w:val="20"/>
          <w:szCs w:val="20"/>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7777777" w:rsidR="006732D7" w:rsidRPr="005F3F98" w:rsidRDefault="006732D7" w:rsidP="006732D7">
      <w:pPr>
        <w:jc w:val="both"/>
        <w:rPr>
          <w:rFonts w:ascii="Garamond" w:hAnsi="Garamond"/>
          <w:sz w:val="20"/>
          <w:szCs w:val="20"/>
        </w:rPr>
      </w:pPr>
      <w:r w:rsidRPr="005F3F98">
        <w:rPr>
          <w:rFonts w:ascii="Garamond" w:hAnsi="Garamond"/>
          <w:b/>
          <w:sz w:val="20"/>
          <w:szCs w:val="20"/>
        </w:rPr>
        <w:t>Abstract</w:t>
      </w:r>
    </w:p>
    <w:p w14:paraId="39D3B188" w14:textId="44447DAD" w:rsidR="0082467B" w:rsidRPr="0082467B" w:rsidRDefault="0017507F" w:rsidP="0082467B">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82467B" w:rsidRPr="0082467B">
        <w:rPr>
          <w:rFonts w:ascii="Garamond" w:eastAsiaTheme="minorHAnsi" w:hAnsi="Garamond" w:cstheme="minorHAnsi"/>
          <w:bCs/>
          <w:sz w:val="20"/>
          <w:szCs w:val="20"/>
        </w:rPr>
        <w:t xml:space="preserve"> Culturally appropriate psychological assessments are essential for ensuring accurate and valid measurement across diverse populations. This study aimed to adapt and validate the Unconditional Positive Self-Regard (UPSR) Scale for use in Indonesian school counseling settings. </w:t>
      </w:r>
    </w:p>
    <w:p w14:paraId="094E87E0" w14:textId="77777777" w:rsidR="0082467B" w:rsidRPr="0082467B" w:rsidRDefault="0082467B" w:rsidP="0082467B">
      <w:pPr>
        <w:jc w:val="both"/>
        <w:rPr>
          <w:rFonts w:ascii="Garamond" w:eastAsiaTheme="minorHAnsi" w:hAnsi="Garamond" w:cstheme="minorHAnsi"/>
          <w:bCs/>
          <w:sz w:val="20"/>
          <w:szCs w:val="20"/>
        </w:rPr>
      </w:pPr>
      <w:r w:rsidRPr="0082467B">
        <w:rPr>
          <w:rFonts w:ascii="Garamond" w:eastAsiaTheme="minorHAnsi" w:hAnsi="Garamond" w:cstheme="minorHAnsi"/>
          <w:b/>
          <w:sz w:val="20"/>
          <w:szCs w:val="20"/>
        </w:rPr>
        <w:t>Methods:</w:t>
      </w:r>
      <w:r w:rsidRPr="0082467B">
        <w:rPr>
          <w:rFonts w:ascii="Garamond" w:eastAsiaTheme="minorHAnsi" w:hAnsi="Garamond" w:cstheme="minorHAnsi"/>
          <w:bCs/>
          <w:sz w:val="20"/>
          <w:szCs w:val="20"/>
        </w:rPr>
        <w:t xml:space="preserve"> Following a rigorous forward–backward translation process, expert review, and dual certified translation, the Indonesian version of the UPSR was administered to 60 school counselors in Semarang Regency. Data were analyzed using Confirmatory Factor Analysis (CFA) in JASP to test the two-factor structure of the UPSR, consisting of self-regard and conditionality subdimensions, as proposed in the original scale. The analysis assumed multivariate normality and linearity.</w:t>
      </w:r>
    </w:p>
    <w:p w14:paraId="24BF4B35" w14:textId="77777777" w:rsidR="0082467B" w:rsidRPr="0082467B" w:rsidRDefault="0082467B" w:rsidP="0082467B">
      <w:pPr>
        <w:jc w:val="both"/>
        <w:rPr>
          <w:rFonts w:ascii="Garamond" w:eastAsiaTheme="minorHAnsi" w:hAnsi="Garamond" w:cstheme="minorHAnsi"/>
          <w:bCs/>
          <w:sz w:val="20"/>
          <w:szCs w:val="20"/>
        </w:rPr>
      </w:pPr>
      <w:r w:rsidRPr="0082467B">
        <w:rPr>
          <w:rFonts w:ascii="Garamond" w:eastAsiaTheme="minorHAnsi" w:hAnsi="Garamond" w:cstheme="minorHAnsi"/>
          <w:b/>
          <w:sz w:val="20"/>
          <w:szCs w:val="20"/>
        </w:rPr>
        <w:t>Results:</w:t>
      </w:r>
      <w:r w:rsidRPr="0082467B">
        <w:rPr>
          <w:rFonts w:ascii="Garamond" w:eastAsiaTheme="minorHAnsi" w:hAnsi="Garamond" w:cstheme="minorHAnsi"/>
          <w:bCs/>
          <w:sz w:val="20"/>
          <w:szCs w:val="20"/>
        </w:rPr>
        <w:t xml:space="preserve"> Model fit indices demonstrated acceptable to good fit (CFI = 0.91, GFI = 0.953, RMSEA = 0.064), while all item loadings were statistically significant. Despite minor challenges with reverse-coded items, the adapted scale showed strong internal consistency (α = 0.89) and construct validity. </w:t>
      </w:r>
    </w:p>
    <w:p w14:paraId="59B4F7E2" w14:textId="77777777" w:rsidR="0082467B" w:rsidRDefault="0082467B" w:rsidP="0082467B">
      <w:pPr>
        <w:jc w:val="both"/>
        <w:rPr>
          <w:rFonts w:ascii="Garamond" w:eastAsiaTheme="minorHAnsi" w:hAnsi="Garamond" w:cstheme="minorHAnsi"/>
          <w:bCs/>
          <w:sz w:val="20"/>
          <w:szCs w:val="20"/>
        </w:rPr>
      </w:pPr>
      <w:r w:rsidRPr="0082467B">
        <w:rPr>
          <w:rFonts w:ascii="Garamond" w:eastAsiaTheme="minorHAnsi" w:hAnsi="Garamond" w:cstheme="minorHAnsi"/>
          <w:b/>
          <w:sz w:val="20"/>
          <w:szCs w:val="20"/>
        </w:rPr>
        <w:t>Conclusion:</w:t>
      </w:r>
      <w:r w:rsidRPr="0082467B">
        <w:rPr>
          <w:rFonts w:ascii="Garamond" w:eastAsiaTheme="minorHAnsi" w:hAnsi="Garamond" w:cstheme="minorHAnsi"/>
          <w:bCs/>
          <w:sz w:val="20"/>
          <w:szCs w:val="20"/>
        </w:rPr>
        <w:t xml:space="preserve"> This validated Indonesian UPSR offers a culturally relevant and psychometrically sound tool for counselor training, reflective practice, and future research. The adaptation was conducted with written permission from the original author, ensuring ethical integrity and scholarly rigor.</w:t>
      </w:r>
    </w:p>
    <w:p w14:paraId="27D2978D" w14:textId="77777777" w:rsidR="0082467B" w:rsidRPr="0082467B" w:rsidRDefault="0082467B" w:rsidP="0082467B">
      <w:pPr>
        <w:jc w:val="both"/>
        <w:rPr>
          <w:rFonts w:ascii="Garamond" w:eastAsiaTheme="minorHAnsi" w:hAnsi="Garamond" w:cstheme="minorHAnsi"/>
          <w:bCs/>
          <w:sz w:val="20"/>
          <w:szCs w:val="20"/>
        </w:rPr>
      </w:pPr>
    </w:p>
    <w:p w14:paraId="0E968BD2" w14:textId="77777777" w:rsidR="0082467B" w:rsidRPr="0082467B" w:rsidRDefault="0082467B" w:rsidP="0082467B">
      <w:pPr>
        <w:jc w:val="both"/>
        <w:rPr>
          <w:rFonts w:ascii="Garamond" w:eastAsiaTheme="minorHAnsi" w:hAnsi="Garamond" w:cstheme="minorHAnsi"/>
          <w:bCs/>
          <w:sz w:val="20"/>
          <w:szCs w:val="20"/>
        </w:rPr>
      </w:pPr>
      <w:r w:rsidRPr="0082467B">
        <w:rPr>
          <w:rFonts w:ascii="Garamond" w:eastAsiaTheme="minorHAnsi" w:hAnsi="Garamond" w:cstheme="minorHAnsi"/>
          <w:b/>
          <w:bCs/>
          <w:sz w:val="20"/>
          <w:szCs w:val="20"/>
        </w:rPr>
        <w:t>Keywords:</w:t>
      </w:r>
      <w:r w:rsidRPr="0082467B">
        <w:rPr>
          <w:rFonts w:ascii="Garamond" w:eastAsiaTheme="minorHAnsi" w:hAnsi="Garamond" w:cstheme="minorHAnsi"/>
          <w:bCs/>
          <w:sz w:val="20"/>
          <w:szCs w:val="20"/>
        </w:rPr>
        <w:t xml:space="preserve"> UPSR, Instrument Adaptation, Construct Validity, CFA, School Counselors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BD1F9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648" w:gutter="0"/>
          <w:pgNumType w:start="60"/>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num="2" w:space="720"/>
          <w:titlePg/>
          <w:docGrid w:linePitch="360"/>
        </w:sectPr>
      </w:pPr>
    </w:p>
    <w:p w14:paraId="7EA89543" w14:textId="469F0992"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07B61A52">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769ACB3">
                <wp:simplePos x="0" y="0"/>
                <wp:positionH relativeFrom="margin">
                  <wp:posOffset>3254829</wp:posOffset>
                </wp:positionH>
                <wp:positionV relativeFrom="paragraph">
                  <wp:posOffset>30026</wp:posOffset>
                </wp:positionV>
                <wp:extent cx="2671639" cy="1012372"/>
                <wp:effectExtent l="0" t="0" r="8255" b="16510"/>
                <wp:wrapNone/>
                <wp:docPr id="8" name="Text Box 8"/>
                <wp:cNvGraphicFramePr/>
                <a:graphic xmlns:a="http://schemas.openxmlformats.org/drawingml/2006/main">
                  <a:graphicData uri="http://schemas.microsoft.com/office/word/2010/wordprocessingShape">
                    <wps:wsp>
                      <wps:cNvSpPr txBox="1"/>
                      <wps:spPr>
                        <a:xfrm>
                          <a:off x="0" y="0"/>
                          <a:ext cx="2671639" cy="1012372"/>
                        </a:xfrm>
                        <a:prstGeom prst="rect">
                          <a:avLst/>
                        </a:prstGeom>
                        <a:solidFill>
                          <a:sysClr val="window" lastClr="FFFFFF"/>
                        </a:solidFill>
                        <a:ln w="6350">
                          <a:solidFill>
                            <a:srgbClr val="70AD47">
                              <a:lumMod val="75000"/>
                            </a:srgbClr>
                          </a:solidFill>
                        </a:ln>
                      </wps:spPr>
                      <wps:txbx>
                        <w:txbxContent>
                          <w:p w14:paraId="65562D4D" w14:textId="00CEBE9C" w:rsidR="00576722" w:rsidRPr="00B825C9" w:rsidRDefault="00B825C9" w:rsidP="00BD1F9A">
                            <w:pPr>
                              <w:pBdr>
                                <w:bottom w:val="single" w:sz="6" w:space="1" w:color="auto"/>
                              </w:pBdr>
                              <w:rPr>
                                <w:rFonts w:ascii="Garamond" w:hAnsi="Garamond" w:cs="Segoe UI"/>
                                <w:i/>
                                <w:iCs/>
                                <w:sz w:val="20"/>
                                <w:szCs w:val="20"/>
                                <w:shd w:val="clear" w:color="auto" w:fill="FFFFFF"/>
                              </w:rPr>
                            </w:pPr>
                            <w:r w:rsidRPr="00B825C9">
                              <w:rPr>
                                <w:rFonts w:ascii="Garamond" w:hAnsi="Garamond" w:cs="Segoe UI"/>
                                <w:i/>
                                <w:iCs/>
                                <w:sz w:val="20"/>
                                <w:szCs w:val="20"/>
                                <w:shd w:val="clear" w:color="auto" w:fill="FFFFFF"/>
                              </w:rPr>
                              <w:t>Mulyani V, Sugiharto DYP, Purwanto E, Mulawarman.</w:t>
                            </w:r>
                            <w:r>
                              <w:rPr>
                                <w:rFonts w:ascii="Garamond" w:hAnsi="Garamond" w:cs="Segoe UI"/>
                                <w:i/>
                                <w:iCs/>
                                <w:sz w:val="20"/>
                                <w:szCs w:val="20"/>
                                <w:shd w:val="clear" w:color="auto" w:fill="FFFFFF"/>
                              </w:rPr>
                              <w:t xml:space="preserve"> </w:t>
                            </w:r>
                            <w:r w:rsidR="007020D4" w:rsidRPr="0092524D">
                              <w:rPr>
                                <w:rFonts w:ascii="Garamond" w:hAnsi="Garamond" w:cs="Segoe UI"/>
                                <w:sz w:val="20"/>
                                <w:szCs w:val="20"/>
                                <w:shd w:val="clear" w:color="auto" w:fill="FFFFFF"/>
                              </w:rPr>
                              <w:t>Adaptation and Validation of Unconditional Positive Self Regard for the Indonesian Counseling Context</w:t>
                            </w:r>
                            <w:r w:rsidR="007020D4" w:rsidRPr="007020D4">
                              <w:rPr>
                                <w:rFonts w:ascii="Garamond" w:hAnsi="Garamond" w:cs="Segoe UI"/>
                                <w:sz w:val="20"/>
                                <w:szCs w:val="20"/>
                                <w:shd w:val="clear" w:color="auto" w:fill="FFFFFF"/>
                              </w:rPr>
                              <w:t xml:space="preserve">. </w:t>
                            </w:r>
                            <w:r w:rsidR="00576722" w:rsidRPr="007020D4">
                              <w:rPr>
                                <w:rFonts w:ascii="Garamond" w:hAnsi="Garamond" w:cs="Segoe UI"/>
                                <w:color w:val="000000" w:themeColor="text1"/>
                                <w:sz w:val="20"/>
                                <w:szCs w:val="20"/>
                                <w:shd w:val="clear" w:color="auto" w:fill="FFFFFF"/>
                              </w:rPr>
                              <w:t>The Nigerian Health Journal 202</w:t>
                            </w:r>
                            <w:r w:rsidR="00347612" w:rsidRPr="007020D4">
                              <w:rPr>
                                <w:rFonts w:ascii="Garamond" w:hAnsi="Garamond" w:cs="Segoe UI"/>
                                <w:color w:val="000000" w:themeColor="text1"/>
                                <w:sz w:val="20"/>
                                <w:szCs w:val="20"/>
                                <w:shd w:val="clear" w:color="auto" w:fill="FFFFFF"/>
                              </w:rPr>
                              <w:t>6</w:t>
                            </w:r>
                            <w:r w:rsidR="00576722" w:rsidRPr="007020D4">
                              <w:rPr>
                                <w:rFonts w:ascii="Garamond" w:hAnsi="Garamond" w:cs="Segoe UI"/>
                                <w:color w:val="000000" w:themeColor="text1"/>
                                <w:sz w:val="20"/>
                                <w:szCs w:val="20"/>
                                <w:shd w:val="clear" w:color="auto" w:fill="FFFFFF"/>
                              </w:rPr>
                              <w:t>; 2</w:t>
                            </w:r>
                            <w:r w:rsidR="00347612" w:rsidRPr="007020D4">
                              <w:rPr>
                                <w:rFonts w:ascii="Garamond" w:hAnsi="Garamond" w:cs="Segoe UI"/>
                                <w:color w:val="000000" w:themeColor="text1"/>
                                <w:sz w:val="20"/>
                                <w:szCs w:val="20"/>
                                <w:shd w:val="clear" w:color="auto" w:fill="FFFFFF"/>
                              </w:rPr>
                              <w:t>6</w:t>
                            </w:r>
                            <w:r w:rsidR="00576722" w:rsidRPr="007020D4">
                              <w:rPr>
                                <w:rFonts w:ascii="Garamond" w:hAnsi="Garamond" w:cs="Segoe UI"/>
                                <w:color w:val="000000" w:themeColor="text1"/>
                                <w:sz w:val="20"/>
                                <w:szCs w:val="20"/>
                                <w:shd w:val="clear" w:color="auto" w:fill="FFFFFF"/>
                              </w:rPr>
                              <w:t>(</w:t>
                            </w:r>
                            <w:r w:rsidR="00347612" w:rsidRPr="007020D4">
                              <w:rPr>
                                <w:rFonts w:ascii="Garamond" w:hAnsi="Garamond" w:cs="Segoe UI"/>
                                <w:color w:val="000000" w:themeColor="text1"/>
                                <w:sz w:val="20"/>
                                <w:szCs w:val="20"/>
                                <w:shd w:val="clear" w:color="auto" w:fill="FFFFFF"/>
                              </w:rPr>
                              <w:t>1</w:t>
                            </w:r>
                            <w:r w:rsidR="00576722" w:rsidRPr="007020D4">
                              <w:rPr>
                                <w:rFonts w:ascii="Garamond" w:hAnsi="Garamond" w:cs="Segoe UI"/>
                                <w:color w:val="000000" w:themeColor="text1"/>
                                <w:sz w:val="20"/>
                                <w:szCs w:val="20"/>
                                <w:shd w:val="clear" w:color="auto" w:fill="FFFFFF"/>
                              </w:rPr>
                              <w:t>)</w:t>
                            </w:r>
                            <w:r w:rsidR="00BD1F9A">
                              <w:rPr>
                                <w:rFonts w:ascii="Garamond" w:hAnsi="Garamond" w:cs="Segoe UI"/>
                                <w:color w:val="000000" w:themeColor="text1"/>
                                <w:sz w:val="20"/>
                                <w:szCs w:val="20"/>
                                <w:shd w:val="clear" w:color="auto" w:fill="FFFFFF"/>
                              </w:rPr>
                              <w:t xml:space="preserve">:60 – 67. </w:t>
                            </w:r>
                            <w:hyperlink r:id="rId21" w:history="1">
                              <w:r w:rsidR="00BD1F9A" w:rsidRPr="008D4B15">
                                <w:rPr>
                                  <w:rStyle w:val="Hyperlink"/>
                                  <w:rFonts w:ascii="Garamond" w:hAnsi="Garamond" w:cs="Arial"/>
                                  <w:sz w:val="20"/>
                                  <w:szCs w:val="20"/>
                                </w:rPr>
                                <w:t>https://doi.org/10.71637/tnhj.v26i1.1143</w:t>
                              </w:r>
                            </w:hyperlink>
                          </w:p>
                          <w:p w14:paraId="68F037F5" w14:textId="77777777" w:rsidR="00DD3D36" w:rsidRPr="007020D4" w:rsidRDefault="00DD3D36" w:rsidP="007020D4">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35pt;width:210.35pt;height:79.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" fillcolor="window" strokecolor="#548235" strokeweight=".5pt">
                <v:textbox>
                  <w:txbxContent>
                    <w:p w14:paraId="65562D4D" w14:textId="00CEBE9C" w:rsidR="00576722" w:rsidRPr="00B825C9" w:rsidRDefault="00B825C9" w:rsidP="00BD1F9A">
                      <w:pPr>
                        <w:pBdr>
                          <w:bottom w:val="single" w:sz="6" w:space="1" w:color="auto"/>
                        </w:pBdr>
                        <w:rPr>
                          <w:rFonts w:ascii="Garamond" w:hAnsi="Garamond" w:cs="Segoe UI"/>
                          <w:i/>
                          <w:iCs/>
                          <w:sz w:val="20"/>
                          <w:szCs w:val="20"/>
                          <w:shd w:val="clear" w:color="auto" w:fill="FFFFFF"/>
                        </w:rPr>
                      </w:pPr>
                      <w:r w:rsidRPr="00B825C9">
                        <w:rPr>
                          <w:rFonts w:ascii="Garamond" w:hAnsi="Garamond" w:cs="Segoe UI"/>
                          <w:i/>
                          <w:iCs/>
                          <w:sz w:val="20"/>
                          <w:szCs w:val="20"/>
                          <w:shd w:val="clear" w:color="auto" w:fill="FFFFFF"/>
                        </w:rPr>
                        <w:t>Mulyani V, Sugiharto DYP, Purwanto E, Mulawarman.</w:t>
                      </w:r>
                      <w:r>
                        <w:rPr>
                          <w:rFonts w:ascii="Garamond" w:hAnsi="Garamond" w:cs="Segoe UI"/>
                          <w:i/>
                          <w:iCs/>
                          <w:sz w:val="20"/>
                          <w:szCs w:val="20"/>
                          <w:shd w:val="clear" w:color="auto" w:fill="FFFFFF"/>
                        </w:rPr>
                        <w:t xml:space="preserve"> </w:t>
                      </w:r>
                      <w:r w:rsidR="007020D4" w:rsidRPr="0092524D">
                        <w:rPr>
                          <w:rFonts w:ascii="Garamond" w:hAnsi="Garamond" w:cs="Segoe UI"/>
                          <w:sz w:val="20"/>
                          <w:szCs w:val="20"/>
                          <w:shd w:val="clear" w:color="auto" w:fill="FFFFFF"/>
                        </w:rPr>
                        <w:t>Adaptation and Validation of Unconditional Positive Self Regard for the Indonesian Counseling Context</w:t>
                      </w:r>
                      <w:r w:rsidR="007020D4" w:rsidRPr="007020D4">
                        <w:rPr>
                          <w:rFonts w:ascii="Garamond" w:hAnsi="Garamond" w:cs="Segoe UI"/>
                          <w:sz w:val="20"/>
                          <w:szCs w:val="20"/>
                          <w:shd w:val="clear" w:color="auto" w:fill="FFFFFF"/>
                        </w:rPr>
                        <w:t xml:space="preserve">. </w:t>
                      </w:r>
                      <w:r w:rsidR="00576722" w:rsidRPr="007020D4">
                        <w:rPr>
                          <w:rFonts w:ascii="Garamond" w:hAnsi="Garamond" w:cs="Segoe UI"/>
                          <w:color w:val="000000" w:themeColor="text1"/>
                          <w:sz w:val="20"/>
                          <w:szCs w:val="20"/>
                          <w:shd w:val="clear" w:color="auto" w:fill="FFFFFF"/>
                        </w:rPr>
                        <w:t>The Nigerian Health Journal 202</w:t>
                      </w:r>
                      <w:r w:rsidR="00347612" w:rsidRPr="007020D4">
                        <w:rPr>
                          <w:rFonts w:ascii="Garamond" w:hAnsi="Garamond" w:cs="Segoe UI"/>
                          <w:color w:val="000000" w:themeColor="text1"/>
                          <w:sz w:val="20"/>
                          <w:szCs w:val="20"/>
                          <w:shd w:val="clear" w:color="auto" w:fill="FFFFFF"/>
                        </w:rPr>
                        <w:t>6</w:t>
                      </w:r>
                      <w:r w:rsidR="00576722" w:rsidRPr="007020D4">
                        <w:rPr>
                          <w:rFonts w:ascii="Garamond" w:hAnsi="Garamond" w:cs="Segoe UI"/>
                          <w:color w:val="000000" w:themeColor="text1"/>
                          <w:sz w:val="20"/>
                          <w:szCs w:val="20"/>
                          <w:shd w:val="clear" w:color="auto" w:fill="FFFFFF"/>
                        </w:rPr>
                        <w:t>; 2</w:t>
                      </w:r>
                      <w:r w:rsidR="00347612" w:rsidRPr="007020D4">
                        <w:rPr>
                          <w:rFonts w:ascii="Garamond" w:hAnsi="Garamond" w:cs="Segoe UI"/>
                          <w:color w:val="000000" w:themeColor="text1"/>
                          <w:sz w:val="20"/>
                          <w:szCs w:val="20"/>
                          <w:shd w:val="clear" w:color="auto" w:fill="FFFFFF"/>
                        </w:rPr>
                        <w:t>6</w:t>
                      </w:r>
                      <w:r w:rsidR="00576722" w:rsidRPr="007020D4">
                        <w:rPr>
                          <w:rFonts w:ascii="Garamond" w:hAnsi="Garamond" w:cs="Segoe UI"/>
                          <w:color w:val="000000" w:themeColor="text1"/>
                          <w:sz w:val="20"/>
                          <w:szCs w:val="20"/>
                          <w:shd w:val="clear" w:color="auto" w:fill="FFFFFF"/>
                        </w:rPr>
                        <w:t>(</w:t>
                      </w:r>
                      <w:r w:rsidR="00347612" w:rsidRPr="007020D4">
                        <w:rPr>
                          <w:rFonts w:ascii="Garamond" w:hAnsi="Garamond" w:cs="Segoe UI"/>
                          <w:color w:val="000000" w:themeColor="text1"/>
                          <w:sz w:val="20"/>
                          <w:szCs w:val="20"/>
                          <w:shd w:val="clear" w:color="auto" w:fill="FFFFFF"/>
                        </w:rPr>
                        <w:t>1</w:t>
                      </w:r>
                      <w:r w:rsidR="00576722" w:rsidRPr="007020D4">
                        <w:rPr>
                          <w:rFonts w:ascii="Garamond" w:hAnsi="Garamond" w:cs="Segoe UI"/>
                          <w:color w:val="000000" w:themeColor="text1"/>
                          <w:sz w:val="20"/>
                          <w:szCs w:val="20"/>
                          <w:shd w:val="clear" w:color="auto" w:fill="FFFFFF"/>
                        </w:rPr>
                        <w:t>)</w:t>
                      </w:r>
                      <w:r w:rsidR="00BD1F9A">
                        <w:rPr>
                          <w:rFonts w:ascii="Garamond" w:hAnsi="Garamond" w:cs="Segoe UI"/>
                          <w:color w:val="000000" w:themeColor="text1"/>
                          <w:sz w:val="20"/>
                          <w:szCs w:val="20"/>
                          <w:shd w:val="clear" w:color="auto" w:fill="FFFFFF"/>
                        </w:rPr>
                        <w:t xml:space="preserve">:60 – 67. </w:t>
                      </w:r>
                      <w:hyperlink r:id="rId22" w:history="1">
                        <w:r w:rsidR="00BD1F9A" w:rsidRPr="008D4B15">
                          <w:rPr>
                            <w:rStyle w:val="Hyperlink"/>
                            <w:rFonts w:ascii="Garamond" w:hAnsi="Garamond" w:cs="Arial"/>
                            <w:sz w:val="20"/>
                            <w:szCs w:val="20"/>
                          </w:rPr>
                          <w:t>https://doi.org/10.71637/tnhj.v26i1.1143</w:t>
                        </w:r>
                      </w:hyperlink>
                    </w:p>
                    <w:p w14:paraId="68F037F5" w14:textId="77777777" w:rsidR="00DD3D36" w:rsidRPr="007020D4" w:rsidRDefault="00DD3D36" w:rsidP="007020D4">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3"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34804C6" w:rsidR="000720E5" w:rsidRDefault="00F33AF5"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6F11FFDF" w14:textId="68B34E13" w:rsidR="00BB6945" w:rsidRDefault="00BB6945" w:rsidP="00BB6945">
      <w:pPr>
        <w:spacing w:line="259" w:lineRule="auto"/>
        <w:jc w:val="both"/>
        <w:rPr>
          <w:rFonts w:ascii="Garamond" w:hAnsi="Garamond"/>
          <w:bCs/>
          <w:iCs/>
          <w:sz w:val="20"/>
          <w:szCs w:val="20"/>
        </w:rPr>
      </w:pPr>
      <w:r w:rsidRPr="00BB6945">
        <w:rPr>
          <w:rFonts w:ascii="Garamond" w:hAnsi="Garamond"/>
          <w:bCs/>
          <w:iCs/>
          <w:sz w:val="20"/>
          <w:szCs w:val="20"/>
        </w:rPr>
        <w:t>Unconditional Positive Self-Regard (UPSR) is a foundational concept within person-centered theory that reflects an individual’s capacity to accept themselves without condition, judgment, or dependency on performance, external validation, or conformity to social standards</w:t>
      </w:r>
      <w:r w:rsidR="00F33AF5">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"/>
          <w:id w:val="-1535496460"/>
          <w:placeholder>
            <w:docPart w:val="B90E6F1E0B9E47E4AB49030D6B241C35"/>
          </w:placeholder>
        </w:sdtPr>
        <w:sdtContent>
          <w:r w:rsidRPr="00BB6945">
            <w:rPr>
              <w:rFonts w:ascii="Garamond" w:hAnsi="Garamond"/>
              <w:bCs/>
              <w:iCs/>
              <w:sz w:val="20"/>
              <w:szCs w:val="20"/>
              <w:vertAlign w:val="superscript"/>
            </w:rPr>
            <w:t>1</w:t>
          </w:r>
        </w:sdtContent>
      </w:sdt>
      <w:r w:rsidRPr="00BB6945">
        <w:rPr>
          <w:rFonts w:ascii="Garamond" w:hAnsi="Garamond"/>
          <w:bCs/>
          <w:iCs/>
          <w:sz w:val="20"/>
          <w:szCs w:val="20"/>
        </w:rPr>
        <w:t xml:space="preserve"> It refers to a stable, non-contingent form of self-acceptance — in contrast to conditional self-worth — and has long been seen as a key indicator of psychological maturity, emotional resilience, and openness to personal growth</w:t>
      </w:r>
      <w:r w:rsidR="00F33AF5">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"/>
          <w:id w:val="-1160694081"/>
          <w:placeholder>
            <w:docPart w:val="B90E6F1E0B9E47E4AB49030D6B241C35"/>
          </w:placeholder>
        </w:sdtPr>
        <w:sdtContent>
          <w:r w:rsidRPr="00BB6945">
            <w:rPr>
              <w:rFonts w:ascii="Garamond" w:hAnsi="Garamond"/>
              <w:bCs/>
              <w:iCs/>
              <w:sz w:val="20"/>
              <w:szCs w:val="20"/>
              <w:vertAlign w:val="superscript"/>
            </w:rPr>
            <w:t>1,2</w:t>
          </w:r>
        </w:sdtContent>
      </w:sdt>
      <w:r w:rsidRPr="00BB6945">
        <w:rPr>
          <w:rFonts w:ascii="Garamond" w:hAnsi="Garamond"/>
          <w:bCs/>
          <w:iCs/>
          <w:sz w:val="20"/>
          <w:szCs w:val="20"/>
        </w:rPr>
        <w:t xml:space="preserve"> UPSR plays a central role in Rogers’ therapeutic change model, which posits that under the conditions of congruence, empathy, and unconditional positive regard, individuals experience increased UPSR and reduced internalized conditions of worth, leading to greater autonomy and self-trust</w:t>
      </w:r>
      <w:r w:rsidR="00F33AF5">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"/>
          <w:id w:val="1272522005"/>
          <w:placeholder>
            <w:docPart w:val="B90E6F1E0B9E47E4AB49030D6B241C35"/>
          </w:placeholder>
        </w:sdtPr>
        <w:sdtContent>
          <w:r w:rsidRPr="00BB6945">
            <w:rPr>
              <w:rFonts w:ascii="Garamond" w:hAnsi="Garamond"/>
              <w:bCs/>
              <w:iCs/>
              <w:sz w:val="20"/>
              <w:szCs w:val="20"/>
              <w:vertAlign w:val="superscript"/>
            </w:rPr>
            <w:t>1,3</w:t>
          </w:r>
        </w:sdtContent>
      </w:sdt>
      <w:r w:rsidRPr="00BB6945">
        <w:rPr>
          <w:rFonts w:ascii="Garamond" w:hAnsi="Garamond"/>
          <w:bCs/>
          <w:iCs/>
          <w:sz w:val="20"/>
          <w:szCs w:val="20"/>
        </w:rPr>
        <w:t xml:space="preserve"> In other words, UPSR functions not only as an internal attitude but as a marker of therapeutic progress and self-actualization.</w:t>
      </w:r>
    </w:p>
    <w:p w14:paraId="5A3B4F22" w14:textId="42A1AE1D" w:rsidR="00EF5318" w:rsidRDefault="00BB6945" w:rsidP="00BB6945">
      <w:pPr>
        <w:spacing w:line="259" w:lineRule="auto"/>
        <w:jc w:val="both"/>
        <w:rPr>
          <w:rFonts w:ascii="Garamond" w:hAnsi="Garamond"/>
          <w:bCs/>
          <w:iCs/>
          <w:sz w:val="20"/>
          <w:szCs w:val="20"/>
        </w:rPr>
      </w:pPr>
      <w:r w:rsidRPr="00BB6945">
        <w:rPr>
          <w:rFonts w:ascii="Garamond" w:hAnsi="Garamond"/>
          <w:bCs/>
          <w:iCs/>
          <w:sz w:val="20"/>
          <w:szCs w:val="20"/>
        </w:rPr>
        <w:t>Patterson and Joseph developed the first empirical measure of UPSR, distinguishing it from global self-esteem by emphasizing its unconditional nature — a feature not adequately captured in prior self-report scales</w:t>
      </w:r>
      <w:r w:rsidR="00F33AF5">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"/>
          <w:id w:val="-2058533614"/>
          <w:placeholder>
            <w:docPart w:val="241F1A8F28AA414BAA369EB0AB476F06"/>
          </w:placeholder>
        </w:sdtPr>
        <w:sdtContent>
          <w:r w:rsidRPr="00BB6945">
            <w:rPr>
              <w:rFonts w:ascii="Garamond" w:hAnsi="Garamond"/>
              <w:bCs/>
              <w:iCs/>
              <w:sz w:val="20"/>
              <w:szCs w:val="20"/>
              <w:vertAlign w:val="superscript"/>
            </w:rPr>
            <w:t>2</w:t>
          </w:r>
        </w:sdtContent>
      </w:sdt>
      <w:r w:rsidRPr="00BB6945">
        <w:rPr>
          <w:rFonts w:ascii="Garamond" w:hAnsi="Garamond"/>
          <w:bCs/>
          <w:iCs/>
          <w:sz w:val="20"/>
          <w:szCs w:val="20"/>
        </w:rPr>
        <w:t xml:space="preserve"> Through a series of rigorous psychometric analyses, they identified two core components of UPSR: self-regard (affective/cognitive evaluation of self-worth) and conditionality (the degree to which that evaluation is stable or fluctuates based on external outcomes). Their 12-item scale demonstrated strong reliability (α &gt; .79) and both convergent and discriminant validity. Although UPSR has been validated in Western academic populations, no equivalent validated instrument exists in Indonesia—particularly one designed for use in counseling and psychoeducational settings. This gap is especially limiting for guidance teachers and school-based counselors who operate in a cultural context where self-perception may be deeply influenced by social norms and religious-moral expectations. In such settings, developing a culturally adapted instrument to measure UPSR is both a theoretical and practical necessity. </w:t>
      </w:r>
    </w:p>
    <w:p w14:paraId="1AFF2AC5" w14:textId="4FA16BE5" w:rsidR="00BB6945" w:rsidRDefault="00BB6945" w:rsidP="00BB6945">
      <w:pPr>
        <w:spacing w:line="259" w:lineRule="auto"/>
        <w:jc w:val="both"/>
        <w:rPr>
          <w:rFonts w:ascii="Garamond" w:hAnsi="Garamond"/>
          <w:bCs/>
          <w:iCs/>
          <w:sz w:val="20"/>
          <w:szCs w:val="20"/>
        </w:rPr>
      </w:pPr>
      <w:r w:rsidRPr="00BB6945">
        <w:rPr>
          <w:rFonts w:ascii="Garamond" w:hAnsi="Garamond"/>
          <w:bCs/>
          <w:iCs/>
          <w:sz w:val="20"/>
          <w:szCs w:val="20"/>
        </w:rPr>
        <w:t xml:space="preserve">Recent advances in neuroscience further reinforce the importance of self-regulation and emotional self-acceptance. The Magic of Encounter bridged Rogers' principles with neurobiological processes such as prefrontal integration, limbic resonance, and mirror neuron activation </w:t>
      </w:r>
      <w:sdt>
        <w:sdtPr>
          <w:rPr>
            <w:rFonts w:ascii="Garamond" w:hAnsi="Garamond"/>
            <w:bCs/>
            <w:iCs/>
            <w:sz w:val="20"/>
            <w:szCs w:val="20"/>
            <w:vertAlign w:val="superscript"/>
          </w:rPr>
          <w:tag w:val="MENDELEY_CITATION_v3_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"/>
          <w:id w:val="-1314638974"/>
          <w:placeholder>
            <w:docPart w:val="459DD59C445B40F3AD642C2580611353"/>
          </w:placeholder>
        </w:sdtPr>
        <w:sdtContent>
          <w:r w:rsidRPr="00BB6945">
            <w:rPr>
              <w:rFonts w:ascii="Garamond" w:hAnsi="Garamond"/>
              <w:bCs/>
              <w:iCs/>
              <w:sz w:val="20"/>
              <w:szCs w:val="20"/>
              <w:vertAlign w:val="superscript"/>
            </w:rPr>
            <w:t>4</w:t>
          </w:r>
        </w:sdtContent>
      </w:sdt>
      <w:r w:rsidRPr="00BB6945">
        <w:rPr>
          <w:rFonts w:ascii="Garamond" w:hAnsi="Garamond"/>
          <w:bCs/>
          <w:iCs/>
          <w:sz w:val="20"/>
          <w:szCs w:val="20"/>
        </w:rPr>
        <w:t xml:space="preserve">. Within this model, unconditional acceptance of self and others is associated with lower amygdala reactivity, increased oxytocin levels, and </w:t>
      </w:r>
      <w:r w:rsidRPr="00BB6945">
        <w:rPr>
          <w:rFonts w:ascii="Garamond" w:hAnsi="Garamond"/>
          <w:bCs/>
          <w:iCs/>
          <w:sz w:val="20"/>
          <w:szCs w:val="20"/>
        </w:rPr>
        <w:t>reduced reactive defensiveness, contributing to interpersonal safety, resilience, and learning capacity.</w:t>
      </w:r>
    </w:p>
    <w:p w14:paraId="110DCE4E" w14:textId="3A765E7C" w:rsidR="00BB6945" w:rsidRPr="00BB6945" w:rsidRDefault="00BB6945" w:rsidP="00BB6945">
      <w:pPr>
        <w:spacing w:line="259" w:lineRule="auto"/>
        <w:jc w:val="both"/>
        <w:rPr>
          <w:rFonts w:ascii="Garamond" w:hAnsi="Garamond"/>
          <w:bCs/>
          <w:iCs/>
          <w:sz w:val="20"/>
          <w:szCs w:val="20"/>
        </w:rPr>
      </w:pPr>
      <w:r w:rsidRPr="00BB6945">
        <w:rPr>
          <w:rFonts w:ascii="Garamond" w:hAnsi="Garamond"/>
          <w:bCs/>
          <w:iCs/>
          <w:sz w:val="20"/>
          <w:szCs w:val="20"/>
        </w:rPr>
        <w:t>While Lux laid foundational ideas for integrating neuroscience with the person-centered approach, his work was primarily theoretical and psychotherapy-focused</w:t>
      </w:r>
      <w:r w:rsidR="00F33AF5">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"/>
          <w:id w:val="-603643968"/>
          <w:placeholder>
            <w:docPart w:val="1AF898AECF3E4B4085452C55A6ACE56A"/>
          </w:placeholder>
        </w:sdtPr>
        <w:sdtContent>
          <w:r w:rsidRPr="00BB6945">
            <w:rPr>
              <w:rFonts w:ascii="Garamond" w:hAnsi="Garamond"/>
              <w:bCs/>
              <w:iCs/>
              <w:sz w:val="20"/>
              <w:szCs w:val="20"/>
              <w:vertAlign w:val="superscript"/>
            </w:rPr>
            <w:t>4</w:t>
          </w:r>
        </w:sdtContent>
      </w:sdt>
      <w:r w:rsidRPr="00BB6945">
        <w:rPr>
          <w:rFonts w:ascii="Garamond" w:hAnsi="Garamond"/>
          <w:bCs/>
          <w:iCs/>
          <w:sz w:val="20"/>
          <w:szCs w:val="20"/>
        </w:rPr>
        <w:t xml:space="preserve"> Building on this, the current author developed the Person-Centered Neuroeducation (PCN) model to specifically address the needs of school counselors. This model synthesizes Rogers' psychological framework with neuroscientific insights and contextualizes them within the competencies required in educational guidance. The PCN model positions UPSR not only as a therapeutic ideal but also as a measurable and trainable capacity essential for emotional regulation, professional presence, and student support. Based on this framework, this study aims to adapt and validate the UPSR scale for the Indonesian context. Specifically, the study seeks to examine the factorial structure of the Indonesian version of the UPSR scale, and to assess the scale’s internal consistency, convergent validity, and model fit in a sample of Indonesian guidance teachers. These research objectives are pursued to ensure that the adapted instrument retains theoretical fidelity while achieving psychometric robustness in a new cultural context. The significance of this study lies in its potential to provide a culturally valid tool for assessing unconditional self-acceptance—an attribute closely tied to psychological well-being, professional identity, and ethical conduct in the helping professions. A validated UPSR scale can enhance counselor training, educational intervention design, and empirical research, thereby contributing to the advancement of person-centered practices in Indonesian counseling and educational environments.</w:t>
      </w:r>
    </w:p>
    <w:p w14:paraId="2CE9907B" w14:textId="77777777" w:rsidR="00BB6945" w:rsidRDefault="00BB6945" w:rsidP="00BB6945">
      <w:pPr>
        <w:spacing w:line="259" w:lineRule="auto"/>
        <w:jc w:val="both"/>
        <w:rPr>
          <w:rFonts w:ascii="Garamond" w:hAnsi="Garamond"/>
          <w:b/>
          <w:bCs/>
          <w:iCs/>
          <w:sz w:val="20"/>
          <w:szCs w:val="20"/>
        </w:rPr>
      </w:pPr>
    </w:p>
    <w:p w14:paraId="59B051A3" w14:textId="09441CAC" w:rsidR="00BB6945" w:rsidRPr="00BB6945" w:rsidRDefault="00F33AF5" w:rsidP="00BB6945">
      <w:pPr>
        <w:spacing w:line="259" w:lineRule="auto"/>
        <w:jc w:val="both"/>
        <w:rPr>
          <w:rFonts w:ascii="Garamond" w:hAnsi="Garamond"/>
          <w:b/>
          <w:bCs/>
          <w:iCs/>
          <w:sz w:val="22"/>
          <w:szCs w:val="22"/>
        </w:rPr>
      </w:pPr>
      <w:r w:rsidRPr="00BB6945">
        <w:rPr>
          <w:rFonts w:ascii="Garamond" w:hAnsi="Garamond"/>
          <w:b/>
          <w:bCs/>
          <w:iCs/>
          <w:sz w:val="22"/>
          <w:szCs w:val="22"/>
        </w:rPr>
        <w:t>METHODOLOGY</w:t>
      </w:r>
    </w:p>
    <w:p w14:paraId="09880A6C" w14:textId="07579181" w:rsidR="00BB6945" w:rsidRPr="00BB6945" w:rsidRDefault="00BB6945" w:rsidP="00BB6945">
      <w:pPr>
        <w:spacing w:line="259" w:lineRule="auto"/>
        <w:jc w:val="both"/>
        <w:rPr>
          <w:rFonts w:ascii="Garamond" w:hAnsi="Garamond"/>
          <w:bCs/>
          <w:iCs/>
          <w:sz w:val="20"/>
          <w:szCs w:val="20"/>
        </w:rPr>
      </w:pPr>
      <w:r w:rsidRPr="00F33AF5">
        <w:rPr>
          <w:rFonts w:ascii="Garamond" w:hAnsi="Garamond"/>
          <w:b/>
          <w:i/>
          <w:sz w:val="20"/>
          <w:szCs w:val="20"/>
        </w:rPr>
        <w:t>Participants</w:t>
      </w:r>
      <w:r w:rsidR="00F33AF5" w:rsidRPr="00F33AF5">
        <w:rPr>
          <w:rFonts w:ascii="Garamond" w:hAnsi="Garamond"/>
          <w:b/>
          <w:i/>
          <w:sz w:val="20"/>
          <w:szCs w:val="20"/>
        </w:rPr>
        <w:t>:</w:t>
      </w:r>
      <w:r w:rsidR="00F33AF5">
        <w:rPr>
          <w:rFonts w:ascii="Garamond" w:hAnsi="Garamond"/>
          <w:bCs/>
          <w:iCs/>
          <w:sz w:val="20"/>
          <w:szCs w:val="20"/>
        </w:rPr>
        <w:t xml:space="preserve"> </w:t>
      </w:r>
      <w:r w:rsidRPr="00BB6945">
        <w:rPr>
          <w:rFonts w:ascii="Garamond" w:hAnsi="Garamond"/>
          <w:bCs/>
          <w:iCs/>
          <w:sz w:val="20"/>
          <w:szCs w:val="20"/>
        </w:rPr>
        <w:t>This cross-sectional survey involved 60 school counselors from junior high schools across Semarang Regency and Semarang City, Central Java, Indonesia. Since most schools employ only one or two counselors, participants were recruited across multiple schools. The sample size satisfied adequacy for CFA, following the rule of at least five participants per item for the 12-item scale. Schools were selected through purposive sampling to represent both public and private institutions. Participants were predominantly female, and no restrictions were placed on length of teaching or counseling experience, resulting in a diverse and inclusive sample of practitioners.</w:t>
      </w:r>
    </w:p>
    <w:p w14:paraId="20644B50" w14:textId="77777777" w:rsidR="00EF5318" w:rsidRDefault="00EF5318" w:rsidP="00BB6945">
      <w:pPr>
        <w:spacing w:line="259" w:lineRule="auto"/>
        <w:jc w:val="both"/>
        <w:rPr>
          <w:rFonts w:ascii="Garamond" w:hAnsi="Garamond"/>
          <w:bCs/>
          <w:iCs/>
          <w:sz w:val="20"/>
          <w:szCs w:val="20"/>
        </w:rPr>
      </w:pPr>
    </w:p>
    <w:p w14:paraId="2E1B0654" w14:textId="087A3C8C" w:rsidR="00EF5318" w:rsidRDefault="00BB6945" w:rsidP="00BB6945">
      <w:pPr>
        <w:spacing w:line="259" w:lineRule="auto"/>
        <w:jc w:val="both"/>
        <w:rPr>
          <w:rFonts w:ascii="Garamond" w:hAnsi="Garamond"/>
          <w:bCs/>
          <w:iCs/>
          <w:sz w:val="20"/>
          <w:szCs w:val="20"/>
        </w:rPr>
      </w:pPr>
      <w:r w:rsidRPr="00F33AF5">
        <w:rPr>
          <w:rFonts w:ascii="Garamond" w:hAnsi="Garamond"/>
          <w:b/>
          <w:i/>
          <w:sz w:val="20"/>
          <w:szCs w:val="20"/>
        </w:rPr>
        <w:lastRenderedPageBreak/>
        <w:t>Instrument Translation and Adaptation</w:t>
      </w:r>
      <w:r w:rsidR="00F33AF5" w:rsidRPr="00F33AF5">
        <w:rPr>
          <w:rFonts w:ascii="Garamond" w:hAnsi="Garamond"/>
          <w:b/>
          <w:i/>
          <w:sz w:val="20"/>
          <w:szCs w:val="20"/>
        </w:rPr>
        <w:t>:</w:t>
      </w:r>
      <w:r w:rsidR="00F33AF5">
        <w:rPr>
          <w:rFonts w:ascii="Garamond" w:hAnsi="Garamond"/>
          <w:b/>
          <w:iCs/>
          <w:sz w:val="20"/>
          <w:szCs w:val="20"/>
        </w:rPr>
        <w:t xml:space="preserve"> </w:t>
      </w:r>
      <w:r w:rsidRPr="00BB6945">
        <w:rPr>
          <w:rFonts w:ascii="Garamond" w:hAnsi="Garamond"/>
          <w:bCs/>
          <w:iCs/>
          <w:sz w:val="20"/>
          <w:szCs w:val="20"/>
        </w:rPr>
        <w:t>The original UPSR scale developed by Patterson and Joseph</w:t>
      </w:r>
      <w:r w:rsidR="00F33AF5">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"/>
          <w:id w:val="1026287646"/>
          <w:placeholder>
            <w:docPart w:val="B90E6F1E0B9E47E4AB49030D6B241C35"/>
          </w:placeholder>
        </w:sdtPr>
        <w:sdtContent>
          <w:r w:rsidRPr="00BB6945">
            <w:rPr>
              <w:rFonts w:ascii="Garamond" w:hAnsi="Garamond"/>
              <w:bCs/>
              <w:iCs/>
              <w:sz w:val="20"/>
              <w:szCs w:val="20"/>
              <w:vertAlign w:val="superscript"/>
            </w:rPr>
            <w:t>2</w:t>
          </w:r>
        </w:sdtContent>
      </w:sdt>
      <w:r w:rsidRPr="00BB6945">
        <w:rPr>
          <w:rFonts w:ascii="Garamond" w:hAnsi="Garamond"/>
          <w:bCs/>
          <w:iCs/>
          <w:sz w:val="20"/>
          <w:szCs w:val="20"/>
        </w:rPr>
        <w:t xml:space="preserve"> comprising 12 items, was translated into Bahasa Indonesia using a rigorous forward and backward translation method. Initial translation was conducted by bilingual counseling experts, followed by independent back-translation. Discrepancies between versions were reviewed and resolved through panel discussions with six experts in counseling, psychology, and linguistics to ensure conceptual, semantic, and cultural equivalence. </w:t>
      </w:r>
    </w:p>
    <w:p w14:paraId="5AA0BA9A" w14:textId="1F60D313" w:rsidR="00EF5318" w:rsidRDefault="00BB6945" w:rsidP="00BB6945">
      <w:pPr>
        <w:spacing w:line="259" w:lineRule="auto"/>
        <w:jc w:val="both"/>
        <w:rPr>
          <w:rFonts w:ascii="Garamond" w:hAnsi="Garamond"/>
          <w:bCs/>
          <w:iCs/>
          <w:sz w:val="20"/>
          <w:szCs w:val="20"/>
        </w:rPr>
      </w:pPr>
      <w:r w:rsidRPr="00BB6945">
        <w:rPr>
          <w:rFonts w:ascii="Garamond" w:hAnsi="Garamond"/>
          <w:bCs/>
          <w:iCs/>
          <w:sz w:val="20"/>
          <w:szCs w:val="20"/>
        </w:rPr>
        <w:t>Face and content validity were evaluated through expert judgment, while readability and comprehensibility were tested using the Cloze procedure with a small sample of representative respondents. Minor linguistic adjustments were made to enhance clarity without altering the construct being measured. The final instrument used in this study was verified through two official translation processes: English to Bahasa Indonesia by D. Susy Wulandari, S.S., from a legally authorized translation institution, and Bahasa Indonesia to English by Dicky Priyana, S.</w:t>
      </w:r>
      <w:r w:rsidR="00F33AF5">
        <w:rPr>
          <w:rFonts w:ascii="Garamond" w:hAnsi="Garamond"/>
          <w:bCs/>
          <w:iCs/>
          <w:sz w:val="20"/>
          <w:szCs w:val="20"/>
        </w:rPr>
        <w:t xml:space="preserve"> </w:t>
      </w:r>
      <w:r w:rsidRPr="00BB6945">
        <w:rPr>
          <w:rFonts w:ascii="Garamond" w:hAnsi="Garamond"/>
          <w:bCs/>
          <w:iCs/>
          <w:sz w:val="20"/>
          <w:szCs w:val="20"/>
        </w:rPr>
        <w:t>Hum., a sworn translator certified by the Ministry of Law and Human Rights of the Republic of Indonesia. This dual verification ensured linguistic accuracy and conceptual fidelity between the original and adapted versions.</w:t>
      </w:r>
    </w:p>
    <w:p w14:paraId="2D4C5BC4" w14:textId="4728CD6B" w:rsidR="00EF5318" w:rsidRPr="00F33AF5" w:rsidRDefault="00BB6945" w:rsidP="00BB6945">
      <w:pPr>
        <w:spacing w:line="259" w:lineRule="auto"/>
        <w:jc w:val="both"/>
        <w:rPr>
          <w:rFonts w:ascii="Garamond" w:hAnsi="Garamond"/>
          <w:bCs/>
          <w:iCs/>
          <w:sz w:val="20"/>
          <w:szCs w:val="20"/>
        </w:rPr>
      </w:pPr>
      <w:r w:rsidRPr="00F33AF5">
        <w:rPr>
          <w:rFonts w:ascii="Garamond" w:hAnsi="Garamond"/>
          <w:b/>
          <w:i/>
          <w:sz w:val="20"/>
          <w:szCs w:val="20"/>
        </w:rPr>
        <w:t>Procedure</w:t>
      </w:r>
      <w:r w:rsidR="00F33AF5" w:rsidRPr="00F33AF5">
        <w:rPr>
          <w:rFonts w:ascii="Garamond" w:hAnsi="Garamond"/>
          <w:b/>
          <w:i/>
          <w:sz w:val="20"/>
          <w:szCs w:val="20"/>
        </w:rPr>
        <w:t>:</w:t>
      </w:r>
      <w:r w:rsidR="00F33AF5">
        <w:rPr>
          <w:rFonts w:ascii="Garamond" w:hAnsi="Garamond"/>
          <w:b/>
          <w:iCs/>
          <w:sz w:val="20"/>
          <w:szCs w:val="20"/>
        </w:rPr>
        <w:t xml:space="preserve"> </w:t>
      </w:r>
      <w:r w:rsidRPr="00BB6945">
        <w:rPr>
          <w:rFonts w:ascii="Garamond" w:hAnsi="Garamond"/>
          <w:bCs/>
          <w:iCs/>
          <w:sz w:val="20"/>
          <w:szCs w:val="20"/>
        </w:rPr>
        <w:t>After obtaining permission from the heads of the Guidance and Counseling Teachers Association (MGBK) of Semarang Regency and Semarang City, the Indonesian version of the UPSR instrument was distributed online via Google Forms in a structured questionnaire format. Data collection took place over two weeks. This research adhered to ethical principles for psychological research: participants were informed of the study’s purpose, assured of anonymity, and consent was implied through voluntary submission of the form. To ensure authenticity, counselors’ names and school affiliations were recorded, and completed data were then exported to JASP for analysis. Respondents were briefed on the purpose of the study and provided informed consent.</w:t>
      </w:r>
    </w:p>
    <w:p w14:paraId="4E760E6B" w14:textId="42C127F5" w:rsidR="00BB6945" w:rsidRPr="00BB6945" w:rsidRDefault="00BB6945" w:rsidP="00BB6945">
      <w:pPr>
        <w:spacing w:line="259" w:lineRule="auto"/>
        <w:jc w:val="both"/>
        <w:rPr>
          <w:rFonts w:ascii="Garamond" w:hAnsi="Garamond"/>
          <w:bCs/>
          <w:iCs/>
          <w:sz w:val="20"/>
          <w:szCs w:val="20"/>
        </w:rPr>
      </w:pPr>
      <w:r w:rsidRPr="00F33AF5">
        <w:rPr>
          <w:rFonts w:ascii="Garamond" w:hAnsi="Garamond"/>
          <w:b/>
          <w:bCs/>
          <w:i/>
          <w:sz w:val="20"/>
          <w:szCs w:val="20"/>
        </w:rPr>
        <w:t>Data Analysis</w:t>
      </w:r>
      <w:r w:rsidR="00F33AF5" w:rsidRPr="00F33AF5">
        <w:rPr>
          <w:rFonts w:ascii="Garamond" w:hAnsi="Garamond"/>
          <w:b/>
          <w:bCs/>
          <w:i/>
          <w:sz w:val="20"/>
          <w:szCs w:val="20"/>
        </w:rPr>
        <w:t>:</w:t>
      </w:r>
      <w:r w:rsidR="00F33AF5">
        <w:rPr>
          <w:rFonts w:ascii="Garamond" w:hAnsi="Garamond"/>
          <w:b/>
          <w:bCs/>
          <w:iCs/>
          <w:sz w:val="20"/>
          <w:szCs w:val="20"/>
        </w:rPr>
        <w:t xml:space="preserve"> </w:t>
      </w:r>
      <w:r w:rsidRPr="00BB6945">
        <w:rPr>
          <w:rFonts w:ascii="Garamond" w:hAnsi="Garamond"/>
          <w:bCs/>
          <w:iCs/>
          <w:sz w:val="20"/>
          <w:szCs w:val="20"/>
        </w:rPr>
        <w:t>The data collected were analyzed using LISREL 8.80. Confirmatory Factor Analysis (CFA) with Maximum Likelihood Estimation (MLE) was employed to assess the construct validity of the Indonesian UPSR scale. Model fit was evaluated using a combination of indices: Chi-square/</w:t>
      </w:r>
      <w:proofErr w:type="spellStart"/>
      <w:r w:rsidRPr="00BB6945">
        <w:rPr>
          <w:rFonts w:ascii="Garamond" w:hAnsi="Garamond"/>
          <w:bCs/>
          <w:iCs/>
          <w:sz w:val="20"/>
          <w:szCs w:val="20"/>
        </w:rPr>
        <w:t>df</w:t>
      </w:r>
      <w:proofErr w:type="spellEnd"/>
      <w:r w:rsidRPr="00BB6945">
        <w:rPr>
          <w:rFonts w:ascii="Garamond" w:hAnsi="Garamond"/>
          <w:bCs/>
          <w:iCs/>
          <w:sz w:val="20"/>
          <w:szCs w:val="20"/>
        </w:rPr>
        <w:t xml:space="preserve"> ratio, Root Mean Square Error of Approximation (RMSEA), Comparative Fit Index (CFI), Tucker-Lewis Index (TLI), Goodness-of-Fit Index (GFI), and Standardized Root Mean Square </w:t>
      </w:r>
      <w:r w:rsidRPr="00BB6945">
        <w:rPr>
          <w:rFonts w:ascii="Garamond" w:hAnsi="Garamond"/>
          <w:bCs/>
          <w:iCs/>
          <w:sz w:val="20"/>
          <w:szCs w:val="20"/>
        </w:rPr>
        <w:t>Residual (SRMR). Internal consistency was evaluated using Cronbach’s alpha, while convergent validity was assessed via Average Variance Extracted (AVE) and Composite Reliability (CR). Residual variances and anti-image matrices were analyzed to assess item adequacy and detect problematic indicators. The validation also included expert feedback on item readability and alignment with construct indicators</w:t>
      </w:r>
      <w:r w:rsidR="00F33AF5">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"/>
          <w:id w:val="-956254507"/>
          <w:placeholder>
            <w:docPart w:val="B90E6F1E0B9E47E4AB49030D6B241C35"/>
          </w:placeholder>
        </w:sdtPr>
        <w:sdtContent>
          <w:r w:rsidRPr="00BB6945">
            <w:rPr>
              <w:rFonts w:ascii="Garamond" w:hAnsi="Garamond"/>
              <w:bCs/>
              <w:iCs/>
              <w:sz w:val="20"/>
              <w:szCs w:val="20"/>
              <w:vertAlign w:val="superscript"/>
            </w:rPr>
            <w:t>5</w:t>
          </w:r>
        </w:sdtContent>
      </w:sdt>
    </w:p>
    <w:p w14:paraId="0FB88BE1" w14:textId="77777777" w:rsidR="00EF5318" w:rsidRDefault="00EF5318" w:rsidP="00BB6945">
      <w:pPr>
        <w:spacing w:line="259" w:lineRule="auto"/>
        <w:jc w:val="both"/>
        <w:rPr>
          <w:rFonts w:ascii="Garamond" w:hAnsi="Garamond"/>
          <w:b/>
          <w:bCs/>
          <w:iCs/>
          <w:sz w:val="22"/>
          <w:szCs w:val="22"/>
        </w:rPr>
      </w:pPr>
    </w:p>
    <w:p w14:paraId="2214011B" w14:textId="74295D54" w:rsidR="00BB6945" w:rsidRPr="00BB6945" w:rsidRDefault="00F33AF5" w:rsidP="00BB6945">
      <w:pPr>
        <w:spacing w:line="259" w:lineRule="auto"/>
        <w:jc w:val="both"/>
        <w:rPr>
          <w:rFonts w:ascii="Garamond" w:hAnsi="Garamond"/>
          <w:b/>
          <w:bCs/>
          <w:iCs/>
          <w:sz w:val="22"/>
          <w:szCs w:val="22"/>
        </w:rPr>
      </w:pPr>
      <w:r w:rsidRPr="00BB6945">
        <w:rPr>
          <w:rFonts w:ascii="Garamond" w:hAnsi="Garamond"/>
          <w:b/>
          <w:bCs/>
          <w:iCs/>
          <w:sz w:val="22"/>
          <w:szCs w:val="22"/>
        </w:rPr>
        <w:t>RESULTS</w:t>
      </w:r>
    </w:p>
    <w:p w14:paraId="747B214D" w14:textId="5DE409BB" w:rsidR="00BB6945" w:rsidRPr="00BB6945" w:rsidRDefault="00BB6945" w:rsidP="00BB6945">
      <w:pPr>
        <w:spacing w:line="259" w:lineRule="auto"/>
        <w:jc w:val="both"/>
        <w:rPr>
          <w:rFonts w:ascii="Garamond" w:hAnsi="Garamond"/>
          <w:b/>
          <w:bCs/>
          <w:iCs/>
          <w:sz w:val="20"/>
          <w:szCs w:val="20"/>
        </w:rPr>
      </w:pPr>
      <w:r w:rsidRPr="00BB6945">
        <w:rPr>
          <w:rFonts w:ascii="Garamond" w:hAnsi="Garamond"/>
          <w:bCs/>
          <w:iCs/>
          <w:sz w:val="20"/>
          <w:szCs w:val="20"/>
        </w:rPr>
        <w:t>The Confirmatory Factor Analysis (CFA) of the Indonesian version of the UPSR scale supported a two-factor model consistent with the theoretical structure proposed by Patterson and Joseph</w:t>
      </w:r>
      <w:sdt>
        <w:sdtPr>
          <w:rPr>
            <w:rFonts w:ascii="Garamond" w:hAnsi="Garamond"/>
            <w:bCs/>
            <w:iCs/>
            <w:sz w:val="20"/>
            <w:szCs w:val="20"/>
            <w:vertAlign w:val="superscript"/>
          </w:rPr>
          <w:tag w:val="MENDELEY_CITATION_v3_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"/>
          <w:id w:val="-1704314000"/>
          <w:placeholder>
            <w:docPart w:val="B90E6F1E0B9E47E4AB49030D6B241C35"/>
          </w:placeholder>
        </w:sdtPr>
        <w:sdtContent>
          <w:r w:rsidRPr="00BB6945">
            <w:rPr>
              <w:rFonts w:ascii="Garamond" w:hAnsi="Garamond"/>
              <w:bCs/>
              <w:iCs/>
              <w:sz w:val="20"/>
              <w:szCs w:val="20"/>
              <w:vertAlign w:val="superscript"/>
            </w:rPr>
            <w:t>2</w:t>
          </w:r>
        </w:sdtContent>
      </w:sdt>
      <w:r w:rsidRPr="00BB6945">
        <w:rPr>
          <w:rFonts w:ascii="Garamond" w:hAnsi="Garamond"/>
          <w:bCs/>
          <w:iCs/>
          <w:sz w:val="20"/>
          <w:szCs w:val="20"/>
        </w:rPr>
        <w:t xml:space="preserve"> The model included two latent factors: Self-Regard and Conditionality.</w:t>
      </w:r>
    </w:p>
    <w:p w14:paraId="633ABB94" w14:textId="10563928" w:rsidR="00EF5318" w:rsidRDefault="00BB6945" w:rsidP="00BB6945">
      <w:pPr>
        <w:spacing w:line="259" w:lineRule="auto"/>
        <w:jc w:val="both"/>
        <w:rPr>
          <w:rFonts w:ascii="Garamond" w:hAnsi="Garamond"/>
          <w:bCs/>
          <w:iCs/>
          <w:sz w:val="20"/>
          <w:szCs w:val="20"/>
        </w:rPr>
      </w:pPr>
      <w:r w:rsidRPr="00BB6945">
        <w:rPr>
          <w:rFonts w:ascii="Garamond" w:hAnsi="Garamond"/>
          <w:bCs/>
          <w:iCs/>
          <w:sz w:val="20"/>
          <w:szCs w:val="20"/>
        </w:rPr>
        <w:t>Model Fit</w:t>
      </w:r>
    </w:p>
    <w:p w14:paraId="12445DF1" w14:textId="56DB6E6C" w:rsidR="00BB6945" w:rsidRDefault="00BB6945" w:rsidP="00BB6945">
      <w:pPr>
        <w:spacing w:line="259" w:lineRule="auto"/>
        <w:jc w:val="both"/>
        <w:rPr>
          <w:rFonts w:ascii="Garamond" w:hAnsi="Garamond"/>
          <w:bCs/>
          <w:iCs/>
          <w:sz w:val="20"/>
          <w:szCs w:val="20"/>
        </w:rPr>
      </w:pPr>
      <w:r w:rsidRPr="00BB6945">
        <w:rPr>
          <w:rFonts w:ascii="Garamond" w:hAnsi="Garamond"/>
          <w:bCs/>
          <w:iCs/>
          <w:sz w:val="20"/>
          <w:szCs w:val="20"/>
        </w:rPr>
        <w:t>The overall model fit for the two-factor solution was evaluated using a range of widely accepted fit indices based on covariance structure analysis</w:t>
      </w:r>
      <w:sdt>
        <w:sdtPr>
          <w:rPr>
            <w:rFonts w:ascii="Garamond" w:hAnsi="Garamond"/>
            <w:bCs/>
            <w:iCs/>
            <w:sz w:val="20"/>
            <w:szCs w:val="20"/>
            <w:vertAlign w:val="superscript"/>
          </w:rPr>
          <w:tag w:val="MENDELEY_CITATION_v3_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"/>
          <w:id w:val="519206095"/>
          <w:placeholder>
            <w:docPart w:val="B90E6F1E0B9E47E4AB49030D6B241C35"/>
          </w:placeholder>
        </w:sdtPr>
        <w:sdtContent>
          <w:r w:rsidRPr="00BB6945">
            <w:rPr>
              <w:rFonts w:ascii="Garamond" w:hAnsi="Garamond"/>
              <w:bCs/>
              <w:iCs/>
              <w:sz w:val="20"/>
              <w:szCs w:val="20"/>
              <w:vertAlign w:val="superscript"/>
            </w:rPr>
            <w:t>6</w:t>
          </w:r>
        </w:sdtContent>
      </w:sdt>
      <w:r w:rsidRPr="00BB6945">
        <w:rPr>
          <w:rFonts w:ascii="Garamond" w:hAnsi="Garamond"/>
          <w:bCs/>
          <w:iCs/>
          <w:sz w:val="20"/>
          <w:szCs w:val="20"/>
        </w:rPr>
        <w:t>Table 1 presents the model fit indices categorized according to their conceptual groupings.</w:t>
      </w:r>
    </w:p>
    <w:p w14:paraId="14A067B9" w14:textId="77777777" w:rsidR="00F33AF5" w:rsidRPr="00BE7F1E" w:rsidRDefault="00F33AF5" w:rsidP="00F33AF5">
      <w:pPr>
        <w:spacing w:line="259" w:lineRule="auto"/>
        <w:jc w:val="both"/>
        <w:rPr>
          <w:rFonts w:ascii="Garamond" w:hAnsi="Garamond"/>
          <w:bCs/>
          <w:iCs/>
          <w:sz w:val="20"/>
          <w:szCs w:val="20"/>
        </w:rPr>
      </w:pPr>
      <w:r w:rsidRPr="00BE7F1E">
        <w:rPr>
          <w:rFonts w:ascii="Garamond" w:hAnsi="Garamond"/>
          <w:bCs/>
          <w:iCs/>
          <w:sz w:val="20"/>
          <w:szCs w:val="20"/>
        </w:rPr>
        <w:t xml:space="preserve">The results in Table 1 indicate that the model demonstrates acceptable to good fit across most statistical benchmarks. According to Hu and Bentler </w:t>
      </w:r>
      <w:sdt>
        <w:sdtPr>
          <w:rPr>
            <w:rFonts w:ascii="Garamond" w:hAnsi="Garamond"/>
            <w:bCs/>
            <w:iCs/>
            <w:sz w:val="20"/>
            <w:szCs w:val="20"/>
            <w:vertAlign w:val="superscript"/>
          </w:rPr>
          <w:tag w:val="MENDELEY_CITATION_v3_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"/>
          <w:id w:val="435797932"/>
          <w:placeholder>
            <w:docPart w:val="348423BDE328A94B9859D1980F2FEDD6"/>
          </w:placeholder>
        </w:sdtPr>
        <w:sdtContent>
          <w:r w:rsidRPr="00BE7F1E">
            <w:rPr>
              <w:rFonts w:ascii="Garamond" w:hAnsi="Garamond"/>
              <w:bCs/>
              <w:iCs/>
              <w:sz w:val="20"/>
              <w:szCs w:val="20"/>
              <w:vertAlign w:val="superscript"/>
            </w:rPr>
            <w:t>6</w:t>
          </w:r>
        </w:sdtContent>
      </w:sdt>
      <w:r w:rsidRPr="00BE7F1E">
        <w:rPr>
          <w:rFonts w:ascii="Garamond" w:hAnsi="Garamond"/>
          <w:bCs/>
          <w:iCs/>
          <w:sz w:val="20"/>
          <w:szCs w:val="20"/>
        </w:rPr>
        <w:t xml:space="preserve">, a CFI and TLI above 0.90 and an RMSEA below 0.08 suggest a reasonably well-fitting model. Although NFI and RFI fell slightly below the ideal threshold, these are less commonly emphasized in current SEM best practices </w:t>
      </w:r>
      <w:sdt>
        <w:sdtPr>
          <w:rPr>
            <w:rFonts w:ascii="Garamond" w:hAnsi="Garamond"/>
            <w:bCs/>
            <w:iCs/>
            <w:sz w:val="20"/>
            <w:szCs w:val="20"/>
            <w:vertAlign w:val="superscript"/>
          </w:rPr>
          <w:tag w:val="MENDELEY_CITATION_v3_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"/>
          <w:id w:val="995076479"/>
          <w:placeholder>
            <w:docPart w:val="348423BDE328A94B9859D1980F2FEDD6"/>
          </w:placeholder>
        </w:sdtPr>
        <w:sdtContent>
          <w:r w:rsidRPr="00BE7F1E">
            <w:rPr>
              <w:rFonts w:ascii="Garamond" w:hAnsi="Garamond"/>
              <w:bCs/>
              <w:iCs/>
              <w:sz w:val="20"/>
              <w:szCs w:val="20"/>
              <w:vertAlign w:val="superscript"/>
            </w:rPr>
            <w:t>7</w:t>
          </w:r>
        </w:sdtContent>
      </w:sdt>
      <w:r w:rsidRPr="00BE7F1E">
        <w:rPr>
          <w:rFonts w:ascii="Garamond" w:hAnsi="Garamond"/>
          <w:bCs/>
          <w:iCs/>
          <w:sz w:val="20"/>
          <w:szCs w:val="20"/>
        </w:rPr>
        <w:t>. Overall, the UPSR Indonesian adaptation is statistically justifiable in its two-factor structure.</w:t>
      </w:r>
    </w:p>
    <w:p w14:paraId="68B7D369" w14:textId="77777777" w:rsidR="00F33AF5" w:rsidRPr="00BE7F1E" w:rsidRDefault="00F33AF5" w:rsidP="00F33AF5">
      <w:pPr>
        <w:spacing w:line="259" w:lineRule="auto"/>
        <w:jc w:val="both"/>
        <w:rPr>
          <w:rFonts w:ascii="Garamond" w:hAnsi="Garamond"/>
          <w:bCs/>
          <w:iCs/>
          <w:sz w:val="20"/>
          <w:szCs w:val="20"/>
        </w:rPr>
      </w:pPr>
      <w:r w:rsidRPr="00BE7F1E">
        <w:rPr>
          <w:rFonts w:ascii="Garamond" w:hAnsi="Garamond"/>
          <w:bCs/>
          <w:iCs/>
          <w:sz w:val="20"/>
          <w:szCs w:val="20"/>
        </w:rPr>
        <w:t>Factor Loadings</w:t>
      </w:r>
    </w:p>
    <w:p w14:paraId="6F364D9D" w14:textId="77777777" w:rsidR="00F33AF5" w:rsidRPr="00BE7F1E" w:rsidRDefault="00F33AF5" w:rsidP="00F33AF5">
      <w:pPr>
        <w:spacing w:line="259" w:lineRule="auto"/>
        <w:jc w:val="both"/>
        <w:rPr>
          <w:rFonts w:ascii="Garamond" w:hAnsi="Garamond"/>
          <w:bCs/>
          <w:iCs/>
          <w:sz w:val="20"/>
          <w:szCs w:val="20"/>
        </w:rPr>
      </w:pPr>
      <w:r w:rsidRPr="00BE7F1E">
        <w:rPr>
          <w:rFonts w:ascii="Garamond" w:hAnsi="Garamond"/>
          <w:bCs/>
          <w:iCs/>
          <w:sz w:val="20"/>
          <w:szCs w:val="20"/>
        </w:rPr>
        <w:t>All 12 items loaded significantly (p &lt; .001) onto their respective latent variables. Factor loadings for Self-Regard ranged from 1.00 to 1.47, and for Conditionality from –1.17 to 1.25. Notably, two items (U3 and U5) demonstrated negative loadings, indicating the possibility of conceptual reversal or misinterpretation by respondents.</w:t>
      </w:r>
    </w:p>
    <w:p w14:paraId="671F1185" w14:textId="77777777" w:rsidR="00F33AF5" w:rsidRPr="00BB6945" w:rsidRDefault="00F33AF5" w:rsidP="00BB6945">
      <w:pPr>
        <w:spacing w:line="259" w:lineRule="auto"/>
        <w:jc w:val="both"/>
        <w:rPr>
          <w:rFonts w:ascii="Garamond" w:hAnsi="Garamond"/>
          <w:bCs/>
          <w:iCs/>
          <w:sz w:val="20"/>
          <w:szCs w:val="20"/>
        </w:rPr>
      </w:pPr>
    </w:p>
    <w:p w14:paraId="73905A3E" w14:textId="77777777" w:rsidR="00057CF5" w:rsidRDefault="00057CF5" w:rsidP="007A1526">
      <w:pPr>
        <w:spacing w:line="259" w:lineRule="auto"/>
        <w:jc w:val="both"/>
        <w:rPr>
          <w:rFonts w:ascii="Garamond" w:hAnsi="Garamond"/>
          <w:bCs/>
          <w:iCs/>
          <w:sz w:val="20"/>
          <w:szCs w:val="20"/>
        </w:rPr>
      </w:pPr>
    </w:p>
    <w:p w14:paraId="5C94180A" w14:textId="77777777" w:rsidR="00BB6945" w:rsidRDefault="00BB6945" w:rsidP="007A1526">
      <w:pPr>
        <w:spacing w:line="259" w:lineRule="auto"/>
        <w:jc w:val="both"/>
        <w:rPr>
          <w:rFonts w:ascii="Garamond" w:hAnsi="Garamond"/>
          <w:bCs/>
          <w:iCs/>
          <w:sz w:val="20"/>
          <w:szCs w:val="20"/>
        </w:rPr>
      </w:pPr>
    </w:p>
    <w:p w14:paraId="7E5595DC" w14:textId="77777777" w:rsidR="00BE7F1E" w:rsidRDefault="00BE7F1E" w:rsidP="007A1526">
      <w:pPr>
        <w:spacing w:line="259" w:lineRule="auto"/>
        <w:jc w:val="both"/>
        <w:rPr>
          <w:rFonts w:ascii="Garamond" w:hAnsi="Garamond"/>
          <w:bCs/>
          <w:iCs/>
          <w:sz w:val="20"/>
          <w:szCs w:val="20"/>
        </w:rPr>
        <w:sectPr w:rsidR="00BE7F1E" w:rsidSect="003D02D5">
          <w:type w:val="continuous"/>
          <w:pgSz w:w="12240" w:h="15840"/>
          <w:pgMar w:top="1440" w:right="1440" w:bottom="1440" w:left="1440" w:header="720" w:footer="720" w:gutter="0"/>
          <w:cols w:num="2" w:space="720"/>
          <w:titlePg/>
          <w:docGrid w:linePitch="360"/>
        </w:sectPr>
      </w:pPr>
    </w:p>
    <w:p w14:paraId="6321C00A" w14:textId="3618D2B7" w:rsidR="00BE7F1E" w:rsidRPr="00BE7F1E" w:rsidRDefault="00BE7F1E" w:rsidP="00BE7F1E">
      <w:pPr>
        <w:spacing w:line="259" w:lineRule="auto"/>
        <w:jc w:val="both"/>
        <w:rPr>
          <w:rFonts w:ascii="Garamond" w:hAnsi="Garamond"/>
          <w:bCs/>
          <w:iCs/>
          <w:sz w:val="20"/>
          <w:szCs w:val="20"/>
        </w:rPr>
      </w:pPr>
      <w:bookmarkStart w:id="8" w:name="_Hlk202122753"/>
      <w:r w:rsidRPr="00BE7F1E">
        <w:rPr>
          <w:rFonts w:ascii="Garamond" w:hAnsi="Garamond"/>
          <w:b/>
          <w:iCs/>
          <w:sz w:val="20"/>
          <w:szCs w:val="20"/>
        </w:rPr>
        <w:lastRenderedPageBreak/>
        <w:t xml:space="preserve">Table </w:t>
      </w:r>
      <w:r w:rsidR="00F33AF5" w:rsidRPr="00BE7F1E">
        <w:rPr>
          <w:rFonts w:ascii="Garamond" w:hAnsi="Garamond"/>
          <w:b/>
          <w:iCs/>
          <w:sz w:val="20"/>
          <w:szCs w:val="20"/>
        </w:rPr>
        <w:t>1</w:t>
      </w:r>
      <w:r w:rsidR="00F33AF5">
        <w:rPr>
          <w:rFonts w:ascii="Garamond" w:hAnsi="Garamond"/>
          <w:bCs/>
          <w:iCs/>
          <w:sz w:val="20"/>
          <w:szCs w:val="20"/>
        </w:rPr>
        <w:t>.</w:t>
      </w:r>
      <w:r w:rsidRPr="00BE7F1E">
        <w:rPr>
          <w:rFonts w:ascii="Garamond" w:hAnsi="Garamond"/>
          <w:bCs/>
          <w:iCs/>
          <w:sz w:val="20"/>
          <w:szCs w:val="20"/>
        </w:rPr>
        <w:t xml:space="preserve"> Summary of CFA Model Fit Indices</w:t>
      </w:r>
    </w:p>
    <w:tbl>
      <w:tblPr>
        <w:tblW w:w="0" w:type="auto"/>
        <w:tblCellSpacing w:w="15" w:type="dxa"/>
        <w:tblInd w:w="63" w:type="dxa"/>
        <w:tblCellMar>
          <w:top w:w="15" w:type="dxa"/>
          <w:left w:w="15" w:type="dxa"/>
          <w:bottom w:w="15" w:type="dxa"/>
          <w:right w:w="15" w:type="dxa"/>
        </w:tblCellMar>
        <w:tblLook w:val="04A0" w:firstRow="1" w:lastRow="0" w:firstColumn="1" w:lastColumn="0" w:noHBand="0" w:noVBand="1"/>
      </w:tblPr>
      <w:tblGrid>
        <w:gridCol w:w="1771"/>
        <w:gridCol w:w="3693"/>
        <w:gridCol w:w="1269"/>
        <w:gridCol w:w="1284"/>
        <w:gridCol w:w="1280"/>
      </w:tblGrid>
      <w:tr w:rsidR="00BE7F1E" w:rsidRPr="00BE7F1E" w14:paraId="7794311F" w14:textId="77777777" w:rsidTr="00AF2C8F">
        <w:trPr>
          <w:tblCellSpacing w:w="15" w:type="dxa"/>
        </w:trPr>
        <w:tc>
          <w:tcPr>
            <w:tcW w:w="0" w:type="auto"/>
            <w:tcBorders>
              <w:top w:val="single" w:sz="4" w:space="0" w:color="auto"/>
              <w:bottom w:val="single" w:sz="4" w:space="0" w:color="auto"/>
            </w:tcBorders>
            <w:vAlign w:val="center"/>
          </w:tcPr>
          <w:p w14:paraId="20D1289C" w14:textId="77777777" w:rsidR="00BE7F1E" w:rsidRPr="00BE7F1E" w:rsidRDefault="00BE7F1E" w:rsidP="00BE7F1E">
            <w:pPr>
              <w:spacing w:line="259" w:lineRule="auto"/>
              <w:jc w:val="both"/>
              <w:rPr>
                <w:rFonts w:ascii="Garamond" w:hAnsi="Garamond"/>
                <w:b/>
                <w:bCs/>
                <w:iCs/>
                <w:sz w:val="20"/>
                <w:szCs w:val="20"/>
              </w:rPr>
            </w:pPr>
            <w:r w:rsidRPr="00BE7F1E">
              <w:rPr>
                <w:rFonts w:ascii="Garamond" w:hAnsi="Garamond"/>
                <w:b/>
                <w:bCs/>
                <w:iCs/>
                <w:sz w:val="20"/>
                <w:szCs w:val="20"/>
              </w:rPr>
              <w:t>Category</w:t>
            </w:r>
          </w:p>
        </w:tc>
        <w:tc>
          <w:tcPr>
            <w:tcW w:w="0" w:type="auto"/>
            <w:tcBorders>
              <w:top w:val="single" w:sz="4" w:space="0" w:color="auto"/>
              <w:bottom w:val="single" w:sz="4" w:space="0" w:color="auto"/>
            </w:tcBorders>
            <w:vAlign w:val="center"/>
          </w:tcPr>
          <w:p w14:paraId="130FAE82" w14:textId="77777777" w:rsidR="00BE7F1E" w:rsidRPr="00BE7F1E" w:rsidRDefault="00BE7F1E" w:rsidP="00BE7F1E">
            <w:pPr>
              <w:spacing w:line="259" w:lineRule="auto"/>
              <w:jc w:val="both"/>
              <w:rPr>
                <w:rFonts w:ascii="Garamond" w:hAnsi="Garamond"/>
                <w:b/>
                <w:bCs/>
                <w:iCs/>
                <w:sz w:val="20"/>
                <w:szCs w:val="20"/>
              </w:rPr>
            </w:pPr>
            <w:r w:rsidRPr="00BE7F1E">
              <w:rPr>
                <w:rFonts w:ascii="Garamond" w:hAnsi="Garamond"/>
                <w:b/>
                <w:bCs/>
                <w:iCs/>
                <w:sz w:val="20"/>
                <w:szCs w:val="20"/>
              </w:rPr>
              <w:t>Fit Indices</w:t>
            </w:r>
          </w:p>
        </w:tc>
        <w:tc>
          <w:tcPr>
            <w:tcW w:w="0" w:type="auto"/>
            <w:tcBorders>
              <w:top w:val="single" w:sz="4" w:space="0" w:color="auto"/>
              <w:bottom w:val="single" w:sz="4" w:space="0" w:color="auto"/>
            </w:tcBorders>
            <w:vAlign w:val="center"/>
          </w:tcPr>
          <w:p w14:paraId="5BA66FCA" w14:textId="77777777" w:rsidR="00BE7F1E" w:rsidRPr="00BE7F1E" w:rsidRDefault="00BE7F1E" w:rsidP="00BE7F1E">
            <w:pPr>
              <w:spacing w:line="259" w:lineRule="auto"/>
              <w:jc w:val="both"/>
              <w:rPr>
                <w:rFonts w:ascii="Garamond" w:hAnsi="Garamond"/>
                <w:b/>
                <w:bCs/>
                <w:iCs/>
                <w:sz w:val="20"/>
                <w:szCs w:val="20"/>
              </w:rPr>
            </w:pPr>
            <w:r w:rsidRPr="00BE7F1E">
              <w:rPr>
                <w:rFonts w:ascii="Garamond" w:hAnsi="Garamond"/>
                <w:b/>
                <w:bCs/>
                <w:iCs/>
                <w:sz w:val="20"/>
                <w:szCs w:val="20"/>
              </w:rPr>
              <w:t>Cut-Off Criteria</w:t>
            </w:r>
          </w:p>
        </w:tc>
        <w:tc>
          <w:tcPr>
            <w:tcW w:w="1254" w:type="dxa"/>
            <w:tcBorders>
              <w:top w:val="single" w:sz="4" w:space="0" w:color="auto"/>
              <w:bottom w:val="single" w:sz="4" w:space="0" w:color="auto"/>
            </w:tcBorders>
            <w:vAlign w:val="center"/>
          </w:tcPr>
          <w:p w14:paraId="1B1B8BED" w14:textId="77777777" w:rsidR="00BE7F1E" w:rsidRPr="00BE7F1E" w:rsidRDefault="00BE7F1E" w:rsidP="00BE7F1E">
            <w:pPr>
              <w:spacing w:line="259" w:lineRule="auto"/>
              <w:jc w:val="both"/>
              <w:rPr>
                <w:rFonts w:ascii="Garamond" w:hAnsi="Garamond"/>
                <w:b/>
                <w:bCs/>
                <w:iCs/>
                <w:sz w:val="20"/>
                <w:szCs w:val="20"/>
              </w:rPr>
            </w:pPr>
            <w:r w:rsidRPr="00BE7F1E">
              <w:rPr>
                <w:rFonts w:ascii="Garamond" w:hAnsi="Garamond"/>
                <w:b/>
                <w:bCs/>
                <w:iCs/>
                <w:sz w:val="20"/>
                <w:szCs w:val="20"/>
              </w:rPr>
              <w:t>Result Estimates</w:t>
            </w:r>
          </w:p>
        </w:tc>
        <w:tc>
          <w:tcPr>
            <w:tcW w:w="1235" w:type="dxa"/>
            <w:tcBorders>
              <w:top w:val="single" w:sz="4" w:space="0" w:color="auto"/>
              <w:bottom w:val="single" w:sz="4" w:space="0" w:color="auto"/>
            </w:tcBorders>
            <w:vAlign w:val="center"/>
          </w:tcPr>
          <w:p w14:paraId="0AD3BA06" w14:textId="77777777" w:rsidR="00BE7F1E" w:rsidRPr="00BE7F1E" w:rsidRDefault="00BE7F1E" w:rsidP="00BE7F1E">
            <w:pPr>
              <w:spacing w:line="259" w:lineRule="auto"/>
              <w:jc w:val="both"/>
              <w:rPr>
                <w:rFonts w:ascii="Garamond" w:hAnsi="Garamond"/>
                <w:b/>
                <w:bCs/>
                <w:iCs/>
                <w:sz w:val="20"/>
                <w:szCs w:val="20"/>
              </w:rPr>
            </w:pPr>
            <w:r w:rsidRPr="00BE7F1E">
              <w:rPr>
                <w:rFonts w:ascii="Garamond" w:hAnsi="Garamond"/>
                <w:b/>
                <w:bCs/>
                <w:iCs/>
                <w:sz w:val="20"/>
                <w:szCs w:val="20"/>
              </w:rPr>
              <w:t>Description</w:t>
            </w:r>
          </w:p>
        </w:tc>
      </w:tr>
      <w:tr w:rsidR="00BE7F1E" w:rsidRPr="00BE7F1E" w14:paraId="6A976E4B" w14:textId="77777777" w:rsidTr="00AF2C8F">
        <w:trPr>
          <w:tblCellSpacing w:w="15" w:type="dxa"/>
        </w:trPr>
        <w:tc>
          <w:tcPr>
            <w:tcW w:w="0" w:type="auto"/>
            <w:vAlign w:val="center"/>
          </w:tcPr>
          <w:p w14:paraId="0B2D7444" w14:textId="77777777" w:rsidR="00BE7F1E" w:rsidRPr="00BE7F1E" w:rsidRDefault="00BE7F1E" w:rsidP="00BE7F1E">
            <w:pPr>
              <w:spacing w:line="259" w:lineRule="auto"/>
              <w:jc w:val="both"/>
              <w:rPr>
                <w:rFonts w:ascii="Garamond" w:hAnsi="Garamond"/>
                <w:bCs/>
                <w:iCs/>
                <w:sz w:val="20"/>
                <w:szCs w:val="20"/>
              </w:rPr>
            </w:pPr>
            <w:proofErr w:type="spellStart"/>
            <w:r w:rsidRPr="00BE7F1E">
              <w:rPr>
                <w:rFonts w:ascii="Garamond" w:hAnsi="Garamond"/>
                <w:bCs/>
                <w:iCs/>
                <w:sz w:val="20"/>
                <w:szCs w:val="20"/>
              </w:rPr>
              <w:t>Noncentrality</w:t>
            </w:r>
            <w:proofErr w:type="spellEnd"/>
            <w:r w:rsidRPr="00BE7F1E">
              <w:rPr>
                <w:rFonts w:ascii="Garamond" w:hAnsi="Garamond"/>
                <w:bCs/>
                <w:iCs/>
                <w:sz w:val="20"/>
                <w:szCs w:val="20"/>
              </w:rPr>
              <w:t xml:space="preserve"> Based Fit</w:t>
            </w:r>
          </w:p>
        </w:tc>
        <w:tc>
          <w:tcPr>
            <w:tcW w:w="0" w:type="auto"/>
            <w:vAlign w:val="center"/>
          </w:tcPr>
          <w:p w14:paraId="69D20DD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Comparative Fit Index (CFI)</w:t>
            </w:r>
          </w:p>
        </w:tc>
        <w:tc>
          <w:tcPr>
            <w:tcW w:w="0" w:type="auto"/>
            <w:vAlign w:val="center"/>
          </w:tcPr>
          <w:p w14:paraId="3A6B148E"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&gt; 0.90</w:t>
            </w:r>
          </w:p>
        </w:tc>
        <w:tc>
          <w:tcPr>
            <w:tcW w:w="1254" w:type="dxa"/>
            <w:vAlign w:val="center"/>
          </w:tcPr>
          <w:p w14:paraId="39005EA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0.91</w:t>
            </w:r>
          </w:p>
        </w:tc>
        <w:tc>
          <w:tcPr>
            <w:tcW w:w="1235" w:type="dxa"/>
            <w:vAlign w:val="center"/>
          </w:tcPr>
          <w:p w14:paraId="5E3D23E8"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Good Fit</w:t>
            </w:r>
          </w:p>
        </w:tc>
      </w:tr>
      <w:tr w:rsidR="00BE7F1E" w:rsidRPr="00BE7F1E" w14:paraId="021ABC2D" w14:textId="77777777" w:rsidTr="00AF2C8F">
        <w:trPr>
          <w:tblCellSpacing w:w="15" w:type="dxa"/>
        </w:trPr>
        <w:tc>
          <w:tcPr>
            <w:tcW w:w="0" w:type="auto"/>
            <w:vAlign w:val="center"/>
          </w:tcPr>
          <w:p w14:paraId="4E6F2C7B" w14:textId="77777777" w:rsidR="00BE7F1E" w:rsidRPr="00BE7F1E" w:rsidRDefault="00BE7F1E" w:rsidP="00BE7F1E">
            <w:pPr>
              <w:spacing w:line="259" w:lineRule="auto"/>
              <w:jc w:val="both"/>
              <w:rPr>
                <w:rFonts w:ascii="Garamond" w:hAnsi="Garamond"/>
                <w:bCs/>
                <w:iCs/>
                <w:sz w:val="20"/>
                <w:szCs w:val="20"/>
              </w:rPr>
            </w:pPr>
          </w:p>
        </w:tc>
        <w:tc>
          <w:tcPr>
            <w:tcW w:w="0" w:type="auto"/>
            <w:vAlign w:val="center"/>
          </w:tcPr>
          <w:p w14:paraId="1A0A407B"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Root Mean Square Error of Approximation (RMSEA)</w:t>
            </w:r>
          </w:p>
        </w:tc>
        <w:tc>
          <w:tcPr>
            <w:tcW w:w="0" w:type="auto"/>
            <w:vAlign w:val="center"/>
          </w:tcPr>
          <w:p w14:paraId="16586157"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0.05 – 0.08</w:t>
            </w:r>
          </w:p>
        </w:tc>
        <w:tc>
          <w:tcPr>
            <w:tcW w:w="1254" w:type="dxa"/>
            <w:vAlign w:val="center"/>
          </w:tcPr>
          <w:p w14:paraId="579AF1FD"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0.064</w:t>
            </w:r>
          </w:p>
        </w:tc>
        <w:tc>
          <w:tcPr>
            <w:tcW w:w="1235" w:type="dxa"/>
            <w:vAlign w:val="center"/>
          </w:tcPr>
          <w:p w14:paraId="6E425744"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Acceptable Fit</w:t>
            </w:r>
          </w:p>
        </w:tc>
      </w:tr>
      <w:tr w:rsidR="00BE7F1E" w:rsidRPr="00BE7F1E" w14:paraId="1819F647" w14:textId="77777777" w:rsidTr="00AF2C8F">
        <w:trPr>
          <w:tblCellSpacing w:w="15" w:type="dxa"/>
        </w:trPr>
        <w:tc>
          <w:tcPr>
            <w:tcW w:w="0" w:type="auto"/>
            <w:vAlign w:val="center"/>
          </w:tcPr>
          <w:p w14:paraId="56B1B02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Absolute Fit</w:t>
            </w:r>
          </w:p>
        </w:tc>
        <w:tc>
          <w:tcPr>
            <w:tcW w:w="0" w:type="auto"/>
            <w:vAlign w:val="center"/>
          </w:tcPr>
          <w:p w14:paraId="79C0F0DC"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Goodness of Fit Index (GFI)</w:t>
            </w:r>
          </w:p>
        </w:tc>
        <w:tc>
          <w:tcPr>
            <w:tcW w:w="0" w:type="auto"/>
            <w:vAlign w:val="center"/>
          </w:tcPr>
          <w:p w14:paraId="79E52D71"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&gt; 0.90</w:t>
            </w:r>
          </w:p>
        </w:tc>
        <w:tc>
          <w:tcPr>
            <w:tcW w:w="1254" w:type="dxa"/>
            <w:vAlign w:val="center"/>
          </w:tcPr>
          <w:p w14:paraId="680D3C43"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0.953</w:t>
            </w:r>
          </w:p>
        </w:tc>
        <w:tc>
          <w:tcPr>
            <w:tcW w:w="1235" w:type="dxa"/>
            <w:vAlign w:val="center"/>
          </w:tcPr>
          <w:p w14:paraId="5ECDCC0D"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Good Fit</w:t>
            </w:r>
          </w:p>
        </w:tc>
      </w:tr>
      <w:tr w:rsidR="00BE7F1E" w:rsidRPr="00BE7F1E" w14:paraId="21F51A93" w14:textId="77777777" w:rsidTr="00AF2C8F">
        <w:trPr>
          <w:tblCellSpacing w:w="15" w:type="dxa"/>
        </w:trPr>
        <w:tc>
          <w:tcPr>
            <w:tcW w:w="0" w:type="auto"/>
            <w:vAlign w:val="center"/>
          </w:tcPr>
          <w:p w14:paraId="3709B652" w14:textId="77777777" w:rsidR="00BE7F1E" w:rsidRPr="00BE7F1E" w:rsidRDefault="00BE7F1E" w:rsidP="00BE7F1E">
            <w:pPr>
              <w:spacing w:line="259" w:lineRule="auto"/>
              <w:jc w:val="both"/>
              <w:rPr>
                <w:rFonts w:ascii="Garamond" w:hAnsi="Garamond"/>
                <w:bCs/>
                <w:iCs/>
                <w:sz w:val="20"/>
                <w:szCs w:val="20"/>
              </w:rPr>
            </w:pPr>
          </w:p>
        </w:tc>
        <w:tc>
          <w:tcPr>
            <w:tcW w:w="0" w:type="auto"/>
            <w:vAlign w:val="center"/>
          </w:tcPr>
          <w:p w14:paraId="0AA427EE"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Normed Fit Index (NFI)</w:t>
            </w:r>
          </w:p>
        </w:tc>
        <w:tc>
          <w:tcPr>
            <w:tcW w:w="0" w:type="auto"/>
            <w:vAlign w:val="center"/>
          </w:tcPr>
          <w:p w14:paraId="569C9B8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&gt; 0.90</w:t>
            </w:r>
          </w:p>
        </w:tc>
        <w:tc>
          <w:tcPr>
            <w:tcW w:w="1254" w:type="dxa"/>
            <w:vAlign w:val="center"/>
          </w:tcPr>
          <w:p w14:paraId="510710C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0.852</w:t>
            </w:r>
          </w:p>
        </w:tc>
        <w:tc>
          <w:tcPr>
            <w:tcW w:w="1235" w:type="dxa"/>
            <w:vAlign w:val="center"/>
          </w:tcPr>
          <w:p w14:paraId="171BD633"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Marginal Fit</w:t>
            </w:r>
          </w:p>
        </w:tc>
      </w:tr>
      <w:tr w:rsidR="00BE7F1E" w:rsidRPr="00BE7F1E" w14:paraId="2D19C7C4" w14:textId="77777777" w:rsidTr="00AF2C8F">
        <w:trPr>
          <w:tblCellSpacing w:w="15" w:type="dxa"/>
        </w:trPr>
        <w:tc>
          <w:tcPr>
            <w:tcW w:w="0" w:type="auto"/>
            <w:vAlign w:val="center"/>
          </w:tcPr>
          <w:p w14:paraId="53094E2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Incremental Fit</w:t>
            </w:r>
          </w:p>
        </w:tc>
        <w:tc>
          <w:tcPr>
            <w:tcW w:w="0" w:type="auto"/>
            <w:vAlign w:val="center"/>
          </w:tcPr>
          <w:p w14:paraId="2707CBFE"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Incremental Fit Index (IFI)</w:t>
            </w:r>
          </w:p>
        </w:tc>
        <w:tc>
          <w:tcPr>
            <w:tcW w:w="0" w:type="auto"/>
            <w:vAlign w:val="center"/>
          </w:tcPr>
          <w:p w14:paraId="71298DFC"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&gt; 0.90</w:t>
            </w:r>
          </w:p>
        </w:tc>
        <w:tc>
          <w:tcPr>
            <w:tcW w:w="1254" w:type="dxa"/>
            <w:vAlign w:val="center"/>
          </w:tcPr>
          <w:p w14:paraId="6238FE0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0.916</w:t>
            </w:r>
          </w:p>
        </w:tc>
        <w:tc>
          <w:tcPr>
            <w:tcW w:w="1235" w:type="dxa"/>
            <w:vAlign w:val="center"/>
          </w:tcPr>
          <w:p w14:paraId="3F76013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Good Fit</w:t>
            </w:r>
          </w:p>
        </w:tc>
      </w:tr>
      <w:tr w:rsidR="00BE7F1E" w:rsidRPr="00BE7F1E" w14:paraId="0614BB7C" w14:textId="77777777" w:rsidTr="00AF2C8F">
        <w:trPr>
          <w:tblCellSpacing w:w="15" w:type="dxa"/>
        </w:trPr>
        <w:tc>
          <w:tcPr>
            <w:tcW w:w="0" w:type="auto"/>
            <w:vAlign w:val="center"/>
          </w:tcPr>
          <w:p w14:paraId="51117ECC" w14:textId="77777777" w:rsidR="00BE7F1E" w:rsidRPr="00BE7F1E" w:rsidRDefault="00BE7F1E" w:rsidP="00BE7F1E">
            <w:pPr>
              <w:spacing w:line="259" w:lineRule="auto"/>
              <w:jc w:val="both"/>
              <w:rPr>
                <w:rFonts w:ascii="Garamond" w:hAnsi="Garamond"/>
                <w:bCs/>
                <w:iCs/>
                <w:sz w:val="20"/>
                <w:szCs w:val="20"/>
              </w:rPr>
            </w:pPr>
          </w:p>
        </w:tc>
        <w:tc>
          <w:tcPr>
            <w:tcW w:w="0" w:type="auto"/>
            <w:vAlign w:val="center"/>
          </w:tcPr>
          <w:p w14:paraId="273A34B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Tucker-Lewis Index (TLI)</w:t>
            </w:r>
          </w:p>
        </w:tc>
        <w:tc>
          <w:tcPr>
            <w:tcW w:w="0" w:type="auto"/>
            <w:vAlign w:val="center"/>
          </w:tcPr>
          <w:p w14:paraId="7F05642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&gt; 0.90</w:t>
            </w:r>
          </w:p>
        </w:tc>
        <w:tc>
          <w:tcPr>
            <w:tcW w:w="1254" w:type="dxa"/>
            <w:vAlign w:val="center"/>
          </w:tcPr>
          <w:p w14:paraId="0CE079A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0.900</w:t>
            </w:r>
          </w:p>
        </w:tc>
        <w:tc>
          <w:tcPr>
            <w:tcW w:w="1235" w:type="dxa"/>
            <w:vAlign w:val="center"/>
          </w:tcPr>
          <w:p w14:paraId="1AA6A50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Good Fit</w:t>
            </w:r>
          </w:p>
        </w:tc>
      </w:tr>
      <w:tr w:rsidR="00BE7F1E" w:rsidRPr="00BE7F1E" w14:paraId="4EBEA794" w14:textId="77777777" w:rsidTr="00AF2C8F">
        <w:trPr>
          <w:tblCellSpacing w:w="15" w:type="dxa"/>
        </w:trPr>
        <w:tc>
          <w:tcPr>
            <w:tcW w:w="0" w:type="auto"/>
            <w:vAlign w:val="center"/>
          </w:tcPr>
          <w:p w14:paraId="6469264A" w14:textId="77777777" w:rsidR="00BE7F1E" w:rsidRPr="00BE7F1E" w:rsidRDefault="00BE7F1E" w:rsidP="00BE7F1E">
            <w:pPr>
              <w:spacing w:line="259" w:lineRule="auto"/>
              <w:jc w:val="both"/>
              <w:rPr>
                <w:rFonts w:ascii="Garamond" w:hAnsi="Garamond"/>
                <w:bCs/>
                <w:iCs/>
                <w:sz w:val="20"/>
                <w:szCs w:val="20"/>
              </w:rPr>
            </w:pPr>
          </w:p>
        </w:tc>
        <w:tc>
          <w:tcPr>
            <w:tcW w:w="0" w:type="auto"/>
            <w:vAlign w:val="center"/>
          </w:tcPr>
          <w:p w14:paraId="30EEBF1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Relative Fit Index (RFI)</w:t>
            </w:r>
          </w:p>
        </w:tc>
        <w:tc>
          <w:tcPr>
            <w:tcW w:w="0" w:type="auto"/>
            <w:vAlign w:val="center"/>
          </w:tcPr>
          <w:p w14:paraId="5225F03B"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&gt; 0.90</w:t>
            </w:r>
          </w:p>
        </w:tc>
        <w:tc>
          <w:tcPr>
            <w:tcW w:w="1254" w:type="dxa"/>
            <w:vAlign w:val="center"/>
          </w:tcPr>
          <w:p w14:paraId="147DF29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0.828</w:t>
            </w:r>
          </w:p>
        </w:tc>
        <w:tc>
          <w:tcPr>
            <w:tcW w:w="1235" w:type="dxa"/>
            <w:vAlign w:val="center"/>
          </w:tcPr>
          <w:p w14:paraId="3ED00E3A"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Marginal Fit</w:t>
            </w:r>
          </w:p>
        </w:tc>
      </w:tr>
      <w:tr w:rsidR="00BE7F1E" w:rsidRPr="00BE7F1E" w14:paraId="0CE5B90E" w14:textId="77777777" w:rsidTr="00AF2C8F">
        <w:trPr>
          <w:tblCellSpacing w:w="15" w:type="dxa"/>
        </w:trPr>
        <w:tc>
          <w:tcPr>
            <w:tcW w:w="0" w:type="auto"/>
            <w:tcBorders>
              <w:bottom w:val="single" w:sz="4" w:space="0" w:color="auto"/>
            </w:tcBorders>
            <w:vAlign w:val="center"/>
          </w:tcPr>
          <w:p w14:paraId="032FB0C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Parsimonious Fit</w:t>
            </w:r>
          </w:p>
        </w:tc>
        <w:tc>
          <w:tcPr>
            <w:tcW w:w="0" w:type="auto"/>
            <w:tcBorders>
              <w:bottom w:val="single" w:sz="4" w:space="0" w:color="auto"/>
            </w:tcBorders>
            <w:vAlign w:val="center"/>
          </w:tcPr>
          <w:p w14:paraId="579EB91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Parsimonious Normal Fit Index (PNFI)</w:t>
            </w:r>
          </w:p>
        </w:tc>
        <w:tc>
          <w:tcPr>
            <w:tcW w:w="0" w:type="auto"/>
            <w:tcBorders>
              <w:bottom w:val="single" w:sz="4" w:space="0" w:color="auto"/>
            </w:tcBorders>
            <w:vAlign w:val="center"/>
          </w:tcPr>
          <w:p w14:paraId="7F2F4A32"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0.60 – 0.90</w:t>
            </w:r>
          </w:p>
        </w:tc>
        <w:tc>
          <w:tcPr>
            <w:tcW w:w="1254" w:type="dxa"/>
            <w:tcBorders>
              <w:bottom w:val="single" w:sz="4" w:space="0" w:color="auto"/>
            </w:tcBorders>
            <w:vAlign w:val="center"/>
          </w:tcPr>
          <w:p w14:paraId="543E62C3"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0.801</w:t>
            </w:r>
          </w:p>
        </w:tc>
        <w:tc>
          <w:tcPr>
            <w:tcW w:w="1235" w:type="dxa"/>
            <w:tcBorders>
              <w:bottom w:val="single" w:sz="4" w:space="0" w:color="auto"/>
            </w:tcBorders>
            <w:vAlign w:val="center"/>
          </w:tcPr>
          <w:p w14:paraId="785FC3C1"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Acceptable Fit</w:t>
            </w:r>
          </w:p>
        </w:tc>
      </w:tr>
    </w:tbl>
    <w:p w14:paraId="0B96C899" w14:textId="77777777" w:rsidR="00F33AF5" w:rsidRDefault="00F33AF5" w:rsidP="00BE7F1E">
      <w:pPr>
        <w:spacing w:line="259" w:lineRule="auto"/>
        <w:jc w:val="both"/>
        <w:rPr>
          <w:rFonts w:ascii="Garamond" w:hAnsi="Garamond"/>
          <w:b/>
          <w:iCs/>
          <w:sz w:val="20"/>
          <w:szCs w:val="20"/>
        </w:rPr>
      </w:pPr>
      <w:bookmarkStart w:id="9" w:name="_Hlk202122845"/>
      <w:bookmarkEnd w:id="8"/>
    </w:p>
    <w:p w14:paraId="3EA3B9AE" w14:textId="2A835669" w:rsidR="00BE7F1E" w:rsidRPr="00BE7F1E" w:rsidRDefault="00BE7F1E" w:rsidP="00BE7F1E">
      <w:pPr>
        <w:spacing w:line="259" w:lineRule="auto"/>
        <w:jc w:val="both"/>
        <w:rPr>
          <w:rFonts w:ascii="Garamond" w:hAnsi="Garamond"/>
          <w:bCs/>
          <w:iCs/>
          <w:sz w:val="20"/>
          <w:szCs w:val="20"/>
        </w:rPr>
      </w:pPr>
      <w:r w:rsidRPr="00F33AF5">
        <w:rPr>
          <w:rFonts w:ascii="Garamond" w:hAnsi="Garamond"/>
          <w:b/>
          <w:iCs/>
          <w:sz w:val="20"/>
          <w:szCs w:val="20"/>
        </w:rPr>
        <w:t>Table 2.</w:t>
      </w:r>
      <w:r w:rsidRPr="00BE7F1E">
        <w:rPr>
          <w:rFonts w:ascii="Garamond" w:hAnsi="Garamond"/>
          <w:bCs/>
          <w:iCs/>
          <w:sz w:val="20"/>
          <w:szCs w:val="20"/>
        </w:rPr>
        <w:t xml:space="preserve"> Standardized Factor Loadings of UPSR Items (N = 60)</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34"/>
        <w:gridCol w:w="2338"/>
        <w:gridCol w:w="2177"/>
        <w:gridCol w:w="1690"/>
        <w:gridCol w:w="1203"/>
        <w:gridCol w:w="1218"/>
      </w:tblGrid>
      <w:tr w:rsidR="00BE7F1E" w:rsidRPr="00BE7F1E" w14:paraId="3E1FEE9B" w14:textId="77777777" w:rsidTr="00AF2C8F">
        <w:trPr>
          <w:tblCellSpacing w:w="15" w:type="dxa"/>
        </w:trPr>
        <w:tc>
          <w:tcPr>
            <w:tcW w:w="368" w:type="pct"/>
            <w:tcBorders>
              <w:top w:val="single" w:sz="4" w:space="0" w:color="auto"/>
              <w:bottom w:val="single" w:sz="4" w:space="0" w:color="auto"/>
            </w:tcBorders>
            <w:vAlign w:val="center"/>
          </w:tcPr>
          <w:p w14:paraId="2A17238D" w14:textId="77777777" w:rsidR="00BE7F1E" w:rsidRPr="00AF2C8F" w:rsidRDefault="00BE7F1E" w:rsidP="00BE7F1E">
            <w:pPr>
              <w:spacing w:line="259" w:lineRule="auto"/>
              <w:jc w:val="both"/>
              <w:rPr>
                <w:rFonts w:ascii="Garamond" w:hAnsi="Garamond"/>
                <w:b/>
                <w:iCs/>
                <w:sz w:val="20"/>
                <w:szCs w:val="20"/>
              </w:rPr>
            </w:pPr>
            <w:r w:rsidRPr="00AF2C8F">
              <w:rPr>
                <w:rFonts w:ascii="Garamond" w:hAnsi="Garamond"/>
                <w:b/>
                <w:iCs/>
                <w:sz w:val="20"/>
                <w:szCs w:val="20"/>
              </w:rPr>
              <w:t>Item</w:t>
            </w:r>
          </w:p>
        </w:tc>
        <w:tc>
          <w:tcPr>
            <w:tcW w:w="1233" w:type="pct"/>
            <w:tcBorders>
              <w:top w:val="single" w:sz="4" w:space="0" w:color="auto"/>
              <w:bottom w:val="single" w:sz="4" w:space="0" w:color="auto"/>
            </w:tcBorders>
            <w:vAlign w:val="center"/>
          </w:tcPr>
          <w:p w14:paraId="54BB9BCF" w14:textId="77777777" w:rsidR="00BE7F1E" w:rsidRPr="00AF2C8F" w:rsidRDefault="00BE7F1E" w:rsidP="00BE7F1E">
            <w:pPr>
              <w:spacing w:line="259" w:lineRule="auto"/>
              <w:jc w:val="both"/>
              <w:rPr>
                <w:rFonts w:ascii="Garamond" w:hAnsi="Garamond"/>
                <w:b/>
                <w:iCs/>
                <w:sz w:val="20"/>
                <w:szCs w:val="20"/>
              </w:rPr>
            </w:pPr>
            <w:r w:rsidRPr="00AF2C8F">
              <w:rPr>
                <w:rFonts w:ascii="Garamond" w:hAnsi="Garamond"/>
                <w:b/>
                <w:iCs/>
                <w:sz w:val="20"/>
                <w:szCs w:val="20"/>
              </w:rPr>
              <w:t>Factor</w:t>
            </w:r>
          </w:p>
        </w:tc>
        <w:tc>
          <w:tcPr>
            <w:tcW w:w="1147" w:type="pct"/>
            <w:tcBorders>
              <w:top w:val="single" w:sz="4" w:space="0" w:color="auto"/>
              <w:bottom w:val="single" w:sz="4" w:space="0" w:color="auto"/>
            </w:tcBorders>
            <w:vAlign w:val="center"/>
          </w:tcPr>
          <w:p w14:paraId="3C5527E5" w14:textId="77777777" w:rsidR="00BE7F1E" w:rsidRPr="00AF2C8F" w:rsidRDefault="00BE7F1E" w:rsidP="00BE7F1E">
            <w:pPr>
              <w:spacing w:line="259" w:lineRule="auto"/>
              <w:jc w:val="both"/>
              <w:rPr>
                <w:rFonts w:ascii="Garamond" w:hAnsi="Garamond"/>
                <w:b/>
                <w:iCs/>
                <w:sz w:val="20"/>
                <w:szCs w:val="20"/>
              </w:rPr>
            </w:pPr>
            <w:r w:rsidRPr="00AF2C8F">
              <w:rPr>
                <w:rFonts w:ascii="Garamond" w:hAnsi="Garamond"/>
                <w:b/>
                <w:iCs/>
                <w:sz w:val="20"/>
                <w:szCs w:val="20"/>
              </w:rPr>
              <w:t>Loading</w:t>
            </w:r>
          </w:p>
        </w:tc>
        <w:tc>
          <w:tcPr>
            <w:tcW w:w="887" w:type="pct"/>
            <w:tcBorders>
              <w:top w:val="single" w:sz="4" w:space="0" w:color="auto"/>
              <w:bottom w:val="single" w:sz="4" w:space="0" w:color="auto"/>
            </w:tcBorders>
            <w:vAlign w:val="center"/>
          </w:tcPr>
          <w:p w14:paraId="29E851E9" w14:textId="77777777" w:rsidR="00BE7F1E" w:rsidRPr="00AF2C8F" w:rsidRDefault="00BE7F1E" w:rsidP="00BE7F1E">
            <w:pPr>
              <w:spacing w:line="259" w:lineRule="auto"/>
              <w:jc w:val="both"/>
              <w:rPr>
                <w:rFonts w:ascii="Garamond" w:hAnsi="Garamond"/>
                <w:b/>
                <w:iCs/>
                <w:sz w:val="20"/>
                <w:szCs w:val="20"/>
              </w:rPr>
            </w:pPr>
            <w:r w:rsidRPr="00AF2C8F">
              <w:rPr>
                <w:rFonts w:ascii="Garamond" w:hAnsi="Garamond"/>
                <w:b/>
                <w:iCs/>
                <w:sz w:val="20"/>
                <w:szCs w:val="20"/>
              </w:rPr>
              <w:t>Std. Error</w:t>
            </w:r>
          </w:p>
        </w:tc>
        <w:tc>
          <w:tcPr>
            <w:tcW w:w="627" w:type="pct"/>
            <w:tcBorders>
              <w:top w:val="single" w:sz="4" w:space="0" w:color="auto"/>
              <w:bottom w:val="single" w:sz="4" w:space="0" w:color="auto"/>
            </w:tcBorders>
            <w:vAlign w:val="center"/>
          </w:tcPr>
          <w:p w14:paraId="509B29B1" w14:textId="77777777" w:rsidR="00BE7F1E" w:rsidRPr="00AF2C8F" w:rsidRDefault="00BE7F1E" w:rsidP="00BE7F1E">
            <w:pPr>
              <w:spacing w:line="259" w:lineRule="auto"/>
              <w:jc w:val="both"/>
              <w:rPr>
                <w:rFonts w:ascii="Garamond" w:hAnsi="Garamond"/>
                <w:b/>
                <w:iCs/>
                <w:sz w:val="20"/>
                <w:szCs w:val="20"/>
              </w:rPr>
            </w:pPr>
            <w:r w:rsidRPr="00AF2C8F">
              <w:rPr>
                <w:rFonts w:ascii="Garamond" w:hAnsi="Garamond"/>
                <w:b/>
                <w:iCs/>
                <w:sz w:val="20"/>
                <w:szCs w:val="20"/>
              </w:rPr>
              <w:t>z-value</w:t>
            </w:r>
          </w:p>
        </w:tc>
        <w:tc>
          <w:tcPr>
            <w:tcW w:w="627" w:type="pct"/>
            <w:tcBorders>
              <w:top w:val="single" w:sz="4" w:space="0" w:color="auto"/>
              <w:bottom w:val="single" w:sz="4" w:space="0" w:color="auto"/>
            </w:tcBorders>
            <w:vAlign w:val="center"/>
          </w:tcPr>
          <w:p w14:paraId="6B9B412B" w14:textId="77777777" w:rsidR="00BE7F1E" w:rsidRPr="00AF2C8F" w:rsidRDefault="00BE7F1E" w:rsidP="00BE7F1E">
            <w:pPr>
              <w:spacing w:line="259" w:lineRule="auto"/>
              <w:jc w:val="both"/>
              <w:rPr>
                <w:rFonts w:ascii="Garamond" w:hAnsi="Garamond"/>
                <w:b/>
                <w:iCs/>
                <w:sz w:val="20"/>
                <w:szCs w:val="20"/>
              </w:rPr>
            </w:pPr>
            <w:r w:rsidRPr="00AF2C8F">
              <w:rPr>
                <w:rFonts w:ascii="Garamond" w:hAnsi="Garamond"/>
                <w:b/>
                <w:iCs/>
                <w:sz w:val="20"/>
                <w:szCs w:val="20"/>
              </w:rPr>
              <w:t>p-value</w:t>
            </w:r>
          </w:p>
        </w:tc>
      </w:tr>
      <w:tr w:rsidR="00BE7F1E" w:rsidRPr="00BE7F1E" w14:paraId="7264CCEF" w14:textId="77777777" w:rsidTr="00AF2C8F">
        <w:trPr>
          <w:tblCellSpacing w:w="15" w:type="dxa"/>
        </w:trPr>
        <w:tc>
          <w:tcPr>
            <w:tcW w:w="368" w:type="pct"/>
            <w:vAlign w:val="center"/>
          </w:tcPr>
          <w:p w14:paraId="6A117E02"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U1</w:t>
            </w:r>
          </w:p>
        </w:tc>
        <w:tc>
          <w:tcPr>
            <w:tcW w:w="1233" w:type="pct"/>
            <w:vAlign w:val="center"/>
          </w:tcPr>
          <w:p w14:paraId="3C1BFA6E"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Self-Regard</w:t>
            </w:r>
          </w:p>
        </w:tc>
        <w:tc>
          <w:tcPr>
            <w:tcW w:w="1147" w:type="pct"/>
            <w:vAlign w:val="center"/>
          </w:tcPr>
          <w:p w14:paraId="1863106D"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1.000 (fixed)</w:t>
            </w:r>
          </w:p>
        </w:tc>
        <w:tc>
          <w:tcPr>
            <w:tcW w:w="887" w:type="pct"/>
            <w:vAlign w:val="center"/>
          </w:tcPr>
          <w:p w14:paraId="2B79DD7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w:t>
            </w:r>
          </w:p>
        </w:tc>
        <w:tc>
          <w:tcPr>
            <w:tcW w:w="627" w:type="pct"/>
            <w:vAlign w:val="center"/>
          </w:tcPr>
          <w:p w14:paraId="7D3317F1"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w:t>
            </w:r>
          </w:p>
        </w:tc>
        <w:tc>
          <w:tcPr>
            <w:tcW w:w="627" w:type="pct"/>
            <w:vAlign w:val="center"/>
          </w:tcPr>
          <w:p w14:paraId="2C2A6B58"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w:t>
            </w:r>
          </w:p>
        </w:tc>
      </w:tr>
      <w:tr w:rsidR="00BE7F1E" w:rsidRPr="00BE7F1E" w14:paraId="6C9465E1" w14:textId="77777777" w:rsidTr="00AF2C8F">
        <w:trPr>
          <w:tblCellSpacing w:w="15" w:type="dxa"/>
        </w:trPr>
        <w:tc>
          <w:tcPr>
            <w:tcW w:w="368" w:type="pct"/>
            <w:vAlign w:val="center"/>
          </w:tcPr>
          <w:p w14:paraId="2016CEFC"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U4</w:t>
            </w:r>
          </w:p>
        </w:tc>
        <w:tc>
          <w:tcPr>
            <w:tcW w:w="1233" w:type="pct"/>
            <w:vAlign w:val="center"/>
          </w:tcPr>
          <w:p w14:paraId="260F4B3A"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Self-Regard</w:t>
            </w:r>
          </w:p>
        </w:tc>
        <w:tc>
          <w:tcPr>
            <w:tcW w:w="1147" w:type="pct"/>
            <w:vAlign w:val="center"/>
          </w:tcPr>
          <w:p w14:paraId="33C5B3F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1.238</w:t>
            </w:r>
          </w:p>
        </w:tc>
        <w:tc>
          <w:tcPr>
            <w:tcW w:w="887" w:type="pct"/>
            <w:vAlign w:val="center"/>
          </w:tcPr>
          <w:p w14:paraId="4295873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0.179</w:t>
            </w:r>
          </w:p>
        </w:tc>
        <w:tc>
          <w:tcPr>
            <w:tcW w:w="627" w:type="pct"/>
            <w:vAlign w:val="center"/>
          </w:tcPr>
          <w:p w14:paraId="7D70E7D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6.917</w:t>
            </w:r>
          </w:p>
        </w:tc>
        <w:tc>
          <w:tcPr>
            <w:tcW w:w="627" w:type="pct"/>
            <w:vAlign w:val="center"/>
          </w:tcPr>
          <w:p w14:paraId="6F7B69BD"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39AA84F1" w14:textId="77777777" w:rsidTr="00AF2C8F">
        <w:trPr>
          <w:tblCellSpacing w:w="15" w:type="dxa"/>
        </w:trPr>
        <w:tc>
          <w:tcPr>
            <w:tcW w:w="368" w:type="pct"/>
            <w:vAlign w:val="center"/>
          </w:tcPr>
          <w:p w14:paraId="14154A13"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U7</w:t>
            </w:r>
          </w:p>
        </w:tc>
        <w:tc>
          <w:tcPr>
            <w:tcW w:w="1233" w:type="pct"/>
            <w:vAlign w:val="center"/>
          </w:tcPr>
          <w:p w14:paraId="0FC76C9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Self-Regard</w:t>
            </w:r>
          </w:p>
        </w:tc>
        <w:tc>
          <w:tcPr>
            <w:tcW w:w="1147" w:type="pct"/>
            <w:vAlign w:val="center"/>
          </w:tcPr>
          <w:p w14:paraId="709D5403"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1.468</w:t>
            </w:r>
          </w:p>
        </w:tc>
        <w:tc>
          <w:tcPr>
            <w:tcW w:w="887" w:type="pct"/>
            <w:vAlign w:val="center"/>
          </w:tcPr>
          <w:p w14:paraId="5EACE6A8"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0.183</w:t>
            </w:r>
          </w:p>
        </w:tc>
        <w:tc>
          <w:tcPr>
            <w:tcW w:w="627" w:type="pct"/>
            <w:vAlign w:val="center"/>
          </w:tcPr>
          <w:p w14:paraId="2A19A6B4"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8.017</w:t>
            </w:r>
          </w:p>
        </w:tc>
        <w:tc>
          <w:tcPr>
            <w:tcW w:w="627" w:type="pct"/>
            <w:vAlign w:val="center"/>
          </w:tcPr>
          <w:p w14:paraId="351D21E8"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772D86B5" w14:textId="77777777" w:rsidTr="00AF2C8F">
        <w:trPr>
          <w:tblCellSpacing w:w="15" w:type="dxa"/>
        </w:trPr>
        <w:tc>
          <w:tcPr>
            <w:tcW w:w="368" w:type="pct"/>
            <w:vAlign w:val="center"/>
          </w:tcPr>
          <w:p w14:paraId="5DBAEC3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U8</w:t>
            </w:r>
          </w:p>
        </w:tc>
        <w:tc>
          <w:tcPr>
            <w:tcW w:w="1233" w:type="pct"/>
            <w:vAlign w:val="center"/>
          </w:tcPr>
          <w:p w14:paraId="6704CB93"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Self-Regard</w:t>
            </w:r>
          </w:p>
        </w:tc>
        <w:tc>
          <w:tcPr>
            <w:tcW w:w="1147" w:type="pct"/>
            <w:vAlign w:val="center"/>
          </w:tcPr>
          <w:p w14:paraId="3E02BF3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1.448</w:t>
            </w:r>
          </w:p>
        </w:tc>
        <w:tc>
          <w:tcPr>
            <w:tcW w:w="887" w:type="pct"/>
            <w:vAlign w:val="center"/>
          </w:tcPr>
          <w:p w14:paraId="0A6D66CA"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0.194</w:t>
            </w:r>
          </w:p>
        </w:tc>
        <w:tc>
          <w:tcPr>
            <w:tcW w:w="627" w:type="pct"/>
            <w:vAlign w:val="center"/>
          </w:tcPr>
          <w:p w14:paraId="220CF86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7.447</w:t>
            </w:r>
          </w:p>
        </w:tc>
        <w:tc>
          <w:tcPr>
            <w:tcW w:w="627" w:type="pct"/>
            <w:vAlign w:val="center"/>
          </w:tcPr>
          <w:p w14:paraId="66A2308D"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36B26940" w14:textId="77777777" w:rsidTr="00AF2C8F">
        <w:trPr>
          <w:tblCellSpacing w:w="15" w:type="dxa"/>
        </w:trPr>
        <w:tc>
          <w:tcPr>
            <w:tcW w:w="368" w:type="pct"/>
            <w:vAlign w:val="center"/>
          </w:tcPr>
          <w:p w14:paraId="2895C6C4"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U9</w:t>
            </w:r>
          </w:p>
        </w:tc>
        <w:tc>
          <w:tcPr>
            <w:tcW w:w="1233" w:type="pct"/>
            <w:vAlign w:val="center"/>
          </w:tcPr>
          <w:p w14:paraId="14F70E2B"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Self-Regard</w:t>
            </w:r>
          </w:p>
        </w:tc>
        <w:tc>
          <w:tcPr>
            <w:tcW w:w="1147" w:type="pct"/>
            <w:vAlign w:val="center"/>
          </w:tcPr>
          <w:p w14:paraId="64E74D9A"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1.369</w:t>
            </w:r>
          </w:p>
        </w:tc>
        <w:tc>
          <w:tcPr>
            <w:tcW w:w="887" w:type="pct"/>
            <w:vAlign w:val="center"/>
          </w:tcPr>
          <w:p w14:paraId="1898FFD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0.178</w:t>
            </w:r>
          </w:p>
        </w:tc>
        <w:tc>
          <w:tcPr>
            <w:tcW w:w="627" w:type="pct"/>
            <w:vAlign w:val="center"/>
          </w:tcPr>
          <w:p w14:paraId="409A937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7.681</w:t>
            </w:r>
          </w:p>
        </w:tc>
        <w:tc>
          <w:tcPr>
            <w:tcW w:w="627" w:type="pct"/>
            <w:vAlign w:val="center"/>
          </w:tcPr>
          <w:p w14:paraId="05194D2D"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4E4DB21C" w14:textId="77777777" w:rsidTr="00AF2C8F">
        <w:trPr>
          <w:tblCellSpacing w:w="15" w:type="dxa"/>
        </w:trPr>
        <w:tc>
          <w:tcPr>
            <w:tcW w:w="368" w:type="pct"/>
            <w:vAlign w:val="center"/>
          </w:tcPr>
          <w:p w14:paraId="757C950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U11</w:t>
            </w:r>
          </w:p>
        </w:tc>
        <w:tc>
          <w:tcPr>
            <w:tcW w:w="1233" w:type="pct"/>
            <w:vAlign w:val="center"/>
          </w:tcPr>
          <w:p w14:paraId="476E83D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Self-Regard</w:t>
            </w:r>
          </w:p>
        </w:tc>
        <w:tc>
          <w:tcPr>
            <w:tcW w:w="1147" w:type="pct"/>
            <w:vAlign w:val="center"/>
          </w:tcPr>
          <w:p w14:paraId="75C4957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1.350</w:t>
            </w:r>
          </w:p>
        </w:tc>
        <w:tc>
          <w:tcPr>
            <w:tcW w:w="887" w:type="pct"/>
            <w:vAlign w:val="center"/>
          </w:tcPr>
          <w:p w14:paraId="11A6BF37"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0.181</w:t>
            </w:r>
          </w:p>
        </w:tc>
        <w:tc>
          <w:tcPr>
            <w:tcW w:w="627" w:type="pct"/>
            <w:vAlign w:val="center"/>
          </w:tcPr>
          <w:p w14:paraId="4502517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7.472</w:t>
            </w:r>
          </w:p>
        </w:tc>
        <w:tc>
          <w:tcPr>
            <w:tcW w:w="627" w:type="pct"/>
            <w:vAlign w:val="center"/>
          </w:tcPr>
          <w:p w14:paraId="04FBE35A"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2DD616DD" w14:textId="77777777" w:rsidTr="00AF2C8F">
        <w:trPr>
          <w:tblCellSpacing w:w="15" w:type="dxa"/>
        </w:trPr>
        <w:tc>
          <w:tcPr>
            <w:tcW w:w="368" w:type="pct"/>
            <w:vAlign w:val="center"/>
          </w:tcPr>
          <w:p w14:paraId="15B6C1C7"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U2</w:t>
            </w:r>
          </w:p>
        </w:tc>
        <w:tc>
          <w:tcPr>
            <w:tcW w:w="1233" w:type="pct"/>
            <w:vAlign w:val="center"/>
          </w:tcPr>
          <w:p w14:paraId="1F34AE7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Conditionality</w:t>
            </w:r>
          </w:p>
        </w:tc>
        <w:tc>
          <w:tcPr>
            <w:tcW w:w="1147" w:type="pct"/>
            <w:vAlign w:val="center"/>
          </w:tcPr>
          <w:p w14:paraId="43159D1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1.000 (fixed)</w:t>
            </w:r>
          </w:p>
        </w:tc>
        <w:tc>
          <w:tcPr>
            <w:tcW w:w="887" w:type="pct"/>
            <w:vAlign w:val="center"/>
          </w:tcPr>
          <w:p w14:paraId="2F37517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w:t>
            </w:r>
          </w:p>
        </w:tc>
        <w:tc>
          <w:tcPr>
            <w:tcW w:w="627" w:type="pct"/>
            <w:vAlign w:val="center"/>
          </w:tcPr>
          <w:p w14:paraId="783E3114"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w:t>
            </w:r>
          </w:p>
        </w:tc>
        <w:tc>
          <w:tcPr>
            <w:tcW w:w="627" w:type="pct"/>
            <w:vAlign w:val="center"/>
          </w:tcPr>
          <w:p w14:paraId="04EDB21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w:t>
            </w:r>
          </w:p>
        </w:tc>
      </w:tr>
      <w:tr w:rsidR="00BE7F1E" w:rsidRPr="00BE7F1E" w14:paraId="152F0FBA" w14:textId="77777777" w:rsidTr="00AF2C8F">
        <w:trPr>
          <w:tblCellSpacing w:w="15" w:type="dxa"/>
        </w:trPr>
        <w:tc>
          <w:tcPr>
            <w:tcW w:w="368" w:type="pct"/>
            <w:vAlign w:val="center"/>
          </w:tcPr>
          <w:p w14:paraId="0937F574"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U3</w:t>
            </w:r>
          </w:p>
        </w:tc>
        <w:tc>
          <w:tcPr>
            <w:tcW w:w="1233" w:type="pct"/>
            <w:vAlign w:val="center"/>
          </w:tcPr>
          <w:p w14:paraId="42D01C7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Conditionality</w:t>
            </w:r>
          </w:p>
        </w:tc>
        <w:tc>
          <w:tcPr>
            <w:tcW w:w="1147" w:type="pct"/>
            <w:vAlign w:val="center"/>
          </w:tcPr>
          <w:p w14:paraId="44E0B2FC"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-1.008</w:t>
            </w:r>
          </w:p>
        </w:tc>
        <w:tc>
          <w:tcPr>
            <w:tcW w:w="887" w:type="pct"/>
            <w:vAlign w:val="center"/>
          </w:tcPr>
          <w:p w14:paraId="7B3F386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0.274</w:t>
            </w:r>
          </w:p>
        </w:tc>
        <w:tc>
          <w:tcPr>
            <w:tcW w:w="627" w:type="pct"/>
            <w:vAlign w:val="center"/>
          </w:tcPr>
          <w:p w14:paraId="43638C81"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-3.677</w:t>
            </w:r>
          </w:p>
        </w:tc>
        <w:tc>
          <w:tcPr>
            <w:tcW w:w="627" w:type="pct"/>
            <w:vAlign w:val="center"/>
          </w:tcPr>
          <w:p w14:paraId="5D11F69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0F4E8177" w14:textId="77777777" w:rsidTr="00AF2C8F">
        <w:trPr>
          <w:tblCellSpacing w:w="15" w:type="dxa"/>
        </w:trPr>
        <w:tc>
          <w:tcPr>
            <w:tcW w:w="368" w:type="pct"/>
            <w:vAlign w:val="center"/>
          </w:tcPr>
          <w:p w14:paraId="497AFD81"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U5</w:t>
            </w:r>
          </w:p>
        </w:tc>
        <w:tc>
          <w:tcPr>
            <w:tcW w:w="1233" w:type="pct"/>
            <w:vAlign w:val="center"/>
          </w:tcPr>
          <w:p w14:paraId="0E5C1AC7"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Conditionality</w:t>
            </w:r>
          </w:p>
        </w:tc>
        <w:tc>
          <w:tcPr>
            <w:tcW w:w="1147" w:type="pct"/>
            <w:vAlign w:val="center"/>
          </w:tcPr>
          <w:p w14:paraId="7E7C00C2"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-1.174</w:t>
            </w:r>
          </w:p>
        </w:tc>
        <w:tc>
          <w:tcPr>
            <w:tcW w:w="887" w:type="pct"/>
            <w:vAlign w:val="center"/>
          </w:tcPr>
          <w:p w14:paraId="763602B7"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0.291</w:t>
            </w:r>
          </w:p>
        </w:tc>
        <w:tc>
          <w:tcPr>
            <w:tcW w:w="627" w:type="pct"/>
            <w:vAlign w:val="center"/>
          </w:tcPr>
          <w:p w14:paraId="11132A9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-4.029</w:t>
            </w:r>
          </w:p>
        </w:tc>
        <w:tc>
          <w:tcPr>
            <w:tcW w:w="627" w:type="pct"/>
            <w:vAlign w:val="center"/>
          </w:tcPr>
          <w:p w14:paraId="2755529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68378EA4" w14:textId="77777777" w:rsidTr="00AF2C8F">
        <w:trPr>
          <w:tblCellSpacing w:w="15" w:type="dxa"/>
        </w:trPr>
        <w:tc>
          <w:tcPr>
            <w:tcW w:w="368" w:type="pct"/>
            <w:vAlign w:val="center"/>
          </w:tcPr>
          <w:p w14:paraId="51C96974"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U6</w:t>
            </w:r>
          </w:p>
        </w:tc>
        <w:tc>
          <w:tcPr>
            <w:tcW w:w="1233" w:type="pct"/>
            <w:vAlign w:val="center"/>
          </w:tcPr>
          <w:p w14:paraId="36DF5BF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Conditionality</w:t>
            </w:r>
          </w:p>
        </w:tc>
        <w:tc>
          <w:tcPr>
            <w:tcW w:w="1147" w:type="pct"/>
            <w:vAlign w:val="center"/>
          </w:tcPr>
          <w:p w14:paraId="31D7B78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1.248</w:t>
            </w:r>
          </w:p>
        </w:tc>
        <w:tc>
          <w:tcPr>
            <w:tcW w:w="887" w:type="pct"/>
            <w:vAlign w:val="center"/>
          </w:tcPr>
          <w:p w14:paraId="3BA84A4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0.305</w:t>
            </w:r>
          </w:p>
        </w:tc>
        <w:tc>
          <w:tcPr>
            <w:tcW w:w="627" w:type="pct"/>
            <w:vAlign w:val="center"/>
          </w:tcPr>
          <w:p w14:paraId="42363AEB"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4.095</w:t>
            </w:r>
          </w:p>
        </w:tc>
        <w:tc>
          <w:tcPr>
            <w:tcW w:w="627" w:type="pct"/>
            <w:vAlign w:val="center"/>
          </w:tcPr>
          <w:p w14:paraId="357F1AE5"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1033ECD5" w14:textId="77777777" w:rsidTr="00AF2C8F">
        <w:trPr>
          <w:tblCellSpacing w:w="15" w:type="dxa"/>
        </w:trPr>
        <w:tc>
          <w:tcPr>
            <w:tcW w:w="368" w:type="pct"/>
            <w:vAlign w:val="center"/>
          </w:tcPr>
          <w:p w14:paraId="36682669"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U10</w:t>
            </w:r>
          </w:p>
        </w:tc>
        <w:tc>
          <w:tcPr>
            <w:tcW w:w="1233" w:type="pct"/>
            <w:vAlign w:val="center"/>
          </w:tcPr>
          <w:p w14:paraId="54965526"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Conditionality</w:t>
            </w:r>
          </w:p>
        </w:tc>
        <w:tc>
          <w:tcPr>
            <w:tcW w:w="1147" w:type="pct"/>
            <w:vAlign w:val="center"/>
          </w:tcPr>
          <w:p w14:paraId="264D65D4"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1.256</w:t>
            </w:r>
          </w:p>
        </w:tc>
        <w:tc>
          <w:tcPr>
            <w:tcW w:w="887" w:type="pct"/>
            <w:vAlign w:val="center"/>
          </w:tcPr>
          <w:p w14:paraId="02483363"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0.300</w:t>
            </w:r>
          </w:p>
        </w:tc>
        <w:tc>
          <w:tcPr>
            <w:tcW w:w="627" w:type="pct"/>
            <w:vAlign w:val="center"/>
          </w:tcPr>
          <w:p w14:paraId="26E8076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4.190</w:t>
            </w:r>
          </w:p>
        </w:tc>
        <w:tc>
          <w:tcPr>
            <w:tcW w:w="627" w:type="pct"/>
            <w:vAlign w:val="center"/>
          </w:tcPr>
          <w:p w14:paraId="2E6FC06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r w:rsidR="00BE7F1E" w:rsidRPr="00BE7F1E" w14:paraId="3AB52DB8" w14:textId="77777777" w:rsidTr="00AF2C8F">
        <w:trPr>
          <w:tblCellSpacing w:w="15" w:type="dxa"/>
        </w:trPr>
        <w:tc>
          <w:tcPr>
            <w:tcW w:w="368" w:type="pct"/>
            <w:tcBorders>
              <w:bottom w:val="single" w:sz="4" w:space="0" w:color="auto"/>
            </w:tcBorders>
            <w:vAlign w:val="center"/>
          </w:tcPr>
          <w:p w14:paraId="33116592"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U12</w:t>
            </w:r>
          </w:p>
        </w:tc>
        <w:tc>
          <w:tcPr>
            <w:tcW w:w="1233" w:type="pct"/>
            <w:tcBorders>
              <w:bottom w:val="single" w:sz="4" w:space="0" w:color="auto"/>
            </w:tcBorders>
            <w:vAlign w:val="center"/>
          </w:tcPr>
          <w:p w14:paraId="3D7262BD"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Conditionality</w:t>
            </w:r>
          </w:p>
        </w:tc>
        <w:tc>
          <w:tcPr>
            <w:tcW w:w="1147" w:type="pct"/>
            <w:tcBorders>
              <w:bottom w:val="single" w:sz="4" w:space="0" w:color="auto"/>
            </w:tcBorders>
            <w:vAlign w:val="center"/>
          </w:tcPr>
          <w:p w14:paraId="6842B83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1.104</w:t>
            </w:r>
          </w:p>
        </w:tc>
        <w:tc>
          <w:tcPr>
            <w:tcW w:w="887" w:type="pct"/>
            <w:tcBorders>
              <w:bottom w:val="single" w:sz="4" w:space="0" w:color="auto"/>
            </w:tcBorders>
            <w:vAlign w:val="center"/>
          </w:tcPr>
          <w:p w14:paraId="62A0E6DF"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0.292</w:t>
            </w:r>
          </w:p>
        </w:tc>
        <w:tc>
          <w:tcPr>
            <w:tcW w:w="627" w:type="pct"/>
            <w:tcBorders>
              <w:bottom w:val="single" w:sz="4" w:space="0" w:color="auto"/>
            </w:tcBorders>
            <w:vAlign w:val="center"/>
          </w:tcPr>
          <w:p w14:paraId="51C5E642"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3.778</w:t>
            </w:r>
          </w:p>
        </w:tc>
        <w:tc>
          <w:tcPr>
            <w:tcW w:w="627" w:type="pct"/>
            <w:tcBorders>
              <w:bottom w:val="single" w:sz="4" w:space="0" w:color="auto"/>
            </w:tcBorders>
            <w:vAlign w:val="center"/>
          </w:tcPr>
          <w:p w14:paraId="301F4560" w14:textId="77777777" w:rsidR="00BE7F1E" w:rsidRPr="00BE7F1E" w:rsidRDefault="00BE7F1E" w:rsidP="00BE7F1E">
            <w:pPr>
              <w:spacing w:line="259" w:lineRule="auto"/>
              <w:jc w:val="both"/>
              <w:rPr>
                <w:rFonts w:ascii="Garamond" w:hAnsi="Garamond"/>
                <w:bCs/>
                <w:iCs/>
                <w:sz w:val="20"/>
                <w:szCs w:val="20"/>
              </w:rPr>
            </w:pPr>
            <w:r w:rsidRPr="00BE7F1E">
              <w:rPr>
                <w:rFonts w:ascii="Garamond" w:hAnsi="Garamond"/>
                <w:bCs/>
                <w:iCs/>
                <w:sz w:val="20"/>
                <w:szCs w:val="20"/>
              </w:rPr>
              <w:t>&lt; .001</w:t>
            </w:r>
          </w:p>
        </w:tc>
      </w:tr>
    </w:tbl>
    <w:bookmarkEnd w:id="9"/>
    <w:p w14:paraId="64BD8DD9" w14:textId="77777777" w:rsidR="00E338FA" w:rsidRDefault="00BE7F1E" w:rsidP="00BE7F1E">
      <w:pPr>
        <w:spacing w:line="259" w:lineRule="auto"/>
        <w:jc w:val="both"/>
        <w:rPr>
          <w:rFonts w:ascii="Garamond" w:hAnsi="Garamond"/>
          <w:bCs/>
          <w:iCs/>
          <w:sz w:val="20"/>
          <w:szCs w:val="20"/>
        </w:rPr>
        <w:sectPr w:rsidR="00E338FA" w:rsidSect="00BE7F1E">
          <w:pgSz w:w="12240" w:h="15840"/>
          <w:pgMar w:top="1440" w:right="1440" w:bottom="1440" w:left="1440" w:header="720" w:footer="720" w:gutter="0"/>
          <w:cols w:space="720"/>
          <w:titlePg/>
          <w:docGrid w:linePitch="360"/>
        </w:sectPr>
      </w:pPr>
      <w:r w:rsidRPr="00BE7F1E">
        <w:rPr>
          <w:rFonts w:ascii="Garamond" w:hAnsi="Garamond"/>
          <w:bCs/>
          <w:iCs/>
          <w:sz w:val="20"/>
          <w:szCs w:val="20"/>
        </w:rPr>
        <w:t xml:space="preserve">This table confirms that all items are statistically significant indicators of their corresponding constructs, further validating the factorial structure proposed in the original scale </w:t>
      </w:r>
      <w:sdt>
        <w:sdtPr>
          <w:rPr>
            <w:rFonts w:ascii="Garamond" w:hAnsi="Garamond"/>
            <w:bCs/>
            <w:iCs/>
            <w:sz w:val="20"/>
            <w:szCs w:val="20"/>
            <w:vertAlign w:val="superscript"/>
          </w:rPr>
          <w:tag w:val="MENDELEY_CITATION_v3_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"/>
          <w:id w:val="60765305"/>
          <w:placeholder>
            <w:docPart w:val="A745072C9F544F8681CB300266B54405"/>
          </w:placeholder>
        </w:sdtPr>
        <w:sdtContent>
          <w:r w:rsidRPr="00BE7F1E">
            <w:rPr>
              <w:rFonts w:ascii="Garamond" w:hAnsi="Garamond"/>
              <w:bCs/>
              <w:iCs/>
              <w:sz w:val="20"/>
              <w:szCs w:val="20"/>
              <w:vertAlign w:val="superscript"/>
            </w:rPr>
            <w:t>2</w:t>
          </w:r>
        </w:sdtContent>
      </w:sdt>
      <w:r w:rsidRPr="00BE7F1E">
        <w:rPr>
          <w:rFonts w:ascii="Garamond" w:hAnsi="Garamond"/>
          <w:bCs/>
          <w:iCs/>
          <w:sz w:val="20"/>
          <w:szCs w:val="20"/>
        </w:rPr>
        <w:t>. The presence of negative loadings may warrant rephrasing or further semantic evaluation in future revisions.</w:t>
      </w:r>
    </w:p>
    <w:p w14:paraId="5626AB4B" w14:textId="77777777" w:rsidR="00AF2C8F" w:rsidRDefault="00AF2C8F" w:rsidP="00E338FA">
      <w:pPr>
        <w:spacing w:line="259" w:lineRule="auto"/>
        <w:jc w:val="both"/>
        <w:rPr>
          <w:rFonts w:ascii="Garamond" w:hAnsi="Garamond"/>
          <w:b/>
          <w:bCs/>
          <w:iCs/>
          <w:sz w:val="22"/>
          <w:szCs w:val="22"/>
        </w:rPr>
      </w:pPr>
    </w:p>
    <w:p w14:paraId="56F7AE26" w14:textId="7A0969A4" w:rsidR="00E338FA" w:rsidRPr="00F33AF5" w:rsidRDefault="00E338FA" w:rsidP="00E338FA">
      <w:pPr>
        <w:spacing w:line="259" w:lineRule="auto"/>
        <w:jc w:val="both"/>
        <w:rPr>
          <w:rFonts w:ascii="Garamond" w:hAnsi="Garamond"/>
          <w:b/>
          <w:bCs/>
          <w:iCs/>
          <w:sz w:val="22"/>
          <w:szCs w:val="22"/>
        </w:rPr>
      </w:pPr>
      <w:r w:rsidRPr="00F33AF5">
        <w:rPr>
          <w:rFonts w:ascii="Garamond" w:hAnsi="Garamond"/>
          <w:b/>
          <w:bCs/>
          <w:iCs/>
          <w:sz w:val="22"/>
          <w:szCs w:val="22"/>
        </w:rPr>
        <w:t>DISCUSSION</w:t>
      </w:r>
    </w:p>
    <w:p w14:paraId="31AA7833" w14:textId="248639AF" w:rsidR="00E338FA" w:rsidRPr="00AF2C8F" w:rsidRDefault="00E338FA" w:rsidP="00BE7F1E">
      <w:pPr>
        <w:spacing w:line="259" w:lineRule="auto"/>
        <w:jc w:val="both"/>
        <w:rPr>
          <w:rFonts w:ascii="Garamond" w:hAnsi="Garamond"/>
          <w:iCs/>
          <w:sz w:val="20"/>
          <w:szCs w:val="20"/>
        </w:rPr>
      </w:pPr>
      <w:r w:rsidRPr="00BD6B69">
        <w:rPr>
          <w:rFonts w:ascii="Garamond" w:hAnsi="Garamond"/>
          <w:iCs/>
          <w:sz w:val="20"/>
          <w:szCs w:val="20"/>
        </w:rPr>
        <w:t xml:space="preserve">This study confirmed that the Indonesian version of the Unconditional Positive Self-Regard Scale (UPSR) is psychometrically valid and aligns with the original two-factor structure introduced by </w:t>
      </w:r>
      <w:sdt>
        <w:sdtPr>
          <w:rPr>
            <w:rFonts w:ascii="Garamond" w:hAnsi="Garamond"/>
            <w:iCs/>
            <w:sz w:val="20"/>
            <w:szCs w:val="20"/>
          </w:rPr>
          <w:tag w:val="MENDELEY_CITATION_v3_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"/>
          <w:id w:val="616877932"/>
          <w:placeholder>
            <w:docPart w:val="B2C5D703BB915342A109D13ACF49289D"/>
          </w:placeholder>
        </w:sdtPr>
        <w:sdtContent>
          <w:r w:rsidRPr="00BD6B69">
            <w:rPr>
              <w:rFonts w:ascii="Garamond" w:hAnsi="Garamond"/>
              <w:iCs/>
              <w:sz w:val="20"/>
              <w:szCs w:val="20"/>
            </w:rPr>
            <w:t>Patterson and Joseph (2006)</w:t>
          </w:r>
        </w:sdtContent>
      </w:sdt>
      <w:r w:rsidRPr="00BD6B69">
        <w:rPr>
          <w:rFonts w:ascii="Garamond" w:hAnsi="Garamond"/>
          <w:iCs/>
          <w:sz w:val="20"/>
          <w:szCs w:val="20"/>
        </w:rPr>
        <w:t xml:space="preserve"> consisting of Self-Regard and Conditionality. Confirmatory Factor Analysis (CFA) results revealed that all items significantly loaded onto their respective latent constructs, with acceptable model fit indices—CFI = 0.91, GFI = 0.953, RMSEA = 0.064—indicating that the adapted scale fits the data well</w:t>
      </w:r>
      <w:r>
        <w:rPr>
          <w:rFonts w:ascii="Garamond" w:hAnsi="Garamond"/>
          <w:iCs/>
          <w:sz w:val="20"/>
          <w:szCs w:val="20"/>
        </w:rPr>
        <w:t>.</w:t>
      </w:r>
      <w:sdt>
        <w:sdtPr>
          <w:rPr>
            <w:rFonts w:ascii="Garamond" w:hAnsi="Garamond"/>
            <w:iCs/>
            <w:sz w:val="20"/>
            <w:szCs w:val="20"/>
            <w:vertAlign w:val="superscript"/>
          </w:rPr>
          <w:tag w:val="MENDELEY_CITATION_v3_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"/>
          <w:id w:val="725191666"/>
          <w:placeholder>
            <w:docPart w:val="B2C5D703BB915342A109D13ACF49289D"/>
          </w:placeholder>
        </w:sdtPr>
        <w:sdtContent>
          <w:r w:rsidRPr="00BD6B69">
            <w:rPr>
              <w:rFonts w:ascii="Garamond" w:hAnsi="Garamond"/>
              <w:iCs/>
              <w:sz w:val="20"/>
              <w:szCs w:val="20"/>
              <w:vertAlign w:val="superscript"/>
            </w:rPr>
            <w:t>6,7</w:t>
          </w:r>
        </w:sdtContent>
      </w:sdt>
      <w:r w:rsidRPr="00BD6B69">
        <w:rPr>
          <w:rFonts w:ascii="Garamond" w:hAnsi="Garamond"/>
          <w:iCs/>
          <w:sz w:val="20"/>
          <w:szCs w:val="20"/>
        </w:rPr>
        <w:t xml:space="preserve">The presence of negative loadings in items U3 and U5 suggests </w:t>
      </w:r>
      <w:r w:rsidRPr="00BD6B69">
        <w:rPr>
          <w:rFonts w:ascii="Garamond" w:hAnsi="Garamond"/>
          <w:iCs/>
          <w:sz w:val="20"/>
          <w:szCs w:val="20"/>
        </w:rPr>
        <w:t xml:space="preserve">challenges commonly found in reverse-coded items, which may be due to misinterpretation or semantic inversion effects </w:t>
      </w:r>
      <w:sdt>
        <w:sdtPr>
          <w:rPr>
            <w:rFonts w:ascii="Garamond" w:hAnsi="Garamond"/>
            <w:iCs/>
            <w:sz w:val="20"/>
            <w:szCs w:val="20"/>
            <w:vertAlign w:val="superscript"/>
          </w:rPr>
          <w:tag w:val="MENDELEY_CITATION_v3_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"/>
          <w:id w:val="-679434379"/>
          <w:placeholder>
            <w:docPart w:val="B2C5D703BB915342A109D13ACF49289D"/>
          </w:placeholder>
        </w:sdtPr>
        <w:sdtContent>
          <w:r w:rsidRPr="00BD6B69">
            <w:rPr>
              <w:rFonts w:ascii="Garamond" w:hAnsi="Garamond"/>
              <w:iCs/>
              <w:sz w:val="20"/>
              <w:szCs w:val="20"/>
              <w:vertAlign w:val="superscript"/>
            </w:rPr>
            <w:t>8</w:t>
          </w:r>
        </w:sdtContent>
      </w:sdt>
      <w:r w:rsidRPr="00BD6B69">
        <w:rPr>
          <w:rFonts w:ascii="Garamond" w:hAnsi="Garamond"/>
          <w:iCs/>
          <w:sz w:val="20"/>
          <w:szCs w:val="20"/>
        </w:rPr>
        <w:t>. Despite this, the scale demonstrated strong internal consistency, with a Cronbach's alpha of 0.89 and composite reliability (CR) exceeding 0.70, supporting the scale's reliability</w:t>
      </w:r>
      <w:r>
        <w:rPr>
          <w:rFonts w:ascii="Garamond" w:hAnsi="Garamond"/>
          <w:iCs/>
          <w:sz w:val="20"/>
          <w:szCs w:val="20"/>
        </w:rPr>
        <w:t>.</w:t>
      </w:r>
      <w:sdt>
        <w:sdtPr>
          <w:rPr>
            <w:rFonts w:ascii="Garamond" w:hAnsi="Garamond"/>
            <w:iCs/>
            <w:sz w:val="20"/>
            <w:szCs w:val="20"/>
            <w:vertAlign w:val="superscript"/>
          </w:rPr>
          <w:tag w:val="MENDELEY_CITATION_v3_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"/>
          <w:id w:val="157047950"/>
          <w:placeholder>
            <w:docPart w:val="B2C5D703BB915342A109D13ACF49289D"/>
          </w:placeholder>
        </w:sdtPr>
        <w:sdtContent>
          <w:r w:rsidRPr="00BD6B69">
            <w:rPr>
              <w:rFonts w:ascii="Garamond" w:hAnsi="Garamond"/>
              <w:iCs/>
              <w:sz w:val="20"/>
              <w:szCs w:val="20"/>
              <w:vertAlign w:val="superscript"/>
            </w:rPr>
            <w:t>9</w:t>
          </w:r>
        </w:sdtContent>
      </w:sdt>
    </w:p>
    <w:p w14:paraId="4CEB63C8" w14:textId="77777777" w:rsidR="00E338FA" w:rsidRDefault="00E338FA" w:rsidP="00E338FA">
      <w:pPr>
        <w:spacing w:line="259" w:lineRule="auto"/>
        <w:jc w:val="both"/>
        <w:rPr>
          <w:rFonts w:ascii="Garamond" w:hAnsi="Garamond"/>
          <w:iCs/>
          <w:sz w:val="20"/>
          <w:szCs w:val="20"/>
        </w:rPr>
      </w:pPr>
      <w:r w:rsidRPr="00BD6B69">
        <w:rPr>
          <w:rFonts w:ascii="Garamond" w:hAnsi="Garamond"/>
          <w:iCs/>
          <w:sz w:val="20"/>
          <w:szCs w:val="20"/>
        </w:rPr>
        <w:t>Cross-cultural research emphasizes the importance of validating psychological instruments in local cultural contexts. Vijver et al.</w:t>
      </w:r>
      <w:sdt>
        <w:sdtPr>
          <w:rPr>
            <w:rFonts w:ascii="Garamond" w:hAnsi="Garamond"/>
            <w:iCs/>
            <w:sz w:val="20"/>
            <w:szCs w:val="20"/>
            <w:vertAlign w:val="superscript"/>
          </w:rPr>
          <w:tag w:val="MENDELEY_CITATION_v3_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"/>
          <w:id w:val="-1330818386"/>
          <w:placeholder>
            <w:docPart w:val="83C5D4139A462C4FBDAB71FDDFFB3459"/>
          </w:placeholder>
        </w:sdtPr>
        <w:sdtContent>
          <w:r w:rsidRPr="00BD6B69">
            <w:rPr>
              <w:rFonts w:ascii="Garamond" w:hAnsi="Garamond"/>
              <w:iCs/>
              <w:sz w:val="20"/>
              <w:szCs w:val="20"/>
              <w:vertAlign w:val="superscript"/>
            </w:rPr>
            <w:t>10</w:t>
          </w:r>
        </w:sdtContent>
      </w:sdt>
      <w:r w:rsidRPr="00BD6B69">
        <w:rPr>
          <w:rFonts w:ascii="Garamond" w:hAnsi="Garamond"/>
          <w:iCs/>
          <w:sz w:val="20"/>
          <w:szCs w:val="20"/>
        </w:rPr>
        <w:t xml:space="preserve"> argued that constructs like self-regard are inherently shaped by cultural values and relational norms. The rigorous translation, expert review, and readability evaluation conducted in this study ensured semantic, conceptual, and functional </w:t>
      </w:r>
      <w:r w:rsidRPr="00BD6B69">
        <w:rPr>
          <w:rFonts w:ascii="Garamond" w:hAnsi="Garamond"/>
          <w:iCs/>
          <w:sz w:val="20"/>
          <w:szCs w:val="20"/>
        </w:rPr>
        <w:lastRenderedPageBreak/>
        <w:t>equivalence of the Indonesian UPSR. Recent literature supports the UPSR's relevance across cultural and applied settings. For instance,</w:t>
      </w:r>
      <w:sdt>
        <w:sdtPr>
          <w:rPr>
            <w:rFonts w:ascii="Garamond" w:hAnsi="Garamond"/>
            <w:iCs/>
            <w:sz w:val="20"/>
            <w:szCs w:val="20"/>
            <w:vertAlign w:val="superscript"/>
          </w:rPr>
          <w:tag w:val="MENDELEY_CITATION_v3_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"/>
          <w:id w:val="1305891636"/>
          <w:placeholder>
            <w:docPart w:val="83C5D4139A462C4FBDAB71FDDFFB3459"/>
          </w:placeholder>
        </w:sdtPr>
        <w:sdtContent>
          <w:r w:rsidRPr="00BD6B69">
            <w:rPr>
              <w:rFonts w:ascii="Garamond" w:hAnsi="Garamond"/>
              <w:iCs/>
              <w:sz w:val="20"/>
              <w:szCs w:val="20"/>
              <w:vertAlign w:val="superscript"/>
            </w:rPr>
            <w:t>11</w:t>
          </w:r>
        </w:sdtContent>
      </w:sdt>
      <w:r w:rsidRPr="00BD6B69">
        <w:rPr>
          <w:rFonts w:ascii="Garamond" w:hAnsi="Garamond"/>
          <w:iCs/>
          <w:sz w:val="20"/>
          <w:szCs w:val="20"/>
        </w:rPr>
        <w:t xml:space="preserve"> found strong correlations between UPSR and psychological health outcomes in a UK sample. Proctor et al.</w:t>
      </w:r>
      <w:sdt>
        <w:sdtPr>
          <w:rPr>
            <w:rFonts w:ascii="Garamond" w:hAnsi="Garamond"/>
            <w:iCs/>
            <w:sz w:val="20"/>
            <w:szCs w:val="20"/>
            <w:vertAlign w:val="superscript"/>
          </w:rPr>
          <w:tag w:val="MENDELEY_CITATION_v3_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"/>
          <w:id w:val="1683555062"/>
          <w:placeholder>
            <w:docPart w:val="83C5D4139A462C4FBDAB71FDDFFB3459"/>
          </w:placeholder>
        </w:sdtPr>
        <w:sdtContent>
          <w:r w:rsidRPr="00BD6B69">
            <w:rPr>
              <w:rFonts w:ascii="Garamond" w:hAnsi="Garamond"/>
              <w:iCs/>
              <w:sz w:val="20"/>
              <w:szCs w:val="20"/>
              <w:vertAlign w:val="superscript"/>
            </w:rPr>
            <w:t>12</w:t>
          </w:r>
        </w:sdtContent>
      </w:sdt>
      <w:r w:rsidRPr="00BD6B69">
        <w:rPr>
          <w:rFonts w:ascii="Garamond" w:hAnsi="Garamond"/>
          <w:iCs/>
          <w:sz w:val="20"/>
          <w:szCs w:val="20"/>
        </w:rPr>
        <w:t xml:space="preserve"> demonstrated that parental conditional regard negatively predicted UPSR among young adults, affirming its sensitivity to interpersonal and cultural dynamics. Furthermore, Flanagan et al.</w:t>
      </w:r>
      <w:sdt>
        <w:sdtPr>
          <w:rPr>
            <w:rFonts w:ascii="Garamond" w:hAnsi="Garamond"/>
            <w:iCs/>
            <w:sz w:val="20"/>
            <w:szCs w:val="20"/>
            <w:vertAlign w:val="superscript"/>
          </w:rPr>
          <w:tag w:val="MENDELEY_CITATION_v3_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"/>
          <w:id w:val="-157611935"/>
          <w:placeholder>
            <w:docPart w:val="83C5D4139A462C4FBDAB71FDDFFB3459"/>
          </w:placeholder>
        </w:sdtPr>
        <w:sdtContent>
          <w:r w:rsidRPr="00BD6B69">
            <w:rPr>
              <w:rFonts w:ascii="Garamond" w:hAnsi="Garamond"/>
              <w:iCs/>
              <w:sz w:val="20"/>
              <w:szCs w:val="20"/>
              <w:vertAlign w:val="superscript"/>
            </w:rPr>
            <w:t>13</w:t>
          </w:r>
        </w:sdtContent>
      </w:sdt>
      <w:r w:rsidRPr="00BD6B69">
        <w:rPr>
          <w:rFonts w:ascii="Garamond" w:hAnsi="Garamond"/>
          <w:iCs/>
          <w:sz w:val="20"/>
          <w:szCs w:val="20"/>
        </w:rPr>
        <w:t xml:space="preserve"> identified that UPSR predicts post-traumatic growth, validating its predictive utility in positive psychology. </w:t>
      </w:r>
    </w:p>
    <w:p w14:paraId="7D5FD029" w14:textId="77777777" w:rsidR="00E338FA" w:rsidRPr="00BD6B69" w:rsidRDefault="00E338FA" w:rsidP="00E338FA">
      <w:pPr>
        <w:spacing w:line="259" w:lineRule="auto"/>
        <w:jc w:val="both"/>
        <w:rPr>
          <w:rFonts w:ascii="Garamond" w:hAnsi="Garamond"/>
          <w:iCs/>
          <w:sz w:val="20"/>
          <w:szCs w:val="20"/>
        </w:rPr>
      </w:pPr>
      <w:r w:rsidRPr="00BD6B69">
        <w:rPr>
          <w:rFonts w:ascii="Garamond" w:hAnsi="Garamond"/>
          <w:iCs/>
          <w:sz w:val="20"/>
          <w:szCs w:val="20"/>
        </w:rPr>
        <w:t>In the Indonesian educational and counseling context, the UPSR adaptation is highly applicable. As Rogers</w:t>
      </w:r>
      <w:sdt>
        <w:sdtPr>
          <w:rPr>
            <w:rFonts w:ascii="Garamond" w:hAnsi="Garamond"/>
            <w:iCs/>
            <w:sz w:val="20"/>
            <w:szCs w:val="20"/>
            <w:vertAlign w:val="superscript"/>
          </w:rPr>
          <w:tag w:val="MENDELEY_CITATION_v3_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"/>
          <w:id w:val="982592166"/>
          <w:placeholder>
            <w:docPart w:val="83C5D4139A462C4FBDAB71FDDFFB3459"/>
          </w:placeholder>
        </w:sdtPr>
        <w:sdtContent>
          <w:r w:rsidRPr="00BD6B69">
            <w:rPr>
              <w:rFonts w:ascii="Garamond" w:hAnsi="Garamond"/>
              <w:iCs/>
              <w:sz w:val="20"/>
              <w:szCs w:val="20"/>
              <w:vertAlign w:val="superscript"/>
            </w:rPr>
            <w:t>14</w:t>
          </w:r>
        </w:sdtContent>
      </w:sdt>
      <w:r w:rsidRPr="00BD6B69">
        <w:rPr>
          <w:rFonts w:ascii="Garamond" w:hAnsi="Garamond"/>
          <w:iCs/>
          <w:sz w:val="20"/>
          <w:szCs w:val="20"/>
        </w:rPr>
        <w:t xml:space="preserve"> proposed, and Lux</w:t>
      </w:r>
      <w:sdt>
        <w:sdtPr>
          <w:rPr>
            <w:rFonts w:ascii="Garamond" w:hAnsi="Garamond"/>
            <w:iCs/>
            <w:sz w:val="20"/>
            <w:szCs w:val="20"/>
            <w:vertAlign w:val="superscript"/>
          </w:rPr>
          <w:tag w:val="MENDELEY_CITATION_v3_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"/>
          <w:id w:val="461782683"/>
          <w:placeholder>
            <w:docPart w:val="83C5D4139A462C4FBDAB71FDDFFB3459"/>
          </w:placeholder>
        </w:sdtPr>
        <w:sdtContent>
          <w:r w:rsidRPr="00BD6B69">
            <w:rPr>
              <w:rFonts w:ascii="Garamond" w:hAnsi="Garamond"/>
              <w:iCs/>
              <w:sz w:val="20"/>
              <w:szCs w:val="20"/>
              <w:vertAlign w:val="superscript"/>
            </w:rPr>
            <w:t>4</w:t>
          </w:r>
        </w:sdtContent>
      </w:sdt>
      <w:r w:rsidRPr="00BD6B69">
        <w:rPr>
          <w:rFonts w:ascii="Garamond" w:hAnsi="Garamond"/>
          <w:iCs/>
          <w:sz w:val="20"/>
          <w:szCs w:val="20"/>
        </w:rPr>
        <w:t xml:space="preserve"> extended through the Person-Centered Neuroeducation model, fostering UPSR in counselors enhances their authenticity, resilience, and empathic capacity. The culturally adapted UPSR scale thus offers a practical and theoretically grounded tool for counselor development and reflective practice. The adaptation was carried out with official written permission from Dr. Trevor Patterson, ensuring ethical alignment and intellectual integrity. This not only strengthens the scholarly validity of this study but also promotes the use of ethically sourced instruments </w:t>
      </w:r>
    </w:p>
    <w:p w14:paraId="5FC1B34C" w14:textId="77777777" w:rsidR="00E338FA" w:rsidRDefault="00E338FA" w:rsidP="00E338FA">
      <w:pPr>
        <w:spacing w:line="259" w:lineRule="auto"/>
        <w:jc w:val="both"/>
        <w:rPr>
          <w:rFonts w:ascii="Garamond" w:hAnsi="Garamond"/>
          <w:iCs/>
          <w:sz w:val="20"/>
          <w:szCs w:val="20"/>
        </w:rPr>
      </w:pPr>
      <w:r w:rsidRPr="00BD6B69">
        <w:rPr>
          <w:rFonts w:ascii="Garamond" w:hAnsi="Garamond"/>
          <w:iCs/>
          <w:sz w:val="20"/>
          <w:szCs w:val="20"/>
        </w:rPr>
        <w:t>The present study developed and validated the UPSR (Understanding, Presence, Support, Relationship) scale for high school counselors, with the goal of offering a culturally grounded instrument to assess empathic connection with students. The confirmatory factor analysis confirmed the four-factor structure and showed good model fit and construct reliability, affirming that each dimension</w:t>
      </w:r>
      <w:r w:rsidRPr="00BD6B69">
        <w:rPr>
          <w:rFonts w:ascii="Garamond" w:hAnsi="Garamond" w:hint="cs"/>
          <w:iCs/>
          <w:sz w:val="20"/>
          <w:szCs w:val="20"/>
        </w:rPr>
        <w:t>—</w:t>
      </w:r>
      <w:r w:rsidRPr="00BD6B69">
        <w:rPr>
          <w:rFonts w:ascii="Garamond" w:hAnsi="Garamond"/>
          <w:iCs/>
          <w:sz w:val="20"/>
          <w:szCs w:val="20"/>
        </w:rPr>
        <w:t>Understanding, Presence, Support, and Relationship</w:t>
      </w:r>
      <w:r w:rsidRPr="00BD6B69">
        <w:rPr>
          <w:rFonts w:ascii="Garamond" w:hAnsi="Garamond" w:hint="cs"/>
          <w:iCs/>
          <w:sz w:val="20"/>
          <w:szCs w:val="20"/>
        </w:rPr>
        <w:t>—</w:t>
      </w:r>
      <w:r w:rsidRPr="00BD6B69">
        <w:rPr>
          <w:rFonts w:ascii="Garamond" w:hAnsi="Garamond"/>
          <w:iCs/>
          <w:sz w:val="20"/>
          <w:szCs w:val="20"/>
        </w:rPr>
        <w:t>represents a meaningful and distinct element of empathic counseling behavio</w:t>
      </w:r>
      <w:r>
        <w:rPr>
          <w:rFonts w:ascii="Garamond" w:hAnsi="Garamond"/>
          <w:iCs/>
          <w:sz w:val="20"/>
          <w:szCs w:val="20"/>
        </w:rPr>
        <w:t>u</w:t>
      </w:r>
      <w:r w:rsidRPr="00BD6B69">
        <w:rPr>
          <w:rFonts w:ascii="Garamond" w:hAnsi="Garamond"/>
          <w:iCs/>
          <w:sz w:val="20"/>
          <w:szCs w:val="20"/>
        </w:rPr>
        <w:t>r</w:t>
      </w:r>
      <w:r>
        <w:rPr>
          <w:rFonts w:ascii="Garamond" w:hAnsi="Garamond"/>
          <w:iCs/>
          <w:sz w:val="20"/>
          <w:szCs w:val="20"/>
        </w:rPr>
        <w:t>.</w:t>
      </w:r>
      <w:sdt>
        <w:sdtPr>
          <w:rPr>
            <w:rFonts w:ascii="Garamond" w:hAnsi="Garamond"/>
            <w:iCs/>
            <w:sz w:val="20"/>
            <w:szCs w:val="20"/>
            <w:vertAlign w:val="superscript"/>
          </w:rPr>
          <w:tag w:val="MENDELEY_CITATION_v3_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"/>
          <w:id w:val="-2034254586"/>
          <w:placeholder>
            <w:docPart w:val="83C5D4139A462C4FBDAB71FDDFFB3459"/>
          </w:placeholder>
        </w:sdtPr>
        <w:sdtContent>
          <w:r w:rsidRPr="00BD6B69">
            <w:rPr>
              <w:rFonts w:ascii="Garamond" w:hAnsi="Garamond"/>
              <w:iCs/>
              <w:sz w:val="20"/>
              <w:szCs w:val="20"/>
              <w:vertAlign w:val="superscript"/>
            </w:rPr>
            <w:t>15,16</w:t>
          </w:r>
        </w:sdtContent>
      </w:sdt>
    </w:p>
    <w:p w14:paraId="250854EF" w14:textId="77777777" w:rsidR="00E338FA" w:rsidRPr="00BD6B69" w:rsidRDefault="00E338FA" w:rsidP="00E338FA">
      <w:pPr>
        <w:spacing w:line="259" w:lineRule="auto"/>
        <w:jc w:val="both"/>
        <w:rPr>
          <w:rFonts w:ascii="Garamond" w:hAnsi="Garamond"/>
          <w:iCs/>
          <w:sz w:val="20"/>
          <w:szCs w:val="20"/>
        </w:rPr>
      </w:pPr>
      <w:r w:rsidRPr="00BD6B69">
        <w:rPr>
          <w:rFonts w:ascii="Garamond" w:hAnsi="Garamond"/>
          <w:iCs/>
          <w:sz w:val="20"/>
          <w:szCs w:val="20"/>
        </w:rPr>
        <w:t>This research holds implications not only for the practice of counseling in educational settings but also for the broader domain of school-based mental health promotion. The UPSR enables school counselors and educators to assess their relational competencies, which are increasingly recognized as protective factors against adolescent psychosocial distress</w:t>
      </w:r>
      <w:r>
        <w:rPr>
          <w:rFonts w:ascii="Garamond" w:hAnsi="Garamond"/>
          <w:iCs/>
          <w:sz w:val="20"/>
          <w:szCs w:val="20"/>
        </w:rPr>
        <w:t>.</w:t>
      </w:r>
      <w:sdt>
        <w:sdtPr>
          <w:rPr>
            <w:rFonts w:ascii="Garamond" w:hAnsi="Garamond"/>
            <w:iCs/>
            <w:sz w:val="20"/>
            <w:szCs w:val="20"/>
            <w:vertAlign w:val="superscript"/>
          </w:rPr>
          <w:tag w:val="MENDELEY_CITATION_v3_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"/>
          <w:id w:val="-678192727"/>
          <w:placeholder>
            <w:docPart w:val="83C5D4139A462C4FBDAB71FDDFFB3459"/>
          </w:placeholder>
        </w:sdtPr>
        <w:sdtContent>
          <w:r w:rsidRPr="00BD6B69">
            <w:rPr>
              <w:rFonts w:ascii="Garamond" w:hAnsi="Garamond"/>
              <w:iCs/>
              <w:sz w:val="20"/>
              <w:szCs w:val="20"/>
              <w:vertAlign w:val="superscript"/>
            </w:rPr>
            <w:t>17</w:t>
          </w:r>
        </w:sdtContent>
      </w:sdt>
      <w:r w:rsidRPr="00BD6B69">
        <w:rPr>
          <w:rFonts w:ascii="Garamond" w:hAnsi="Garamond"/>
          <w:iCs/>
          <w:sz w:val="20"/>
          <w:szCs w:val="20"/>
        </w:rPr>
        <w:t xml:space="preserve"> In many low- and middle-income countries (LMICs), including Indonesia, access to psychological services is limited. Therefore, schools represent a crucial frontline in the detection and mitigation of emotional and behavioral problems</w:t>
      </w:r>
      <w:r>
        <w:rPr>
          <w:rFonts w:ascii="Garamond" w:hAnsi="Garamond"/>
          <w:iCs/>
          <w:sz w:val="20"/>
          <w:szCs w:val="20"/>
        </w:rPr>
        <w:t>.</w:t>
      </w:r>
      <w:sdt>
        <w:sdtPr>
          <w:rPr>
            <w:rFonts w:ascii="Garamond" w:hAnsi="Garamond"/>
            <w:iCs/>
            <w:sz w:val="20"/>
            <w:szCs w:val="20"/>
            <w:vertAlign w:val="superscript"/>
          </w:rPr>
          <w:tag w:val="MENDELEY_CITATION_v3_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"/>
          <w:id w:val="-1518691452"/>
          <w:placeholder>
            <w:docPart w:val="83C5D4139A462C4FBDAB71FDDFFB3459"/>
          </w:placeholder>
        </w:sdtPr>
        <w:sdtContent>
          <w:r w:rsidRPr="00BD6B69">
            <w:rPr>
              <w:rFonts w:ascii="Garamond" w:hAnsi="Garamond"/>
              <w:iCs/>
              <w:sz w:val="20"/>
              <w:szCs w:val="20"/>
              <w:vertAlign w:val="superscript"/>
            </w:rPr>
            <w:t>18,19</w:t>
          </w:r>
        </w:sdtContent>
      </w:sdt>
    </w:p>
    <w:p w14:paraId="4BAF24FF" w14:textId="77777777" w:rsidR="00E338FA" w:rsidRPr="00BD6B69" w:rsidRDefault="00E338FA" w:rsidP="00E338FA">
      <w:pPr>
        <w:spacing w:line="259" w:lineRule="auto"/>
        <w:jc w:val="both"/>
        <w:rPr>
          <w:rFonts w:ascii="Garamond" w:hAnsi="Garamond"/>
          <w:iCs/>
          <w:sz w:val="20"/>
          <w:szCs w:val="20"/>
        </w:rPr>
      </w:pPr>
      <w:r w:rsidRPr="00BD6B69">
        <w:rPr>
          <w:rFonts w:ascii="Garamond" w:hAnsi="Garamond"/>
          <w:iCs/>
          <w:sz w:val="20"/>
          <w:szCs w:val="20"/>
        </w:rPr>
        <w:t xml:space="preserve">Further research is recommended to explore UPSR's predictive validity in intervention studies and across diverse populations. The use of UPSR as a formative evaluation tool in counselor development programs may </w:t>
      </w:r>
      <w:r w:rsidRPr="00BD6B69">
        <w:rPr>
          <w:rFonts w:ascii="Garamond" w:hAnsi="Garamond"/>
          <w:iCs/>
          <w:sz w:val="20"/>
          <w:szCs w:val="20"/>
        </w:rPr>
        <w:t>also enhance reflective practices among practitioners, leading to improved student</w:t>
      </w:r>
      <w:r w:rsidRPr="00BD6B69">
        <w:rPr>
          <w:rFonts w:ascii="Garamond" w:hAnsi="Garamond" w:hint="cs"/>
          <w:iCs/>
          <w:sz w:val="20"/>
          <w:szCs w:val="20"/>
        </w:rPr>
        <w:t>–</w:t>
      </w:r>
      <w:r w:rsidRPr="00BD6B69">
        <w:rPr>
          <w:rFonts w:ascii="Garamond" w:hAnsi="Garamond"/>
          <w:iCs/>
          <w:sz w:val="20"/>
          <w:szCs w:val="20"/>
        </w:rPr>
        <w:t xml:space="preserve">counselor engagement and outcomes </w:t>
      </w:r>
      <w:sdt>
        <w:sdtPr>
          <w:rPr>
            <w:rFonts w:ascii="Garamond" w:hAnsi="Garamond"/>
            <w:iCs/>
            <w:sz w:val="20"/>
            <w:szCs w:val="20"/>
            <w:vertAlign w:val="superscript"/>
          </w:rPr>
          <w:tag w:val="MENDELEY_CITATION_v3_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"/>
          <w:id w:val="-1498799883"/>
          <w:placeholder>
            <w:docPart w:val="83C5D4139A462C4FBDAB71FDDFFB3459"/>
          </w:placeholder>
        </w:sdtPr>
        <w:sdtContent>
          <w:r w:rsidRPr="00BD6B69">
            <w:rPr>
              <w:rFonts w:ascii="Garamond" w:hAnsi="Garamond"/>
              <w:iCs/>
              <w:sz w:val="20"/>
              <w:szCs w:val="20"/>
              <w:vertAlign w:val="superscript"/>
            </w:rPr>
            <w:t>20</w:t>
          </w:r>
        </w:sdtContent>
      </w:sdt>
      <w:r w:rsidRPr="00BD6B69">
        <w:rPr>
          <w:rFonts w:ascii="Garamond" w:hAnsi="Garamond"/>
          <w:iCs/>
          <w:sz w:val="20"/>
          <w:szCs w:val="20"/>
        </w:rPr>
        <w:t xml:space="preserve"> in local research.</w:t>
      </w:r>
    </w:p>
    <w:p w14:paraId="192B321E" w14:textId="77777777" w:rsidR="00E338FA" w:rsidRDefault="00E338FA" w:rsidP="00E338FA">
      <w:pPr>
        <w:spacing w:line="259" w:lineRule="auto"/>
        <w:jc w:val="both"/>
        <w:rPr>
          <w:rFonts w:ascii="Garamond" w:hAnsi="Garamond"/>
          <w:b/>
          <w:bCs/>
          <w:iCs/>
          <w:sz w:val="20"/>
          <w:szCs w:val="20"/>
        </w:rPr>
      </w:pPr>
    </w:p>
    <w:p w14:paraId="292E5675" w14:textId="77777777" w:rsidR="00E338FA" w:rsidRPr="00BD6B69" w:rsidRDefault="00E338FA" w:rsidP="00E338FA">
      <w:pPr>
        <w:spacing w:line="259" w:lineRule="auto"/>
        <w:jc w:val="both"/>
        <w:rPr>
          <w:rFonts w:ascii="Garamond" w:hAnsi="Garamond"/>
          <w:b/>
          <w:bCs/>
          <w:iCs/>
          <w:sz w:val="20"/>
          <w:szCs w:val="20"/>
        </w:rPr>
      </w:pPr>
      <w:r w:rsidRPr="00BD6B69">
        <w:rPr>
          <w:rFonts w:ascii="Garamond" w:hAnsi="Garamond"/>
          <w:b/>
          <w:bCs/>
          <w:iCs/>
          <w:sz w:val="20"/>
          <w:szCs w:val="20"/>
        </w:rPr>
        <w:t xml:space="preserve">Strengths and limitations </w:t>
      </w:r>
    </w:p>
    <w:p w14:paraId="71B78AC3" w14:textId="77777777" w:rsidR="00E338FA" w:rsidRPr="00BD6B69" w:rsidRDefault="00E338FA" w:rsidP="00E338FA">
      <w:pPr>
        <w:spacing w:line="259" w:lineRule="auto"/>
        <w:jc w:val="both"/>
        <w:rPr>
          <w:rFonts w:ascii="Garamond" w:hAnsi="Garamond"/>
          <w:iCs/>
          <w:sz w:val="20"/>
          <w:szCs w:val="20"/>
        </w:rPr>
      </w:pPr>
      <w:r w:rsidRPr="00BD6B69">
        <w:rPr>
          <w:rFonts w:ascii="Garamond" w:hAnsi="Garamond"/>
          <w:iCs/>
          <w:sz w:val="20"/>
          <w:szCs w:val="20"/>
        </w:rPr>
        <w:t>This study is one of the first to adapt and validate the UPSR scale in the Indonesian school counseling context, involving counselors from both Semarang Regency and Semarang City to enhance representativeness. The structured procedure and clear participant identification strengthened data authenticity, while CFA using JASP provided robust evidence for the two-factor structure. However, the relatively small sample limited to one region may affect generalizability, the online self-report format could introduce bias, the absence of formal ethical clearance presents a governance limitation, and the cross-sectional design did not allow assessment of test–retest reliability or longitudinal stability.</w:t>
      </w:r>
    </w:p>
    <w:p w14:paraId="295346E3" w14:textId="77777777" w:rsidR="00E338FA" w:rsidRDefault="00E338FA" w:rsidP="00E338FA">
      <w:pPr>
        <w:spacing w:line="259" w:lineRule="auto"/>
        <w:jc w:val="both"/>
        <w:rPr>
          <w:rFonts w:ascii="Garamond" w:hAnsi="Garamond"/>
          <w:iCs/>
          <w:sz w:val="20"/>
          <w:szCs w:val="20"/>
        </w:rPr>
      </w:pPr>
    </w:p>
    <w:p w14:paraId="7AD34974" w14:textId="77777777" w:rsidR="00E338FA" w:rsidRPr="00F33AF5" w:rsidRDefault="00E338FA" w:rsidP="00E338FA">
      <w:pPr>
        <w:spacing w:line="259" w:lineRule="auto"/>
        <w:jc w:val="both"/>
        <w:rPr>
          <w:rFonts w:ascii="Garamond" w:hAnsi="Garamond"/>
          <w:b/>
          <w:bCs/>
          <w:iCs/>
          <w:sz w:val="20"/>
          <w:szCs w:val="20"/>
        </w:rPr>
      </w:pPr>
      <w:r w:rsidRPr="00F33AF5">
        <w:rPr>
          <w:rFonts w:ascii="Garamond" w:hAnsi="Garamond"/>
          <w:b/>
          <w:bCs/>
          <w:iCs/>
          <w:sz w:val="20"/>
          <w:szCs w:val="20"/>
        </w:rPr>
        <w:t xml:space="preserve">Implications of the findings </w:t>
      </w:r>
    </w:p>
    <w:p w14:paraId="16B5E2ED" w14:textId="77777777" w:rsidR="00E338FA" w:rsidRPr="00BD6B69" w:rsidRDefault="00E338FA" w:rsidP="00E338FA">
      <w:pPr>
        <w:spacing w:line="259" w:lineRule="auto"/>
        <w:jc w:val="both"/>
        <w:rPr>
          <w:rFonts w:ascii="Garamond" w:hAnsi="Garamond"/>
          <w:iCs/>
          <w:sz w:val="20"/>
          <w:szCs w:val="20"/>
        </w:rPr>
      </w:pPr>
      <w:r w:rsidRPr="00BD6B69">
        <w:rPr>
          <w:rFonts w:ascii="Garamond" w:hAnsi="Garamond"/>
          <w:iCs/>
          <w:sz w:val="20"/>
          <w:szCs w:val="20"/>
        </w:rPr>
        <w:t>The validated Indonesian UPSR offers a culturally appropriate tool for assessing school counselors’ self-regard and conditionality, with potential use in training, supervision, and professional development, as well as in advancing counseling research and practice in Indonesia.</w:t>
      </w:r>
    </w:p>
    <w:p w14:paraId="12E94655" w14:textId="77777777" w:rsidR="00E338FA" w:rsidRDefault="00E338FA" w:rsidP="00E338FA">
      <w:pPr>
        <w:spacing w:line="259" w:lineRule="auto"/>
        <w:jc w:val="both"/>
        <w:rPr>
          <w:rFonts w:ascii="Garamond" w:hAnsi="Garamond"/>
          <w:b/>
          <w:bCs/>
          <w:iCs/>
          <w:sz w:val="22"/>
          <w:szCs w:val="22"/>
        </w:rPr>
      </w:pPr>
    </w:p>
    <w:p w14:paraId="5ACF5445" w14:textId="08DFF5E7" w:rsidR="00E338FA" w:rsidRPr="00BD6B69" w:rsidRDefault="00E338FA" w:rsidP="00E338FA">
      <w:pPr>
        <w:spacing w:line="259" w:lineRule="auto"/>
        <w:jc w:val="both"/>
        <w:rPr>
          <w:rFonts w:ascii="Garamond" w:hAnsi="Garamond"/>
          <w:b/>
          <w:bCs/>
          <w:iCs/>
          <w:sz w:val="22"/>
          <w:szCs w:val="22"/>
        </w:rPr>
      </w:pPr>
      <w:r w:rsidRPr="00BD6B69">
        <w:rPr>
          <w:rFonts w:ascii="Garamond" w:hAnsi="Garamond"/>
          <w:b/>
          <w:bCs/>
          <w:iCs/>
          <w:sz w:val="22"/>
          <w:szCs w:val="22"/>
        </w:rPr>
        <w:t>CONCLUSION</w:t>
      </w:r>
    </w:p>
    <w:p w14:paraId="5EE0C16B" w14:textId="77777777" w:rsidR="00E338FA" w:rsidRPr="00BD6B69" w:rsidRDefault="00E338FA" w:rsidP="00E338FA">
      <w:pPr>
        <w:jc w:val="both"/>
        <w:rPr>
          <w:rFonts w:ascii="Garamond" w:hAnsi="Garamond"/>
          <w:iCs/>
          <w:sz w:val="20"/>
          <w:szCs w:val="20"/>
        </w:rPr>
      </w:pPr>
      <w:r w:rsidRPr="00BD6B69">
        <w:rPr>
          <w:rFonts w:ascii="Garamond" w:hAnsi="Garamond"/>
          <w:iCs/>
          <w:sz w:val="20"/>
          <w:szCs w:val="20"/>
        </w:rPr>
        <w:t xml:space="preserve">This study successfully adapted and validated the Unconditional Positive Self-Regard Scale (UPSR) for Indonesian school counselors. The adaptation process followed rigorous procedures including translation, expert review, readability testing, and Confirmatory Factor Analysis. The results indicated a stable two-factor structure—Self-Regard and Conditionality—consistent with the original scale developed by Patterson and Joseph (2006). The model showed acceptable fit (CFI = 0.91, GFI = 0.953, RMSEA = 0.064), and high internal consistency (Cronbach’s alpha = 0.89). The adaptation took into account cultural and semantic equivalence, following recommendations by </w:t>
      </w:r>
      <w:sdt>
        <w:sdtPr>
          <w:rPr>
            <w:rFonts w:ascii="Garamond" w:hAnsi="Garamond"/>
            <w:iCs/>
            <w:sz w:val="20"/>
            <w:szCs w:val="20"/>
            <w:vertAlign w:val="superscript"/>
          </w:rPr>
          <w:tag w:val="MENDELEY_CITATION_v3_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"/>
          <w:id w:val="-1858888069"/>
          <w:placeholder>
            <w:docPart w:val="83C5D4139A462C4FBDAB71FDDFFB3459"/>
          </w:placeholder>
        </w:sdtPr>
        <w:sdtContent>
          <w:r w:rsidRPr="00BD6B69">
            <w:rPr>
              <w:rFonts w:ascii="Garamond" w:hAnsi="Garamond"/>
              <w:iCs/>
              <w:sz w:val="20"/>
              <w:szCs w:val="20"/>
              <w:vertAlign w:val="superscript"/>
            </w:rPr>
            <w:t>10</w:t>
          </w:r>
        </w:sdtContent>
      </w:sdt>
      <w:r w:rsidRPr="00BD6B69">
        <w:rPr>
          <w:rFonts w:ascii="Garamond" w:hAnsi="Garamond"/>
          <w:iCs/>
          <w:sz w:val="20"/>
          <w:szCs w:val="20"/>
        </w:rPr>
        <w:t xml:space="preserve"> for culturally sensitive instrument development. Despite minor issues with reversed items (Swain et al., 2008), the Indonesian UPSR demonstrated strong validity and reliability. The UPSR is not only theoretically relevant within humanistic psychology and person-centered approaches </w:t>
      </w:r>
      <w:sdt>
        <w:sdtPr>
          <w:rPr>
            <w:rFonts w:ascii="Garamond" w:hAnsi="Garamond"/>
            <w:iCs/>
            <w:sz w:val="20"/>
            <w:szCs w:val="20"/>
            <w:vertAlign w:val="superscript"/>
          </w:rPr>
          <w:tag w:val="MENDELEY_CITATION_v3_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"/>
          <w:id w:val="1715385811"/>
          <w:placeholder>
            <w:docPart w:val="83C5D4139A462C4FBDAB71FDDFFB3459"/>
          </w:placeholder>
        </w:sdtPr>
        <w:sdtContent>
          <w:r w:rsidRPr="00BD6B69">
            <w:rPr>
              <w:rFonts w:ascii="Garamond" w:hAnsi="Garamond"/>
              <w:iCs/>
              <w:sz w:val="20"/>
              <w:szCs w:val="20"/>
              <w:vertAlign w:val="superscript"/>
            </w:rPr>
            <w:t>4,14</w:t>
          </w:r>
        </w:sdtContent>
      </w:sdt>
      <w:r w:rsidRPr="00BD6B69">
        <w:rPr>
          <w:rFonts w:ascii="Garamond" w:hAnsi="Garamond"/>
          <w:iCs/>
          <w:sz w:val="20"/>
          <w:szCs w:val="20"/>
        </w:rPr>
        <w:t xml:space="preserve">, but it also demonstrates empirical support across contexts </w:t>
      </w:r>
      <w:sdt>
        <w:sdtPr>
          <w:rPr>
            <w:rFonts w:ascii="Garamond" w:hAnsi="Garamond"/>
            <w:iCs/>
            <w:sz w:val="20"/>
            <w:szCs w:val="20"/>
            <w:vertAlign w:val="superscript"/>
          </w:rPr>
          <w:tag w:val="MENDELEY_CITATION_v3_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"/>
          <w:id w:val="17900998"/>
          <w:placeholder>
            <w:docPart w:val="83C5D4139A462C4FBDAB71FDDFFB3459"/>
          </w:placeholder>
        </w:sdtPr>
        <w:sdtContent>
          <w:r w:rsidRPr="00BD6B69">
            <w:rPr>
              <w:rFonts w:ascii="Garamond" w:hAnsi="Garamond"/>
              <w:iCs/>
              <w:sz w:val="20"/>
              <w:szCs w:val="20"/>
              <w:vertAlign w:val="superscript"/>
            </w:rPr>
            <w:t>11</w:t>
          </w:r>
          <w:r w:rsidRPr="00BD6B69">
            <w:rPr>
              <w:rFonts w:ascii="Garamond" w:hAnsi="Garamond" w:hint="eastAsia"/>
              <w:iCs/>
              <w:sz w:val="20"/>
              <w:szCs w:val="20"/>
              <w:vertAlign w:val="superscript"/>
            </w:rPr>
            <w:t>–</w:t>
          </w:r>
          <w:r w:rsidRPr="00BD6B69">
            <w:rPr>
              <w:rFonts w:ascii="Garamond" w:hAnsi="Garamond"/>
              <w:iCs/>
              <w:sz w:val="20"/>
              <w:szCs w:val="20"/>
              <w:vertAlign w:val="superscript"/>
            </w:rPr>
            <w:t>13</w:t>
          </w:r>
        </w:sdtContent>
      </w:sdt>
      <w:r w:rsidRPr="00BD6B69">
        <w:rPr>
          <w:rFonts w:ascii="Garamond" w:hAnsi="Garamond"/>
          <w:iCs/>
          <w:sz w:val="20"/>
          <w:szCs w:val="20"/>
        </w:rPr>
        <w:t>permission from Dr. Trevor Patterson, this adapted version offers a validated and ethically sound assessment tool for Indonesian counselor education.</w:t>
      </w:r>
    </w:p>
    <w:p w14:paraId="6F69045A" w14:textId="77777777" w:rsidR="00E338FA" w:rsidRDefault="00E338FA" w:rsidP="00E338FA">
      <w:pPr>
        <w:jc w:val="both"/>
        <w:rPr>
          <w:rFonts w:ascii="Garamond" w:hAnsi="Garamond"/>
          <w:iCs/>
          <w:sz w:val="20"/>
          <w:szCs w:val="20"/>
        </w:rPr>
      </w:pPr>
    </w:p>
    <w:p w14:paraId="0EC11CE7" w14:textId="77777777" w:rsidR="00AF2C8F" w:rsidRDefault="00AF2C8F" w:rsidP="00E338FA">
      <w:pPr>
        <w:jc w:val="both"/>
        <w:rPr>
          <w:rFonts w:ascii="Garamond" w:hAnsi="Garamond"/>
          <w:b/>
          <w:bCs/>
          <w:iCs/>
          <w:sz w:val="22"/>
          <w:szCs w:val="22"/>
        </w:rPr>
      </w:pPr>
    </w:p>
    <w:p w14:paraId="2AD8F2C6" w14:textId="4C5FB575" w:rsidR="00E338FA" w:rsidRPr="00F33AF5" w:rsidRDefault="00E338FA" w:rsidP="00E338FA">
      <w:pPr>
        <w:jc w:val="both"/>
        <w:rPr>
          <w:rFonts w:ascii="Garamond" w:hAnsi="Garamond"/>
          <w:b/>
          <w:bCs/>
          <w:iCs/>
          <w:sz w:val="22"/>
          <w:szCs w:val="22"/>
        </w:rPr>
      </w:pPr>
      <w:r w:rsidRPr="00F33AF5">
        <w:rPr>
          <w:rFonts w:ascii="Garamond" w:hAnsi="Garamond"/>
          <w:b/>
          <w:bCs/>
          <w:iCs/>
          <w:sz w:val="22"/>
          <w:szCs w:val="22"/>
        </w:rPr>
        <w:lastRenderedPageBreak/>
        <w:t>Declarations</w:t>
      </w:r>
    </w:p>
    <w:p w14:paraId="5FE655FE" w14:textId="77777777" w:rsidR="00E338FA" w:rsidRPr="00BD6B69" w:rsidRDefault="00E338FA" w:rsidP="00E338FA">
      <w:pPr>
        <w:jc w:val="both"/>
        <w:rPr>
          <w:rFonts w:ascii="Garamond" w:hAnsi="Garamond"/>
          <w:iCs/>
          <w:sz w:val="20"/>
          <w:szCs w:val="20"/>
        </w:rPr>
      </w:pPr>
      <w:r w:rsidRPr="00F33AF5">
        <w:rPr>
          <w:rFonts w:ascii="Garamond" w:hAnsi="Garamond"/>
          <w:b/>
          <w:bCs/>
          <w:i/>
          <w:sz w:val="20"/>
          <w:szCs w:val="20"/>
        </w:rPr>
        <w:t>Conflict of Interest Declaration</w:t>
      </w:r>
      <w:r w:rsidRPr="00BD6B69">
        <w:rPr>
          <w:rFonts w:ascii="Garamond" w:hAnsi="Garamond"/>
          <w:b/>
          <w:bCs/>
          <w:iCs/>
          <w:sz w:val="20"/>
          <w:szCs w:val="20"/>
        </w:rPr>
        <w:t>:</w:t>
      </w:r>
      <w:r w:rsidRPr="00BD6B69">
        <w:rPr>
          <w:rFonts w:ascii="Garamond" w:hAnsi="Garamond"/>
          <w:iCs/>
          <w:sz w:val="20"/>
          <w:szCs w:val="20"/>
        </w:rPr>
        <w:t xml:space="preserve"> None</w:t>
      </w:r>
    </w:p>
    <w:p w14:paraId="227DD6BA" w14:textId="77777777" w:rsidR="00E338FA" w:rsidRPr="00BD6B69" w:rsidRDefault="00E338FA" w:rsidP="00E338FA">
      <w:pPr>
        <w:jc w:val="both"/>
        <w:rPr>
          <w:rFonts w:ascii="Garamond" w:hAnsi="Garamond"/>
          <w:iCs/>
          <w:sz w:val="20"/>
          <w:szCs w:val="20"/>
        </w:rPr>
      </w:pPr>
      <w:r w:rsidRPr="00F33AF5">
        <w:rPr>
          <w:rFonts w:ascii="Garamond" w:hAnsi="Garamond"/>
          <w:b/>
          <w:bCs/>
          <w:i/>
          <w:sz w:val="20"/>
          <w:szCs w:val="20"/>
        </w:rPr>
        <w:t>Ethical Statement:</w:t>
      </w:r>
      <w:r w:rsidRPr="00BD6B69">
        <w:rPr>
          <w:rFonts w:ascii="Garamond" w:hAnsi="Garamond"/>
          <w:iCs/>
          <w:sz w:val="20"/>
          <w:szCs w:val="20"/>
        </w:rPr>
        <w:t xml:space="preserve"> This study involved non-interventional survey-based research conducted among adult participants (school counselors). Prior to participation, all respondents were fully informed about the purpose of the study and gave their voluntary consent. As this study did not involve clinical or biomedical procedures and was conducted as part of a doctoral dissertation under academic supervision, no formal institutional ethical clearance was obtained.</w:t>
      </w:r>
    </w:p>
    <w:p w14:paraId="50A37529" w14:textId="77777777" w:rsidR="00E338FA" w:rsidRPr="00F33AF5" w:rsidRDefault="00E338FA" w:rsidP="00E338FA">
      <w:pPr>
        <w:jc w:val="both"/>
        <w:rPr>
          <w:rFonts w:ascii="Garamond" w:hAnsi="Garamond"/>
          <w:iCs/>
          <w:sz w:val="20"/>
          <w:szCs w:val="20"/>
        </w:rPr>
      </w:pPr>
      <w:r w:rsidRPr="00BD6B69">
        <w:rPr>
          <w:rFonts w:ascii="Garamond" w:hAnsi="Garamond"/>
          <w:iCs/>
          <w:sz w:val="20"/>
          <w:szCs w:val="20"/>
        </w:rPr>
        <w:t>Running Title: Validation of UPSR in Indonesia</w:t>
      </w:r>
    </w:p>
    <w:p w14:paraId="29D28CB3" w14:textId="77777777" w:rsidR="00E338FA" w:rsidRPr="00BD6B69" w:rsidRDefault="00E338FA" w:rsidP="00AF2C8F">
      <w:pPr>
        <w:rPr>
          <w:rFonts w:ascii="Garamond" w:hAnsi="Garamond"/>
          <w:iCs/>
          <w:sz w:val="20"/>
          <w:szCs w:val="20"/>
        </w:rPr>
      </w:pPr>
      <w:r w:rsidRPr="00F33AF5">
        <w:rPr>
          <w:rFonts w:ascii="Garamond" w:hAnsi="Garamond"/>
          <w:b/>
          <w:bCs/>
          <w:i/>
          <w:sz w:val="20"/>
          <w:szCs w:val="20"/>
        </w:rPr>
        <w:t>Acknowledgements:</w:t>
      </w:r>
      <w:r>
        <w:rPr>
          <w:rFonts w:ascii="Garamond" w:hAnsi="Garamond"/>
          <w:b/>
          <w:bCs/>
          <w:iCs/>
          <w:sz w:val="20"/>
          <w:szCs w:val="20"/>
        </w:rPr>
        <w:t xml:space="preserve"> </w:t>
      </w:r>
      <w:r w:rsidRPr="00BD6B69">
        <w:rPr>
          <w:rFonts w:ascii="Garamond" w:hAnsi="Garamond"/>
          <w:iCs/>
          <w:sz w:val="20"/>
          <w:szCs w:val="20"/>
        </w:rPr>
        <w:t xml:space="preserve">The author gratefully acknowledges the guidance of Prof. Dr. Dwi </w:t>
      </w:r>
      <w:proofErr w:type="spellStart"/>
      <w:r w:rsidRPr="00BD6B69">
        <w:rPr>
          <w:rFonts w:ascii="Garamond" w:hAnsi="Garamond"/>
          <w:iCs/>
          <w:sz w:val="20"/>
          <w:szCs w:val="20"/>
        </w:rPr>
        <w:t>Yuwono</w:t>
      </w:r>
      <w:proofErr w:type="spellEnd"/>
      <w:r w:rsidRPr="00BD6B69">
        <w:rPr>
          <w:rFonts w:ascii="Garamond" w:hAnsi="Garamond"/>
          <w:iCs/>
          <w:sz w:val="20"/>
          <w:szCs w:val="20"/>
        </w:rPr>
        <w:t xml:space="preserve"> Puji </w:t>
      </w:r>
      <w:proofErr w:type="spellStart"/>
      <w:r w:rsidRPr="00BD6B69">
        <w:rPr>
          <w:rFonts w:ascii="Garamond" w:hAnsi="Garamond"/>
          <w:iCs/>
          <w:sz w:val="20"/>
          <w:szCs w:val="20"/>
        </w:rPr>
        <w:t>Sugiharto</w:t>
      </w:r>
      <w:proofErr w:type="spellEnd"/>
      <w:r w:rsidRPr="00BD6B69">
        <w:rPr>
          <w:rFonts w:ascii="Garamond" w:hAnsi="Garamond"/>
          <w:iCs/>
          <w:sz w:val="20"/>
          <w:szCs w:val="20"/>
        </w:rPr>
        <w:t xml:space="preserve">, </w:t>
      </w:r>
      <w:proofErr w:type="spellStart"/>
      <w:r w:rsidRPr="00BD6B69">
        <w:rPr>
          <w:rFonts w:ascii="Garamond" w:hAnsi="Garamond"/>
          <w:iCs/>
          <w:sz w:val="20"/>
          <w:szCs w:val="20"/>
        </w:rPr>
        <w:t>M.Pd</w:t>
      </w:r>
      <w:proofErr w:type="spellEnd"/>
      <w:r w:rsidRPr="00BD6B69">
        <w:rPr>
          <w:rFonts w:ascii="Garamond" w:hAnsi="Garamond"/>
          <w:iCs/>
          <w:sz w:val="20"/>
          <w:szCs w:val="20"/>
        </w:rPr>
        <w:t xml:space="preserve">., Prof. Dr. Edy Purwanto, </w:t>
      </w:r>
      <w:proofErr w:type="spellStart"/>
      <w:r w:rsidRPr="00BD6B69">
        <w:rPr>
          <w:rFonts w:ascii="Garamond" w:hAnsi="Garamond"/>
          <w:iCs/>
          <w:sz w:val="20"/>
          <w:szCs w:val="20"/>
        </w:rPr>
        <w:t>M.Pd</w:t>
      </w:r>
      <w:proofErr w:type="spellEnd"/>
      <w:r w:rsidRPr="00BD6B69">
        <w:rPr>
          <w:rFonts w:ascii="Garamond" w:hAnsi="Garamond"/>
          <w:iCs/>
          <w:sz w:val="20"/>
          <w:szCs w:val="20"/>
        </w:rPr>
        <w:t xml:space="preserve">., and Dr. </w:t>
      </w:r>
      <w:proofErr w:type="spellStart"/>
      <w:r w:rsidRPr="00BD6B69">
        <w:rPr>
          <w:rFonts w:ascii="Garamond" w:hAnsi="Garamond"/>
          <w:iCs/>
          <w:sz w:val="20"/>
          <w:szCs w:val="20"/>
        </w:rPr>
        <w:t>Mulawarman</w:t>
      </w:r>
      <w:proofErr w:type="spellEnd"/>
      <w:r w:rsidRPr="00BD6B69">
        <w:rPr>
          <w:rFonts w:ascii="Garamond" w:hAnsi="Garamond"/>
          <w:iCs/>
          <w:sz w:val="20"/>
          <w:szCs w:val="20"/>
        </w:rPr>
        <w:t xml:space="preserve">, Ph.D., as well as the valuable contributions of the participating school counselors and translation validators </w:t>
      </w:r>
    </w:p>
    <w:p w14:paraId="0D6C6A99" w14:textId="77777777" w:rsidR="00E338FA" w:rsidRDefault="00E338FA" w:rsidP="00E338FA">
      <w:pPr>
        <w:jc w:val="both"/>
        <w:rPr>
          <w:rFonts w:ascii="Garamond" w:hAnsi="Garamond"/>
          <w:iCs/>
          <w:sz w:val="20"/>
          <w:szCs w:val="20"/>
        </w:rPr>
      </w:pPr>
    </w:p>
    <w:p w14:paraId="13423292" w14:textId="77777777" w:rsidR="00E338FA" w:rsidRPr="00F33AF5" w:rsidRDefault="00E338FA" w:rsidP="00E338FA">
      <w:pPr>
        <w:jc w:val="both"/>
        <w:rPr>
          <w:rFonts w:ascii="Garamond" w:hAnsi="Garamond"/>
          <w:iCs/>
          <w:sz w:val="22"/>
          <w:szCs w:val="22"/>
        </w:rPr>
      </w:pPr>
      <w:r w:rsidRPr="00F33AF5">
        <w:rPr>
          <w:rFonts w:ascii="Garamond" w:hAnsi="Garamond"/>
          <w:b/>
          <w:bCs/>
          <w:iCs/>
          <w:sz w:val="22"/>
          <w:szCs w:val="22"/>
        </w:rPr>
        <w:t>REFERENCES</w:t>
      </w:r>
    </w:p>
    <w:p w14:paraId="6D9ACD59"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 </w:t>
      </w:r>
      <w:r w:rsidRPr="00BD6B69">
        <w:rPr>
          <w:rFonts w:ascii="Garamond" w:hAnsi="Garamond"/>
          <w:iCs/>
          <w:sz w:val="20"/>
          <w:szCs w:val="20"/>
        </w:rPr>
        <w:tab/>
        <w:t>Rogers CR. A theory of therapy, personality and interpersonal relationships as developed in the client-centered framework. Psychology: A study of a science [Internet]. 1959 [cited 2025 Jun 18];3. Available from: https://www.beeleaf.com/wp-content/uploads/2017/09/rogers_chapter_in_koch-1.pdf</w:t>
      </w:r>
    </w:p>
    <w:p w14:paraId="66C4C604"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2. </w:t>
      </w:r>
      <w:r w:rsidRPr="00BD6B69">
        <w:rPr>
          <w:rFonts w:ascii="Garamond" w:hAnsi="Garamond"/>
          <w:iCs/>
          <w:sz w:val="20"/>
          <w:szCs w:val="20"/>
        </w:rPr>
        <w:tab/>
        <w:t xml:space="preserve">Patterson TG, Joseph S. Development of a self-report measure of unconditional positive self-regard. Psychology and Psychotherapy: Theory, Research and Practice. 2006 Dec;79(4):557–70. </w:t>
      </w:r>
    </w:p>
    <w:p w14:paraId="25ED7CDE"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3. </w:t>
      </w:r>
      <w:r w:rsidRPr="00BD6B69">
        <w:rPr>
          <w:rFonts w:ascii="Garamond" w:hAnsi="Garamond"/>
          <w:iCs/>
          <w:sz w:val="20"/>
          <w:szCs w:val="20"/>
        </w:rPr>
        <w:tab/>
        <w:t>Truax CB, Mitchell KM. Research on certain therapist interpersonal skills in relation to process and outcome. In: Handbook of psychotherapy and behavior change [Internet]. New York: Wiley; 1971 [cited 2025 Sep 10]. Available from: https://books.google.co.id/books/about/Handbook_of_Psychotherapy_and_Behavior_C.html?id=inVHAAAAMAAJ&amp;redir_esc=y</w:t>
      </w:r>
    </w:p>
    <w:p w14:paraId="22DC1C54"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4. </w:t>
      </w:r>
      <w:r w:rsidRPr="00BD6B69">
        <w:rPr>
          <w:rFonts w:ascii="Garamond" w:hAnsi="Garamond"/>
          <w:iCs/>
          <w:sz w:val="20"/>
          <w:szCs w:val="20"/>
        </w:rPr>
        <w:tab/>
        <w:t xml:space="preserve">Lux M. The Magic of Encounter: The Person-Centered Approach and the Neurosciences. Person-Centered and Experiential Psychotherapies. 2010;9(4):274–89. </w:t>
      </w:r>
    </w:p>
    <w:p w14:paraId="71378786"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5. </w:t>
      </w:r>
      <w:r w:rsidRPr="00BD6B69">
        <w:rPr>
          <w:rFonts w:ascii="Garamond" w:hAnsi="Garamond"/>
          <w:iCs/>
          <w:sz w:val="20"/>
          <w:szCs w:val="20"/>
        </w:rPr>
        <w:tab/>
        <w:t xml:space="preserve">Boateng GO, </w:t>
      </w:r>
      <w:proofErr w:type="spellStart"/>
      <w:r w:rsidRPr="00BD6B69">
        <w:rPr>
          <w:rFonts w:ascii="Garamond" w:hAnsi="Garamond"/>
          <w:iCs/>
          <w:sz w:val="20"/>
          <w:szCs w:val="20"/>
        </w:rPr>
        <w:t>Neilands</w:t>
      </w:r>
      <w:proofErr w:type="spellEnd"/>
      <w:r w:rsidRPr="00BD6B69">
        <w:rPr>
          <w:rFonts w:ascii="Garamond" w:hAnsi="Garamond"/>
          <w:iCs/>
          <w:sz w:val="20"/>
          <w:szCs w:val="20"/>
        </w:rPr>
        <w:t xml:space="preserve"> TB, Frongillo EA, Melgar-Quiñonez HR, Young SL. Best Practices for Developing and Validating Scales for Health, Social, and Behavioral Research: A Primer. Front Public Health [Internet]. 2018 Jun 11 [cited 2025 Jun 29];6. Available from: https://scispace.com/pdf/best-practices-for-developing-and-validating-scales-for-1pgx889exg.pdf</w:t>
      </w:r>
    </w:p>
    <w:p w14:paraId="7A5704AE"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6. </w:t>
      </w:r>
      <w:r w:rsidRPr="00BD6B69">
        <w:rPr>
          <w:rFonts w:ascii="Garamond" w:hAnsi="Garamond"/>
          <w:iCs/>
          <w:sz w:val="20"/>
          <w:szCs w:val="20"/>
        </w:rPr>
        <w:tab/>
        <w:t xml:space="preserve">Hu LT, Bentler PM. Cutoff criteria for fit indexes in covariance structure analysis: Conventional </w:t>
      </w:r>
      <w:r w:rsidRPr="00BD6B69">
        <w:rPr>
          <w:rFonts w:ascii="Garamond" w:hAnsi="Garamond"/>
          <w:iCs/>
          <w:sz w:val="20"/>
          <w:szCs w:val="20"/>
        </w:rPr>
        <w:t>criteria versus new alternatives. Structural Equation Modeling [Internet]. 1999 [cited 2025 Jun 18];6(1):1–55. Available from: https://doi.org/10.1080/10705519909540118</w:t>
      </w:r>
    </w:p>
    <w:p w14:paraId="775B81B7"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7. </w:t>
      </w:r>
      <w:r w:rsidRPr="00BD6B69">
        <w:rPr>
          <w:rFonts w:ascii="Garamond" w:hAnsi="Garamond"/>
          <w:iCs/>
          <w:sz w:val="20"/>
          <w:szCs w:val="20"/>
        </w:rPr>
        <w:tab/>
      </w:r>
      <w:proofErr w:type="spellStart"/>
      <w:r w:rsidRPr="00BD6B69">
        <w:rPr>
          <w:rFonts w:ascii="Garamond" w:hAnsi="Garamond"/>
          <w:iCs/>
          <w:sz w:val="20"/>
          <w:szCs w:val="20"/>
        </w:rPr>
        <w:t>Schermelleh</w:t>
      </w:r>
      <w:proofErr w:type="spellEnd"/>
      <w:r w:rsidRPr="00BD6B69">
        <w:rPr>
          <w:rFonts w:ascii="Garamond" w:hAnsi="Garamond"/>
          <w:iCs/>
          <w:sz w:val="20"/>
          <w:szCs w:val="20"/>
        </w:rPr>
        <w:t>-Engel K, Moosbrugger H, Müller H. Evaluating the Fit of Structural Equation Models: Tests of Significance and Descriptive Goodness-of-Fit Measures. Methods of Psychological Research Online [Internet]. 2003 [cited 2025 Jun 18];8(2):23–74. Available from: https://www.stats.ox.ac.uk/~snijders/mpr_Schermelleh.pdf</w:t>
      </w:r>
    </w:p>
    <w:p w14:paraId="0C8C4916"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8. </w:t>
      </w:r>
      <w:r w:rsidRPr="00BD6B69">
        <w:rPr>
          <w:rFonts w:ascii="Garamond" w:hAnsi="Garamond"/>
          <w:iCs/>
          <w:sz w:val="20"/>
          <w:szCs w:val="20"/>
        </w:rPr>
        <w:tab/>
        <w:t xml:space="preserve">Swain SD, Weathers D, Niedrich RW. Assessing three sources of </w:t>
      </w:r>
      <w:proofErr w:type="spellStart"/>
      <w:r w:rsidRPr="00BD6B69">
        <w:rPr>
          <w:rFonts w:ascii="Garamond" w:hAnsi="Garamond"/>
          <w:iCs/>
          <w:sz w:val="20"/>
          <w:szCs w:val="20"/>
        </w:rPr>
        <w:t>misresponse</w:t>
      </w:r>
      <w:proofErr w:type="spellEnd"/>
      <w:r w:rsidRPr="00BD6B69">
        <w:rPr>
          <w:rFonts w:ascii="Garamond" w:hAnsi="Garamond"/>
          <w:iCs/>
          <w:sz w:val="20"/>
          <w:szCs w:val="20"/>
        </w:rPr>
        <w:t xml:space="preserve"> to reversed Likert items. Journal of Marketing Research. 2008;45(1):116–31. </w:t>
      </w:r>
    </w:p>
    <w:p w14:paraId="7CDC915A" w14:textId="0D91B260"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9. </w:t>
      </w:r>
      <w:r w:rsidRPr="00BD6B69">
        <w:rPr>
          <w:rFonts w:ascii="Garamond" w:hAnsi="Garamond"/>
          <w:iCs/>
          <w:sz w:val="20"/>
          <w:szCs w:val="20"/>
        </w:rPr>
        <w:tab/>
        <w:t>Hair JF., Black WC., Babin BJ., Anderson RE. Multivariate data analysis [Internet]. Pearson Education Limited; 2014 [cited 2025 Jun 18]. 734 p. Available from: https://opac.utssurabaya.ac.id/uploaded_files/temporary/DigitalCollection/</w:t>
      </w:r>
      <w:r w:rsidR="00AF2C8F" w:rsidRPr="00BD6B69">
        <w:rPr>
          <w:rFonts w:ascii="Garamond" w:hAnsi="Garamond"/>
          <w:iCs/>
          <w:sz w:val="20"/>
          <w:szCs w:val="20"/>
        </w:rPr>
        <w:t>mjk2m2i0ztzlotfhyte3ode1ytjkodvkmwjimdllzgqzymninzi5mq==.pdf</w:t>
      </w:r>
    </w:p>
    <w:p w14:paraId="34C12B06" w14:textId="7E3237CE"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10. </w:t>
      </w:r>
      <w:r w:rsidRPr="00BD6B69">
        <w:rPr>
          <w:rFonts w:ascii="Garamond" w:hAnsi="Garamond"/>
          <w:iCs/>
          <w:sz w:val="20"/>
          <w:szCs w:val="20"/>
        </w:rPr>
        <w:tab/>
        <w:t>Vijver FJR van de., Leung Kwok, Fetvadjiev VH., Fontaine JJR., He Jia. Methods and data analysis for cross-cultural research [Internet]. 2nd ed. Cambridge University Press; 2021 [cited 2025 Jun 18]. 189 p. Available from: https://www.cambridge.org/core/books/methods-and-data-analysis-for-crosscultural-research/</w:t>
      </w:r>
      <w:r w:rsidR="00AF2C8F" w:rsidRPr="00BD6B69">
        <w:rPr>
          <w:rFonts w:ascii="Garamond" w:hAnsi="Garamond"/>
          <w:iCs/>
          <w:sz w:val="20"/>
          <w:szCs w:val="20"/>
        </w:rPr>
        <w:t>36d62cb6a8e2b14dfd30eb324387e2cd</w:t>
      </w:r>
    </w:p>
    <w:p w14:paraId="719C4C49"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11. </w:t>
      </w:r>
      <w:r w:rsidRPr="00BD6B69">
        <w:rPr>
          <w:rFonts w:ascii="Garamond" w:hAnsi="Garamond"/>
          <w:iCs/>
          <w:sz w:val="20"/>
          <w:szCs w:val="20"/>
        </w:rPr>
        <w:tab/>
        <w:t>Griffiths LJ, Griffiths CA. Unconditional Positive Self-Regard (UPSR) and Self-Compassion, the Internal Consistency and Convergent/Divergent Validity of Patterson &amp;amp; Joseph’s UPSR Scale. Open J Med Psychol [Internet]. 2013 [cited 2025 Jun 18];02(04):168–74. Available from: https://www.scirp.org/journal/paperinformation?paperid=38533</w:t>
      </w:r>
    </w:p>
    <w:p w14:paraId="142774D3"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12. </w:t>
      </w:r>
      <w:r w:rsidRPr="00BD6B69">
        <w:rPr>
          <w:rFonts w:ascii="Garamond" w:hAnsi="Garamond"/>
          <w:iCs/>
          <w:sz w:val="20"/>
          <w:szCs w:val="20"/>
        </w:rPr>
        <w:tab/>
        <w:t>Proctor C, Tweed RG, Morris D. Unconditional positive self</w:t>
      </w:r>
      <w:r w:rsidRPr="00BD6B69">
        <w:rPr>
          <w:rFonts w:ascii="Garamond" w:hAnsi="Garamond"/>
          <w:iCs/>
          <w:sz w:val="20"/>
          <w:szCs w:val="20"/>
        </w:rPr>
        <w:noBreakHyphen/>
        <w:t xml:space="preserve">regard: The role of perceived parental conditional regard. The Humanistic Psychologist. 2021;49(3). </w:t>
      </w:r>
    </w:p>
    <w:p w14:paraId="48B97022"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13. </w:t>
      </w:r>
      <w:r w:rsidRPr="00BD6B69">
        <w:rPr>
          <w:rFonts w:ascii="Garamond" w:hAnsi="Garamond"/>
          <w:iCs/>
          <w:sz w:val="20"/>
          <w:szCs w:val="20"/>
        </w:rPr>
        <w:tab/>
        <w:t>Flanagan S, Patterson TG, Hume IR, Joseph S. Unconditional Positive Self-Regard and Posttraumatic Growth A longitudinal investigation of the relationship between Unconditional Positive Self-Regard and Posttraumatic Growth. J Humanist Psychol [Internet]. 2015 [cited 2025 Jun 18];55(2):201–22. Available from: https://www.google.com/url?sa=t&amp;source=web&amp;rct=j&amp;opi=89978449&amp;url=https://nottingham-repository.worktribe.com/file/757746/1/PCEC%2</w:t>
      </w:r>
      <w:r w:rsidRPr="00BD6B69">
        <w:rPr>
          <w:rFonts w:ascii="Garamond" w:hAnsi="Garamond"/>
          <w:iCs/>
          <w:sz w:val="20"/>
          <w:szCs w:val="20"/>
        </w:rPr>
        <w:lastRenderedPageBreak/>
        <w:t>520UPSR%2520PTG.pdf&amp;ved=2ahUKEwiF6oK-h_uNAxXHLBAIHb5WAhEQFnoECBYQAQ&amp;usg=AOvVaw33BrTxgEHCEjbjNC_gam-R</w:t>
      </w:r>
    </w:p>
    <w:p w14:paraId="0D0FAC02"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14. </w:t>
      </w:r>
      <w:r w:rsidRPr="00BD6B69">
        <w:rPr>
          <w:rFonts w:ascii="Garamond" w:hAnsi="Garamond"/>
          <w:iCs/>
          <w:sz w:val="20"/>
          <w:szCs w:val="20"/>
        </w:rPr>
        <w:tab/>
        <w:t>Rogers CR. On Becoming a Person A Therapist’s View of Psychotherapy [Internet]. Boston: Houghton Mifflin Company; 1961 [cited 2025 Jun 18]. Available from: https://teots.org/wp-content/uploads/2021/08/On-becoming-a-person-by-Rogers-Carl-R.-z-lib.org_.pdf</w:t>
      </w:r>
    </w:p>
    <w:p w14:paraId="2D469288"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15. </w:t>
      </w:r>
      <w:r w:rsidRPr="00BD6B69">
        <w:rPr>
          <w:rFonts w:ascii="Garamond" w:hAnsi="Garamond"/>
          <w:iCs/>
          <w:sz w:val="20"/>
          <w:szCs w:val="20"/>
        </w:rPr>
        <w:tab/>
        <w:t>Hoyle RH. Handbook of structural equation modeling [Internet]. London: Guilford Press; 2020 [cited 2025 Jun 29]. Available from: https://www.researchgate.net/profile/Cahyono-St/publication/361861039_Handbook_of_Structural_Equation_Modeling/links/62c8959dcab7ba7426dbc797/Handbook-of-Structural-Equation-Modeling.pdf?origin=publication_detail&amp;_tp=eyJjb250ZXh0Ijp7ImZpcnN0UGFnZSI6InB1YmxpY2F0aW9uIiwicGFnZSI6InB1YmxpY2F0aW9uRG93bmxvYWQiLCJwcmV2aW91c1BhZ2UiOiJwdWJsaWNhdGlvbiJ9fQ&amp;__cf_chl_tk=xxRY.g1Bra8k6LY1GYBCtVKv5M6sROvKgYyqlmbtzjc-1751206284-1.0.1.1-SrYPqyh9r.A0DetqO8S5_E0zN_l9cYB.idbVJlF2Dmg</w:t>
      </w:r>
    </w:p>
    <w:p w14:paraId="07704207"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16. </w:t>
      </w:r>
      <w:r w:rsidRPr="00BD6B69">
        <w:rPr>
          <w:rFonts w:ascii="Garamond" w:hAnsi="Garamond"/>
          <w:iCs/>
          <w:sz w:val="20"/>
          <w:szCs w:val="20"/>
        </w:rPr>
        <w:tab/>
        <w:t>Hair JF, Black WC, Babin BJ, Anderson RE. Multivariate Data Analysis [Internet]. 7th ed. London: GUILFORD PRESS; 2012 [cited 2025 Jun 29]. Available from: https://www.drnishikantjha.com/papersCollection/Multivariate%20Data%20Analysis.pdf</w:t>
      </w:r>
    </w:p>
    <w:p w14:paraId="78A1B91E"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17. </w:t>
      </w:r>
      <w:r w:rsidRPr="00BD6B69">
        <w:rPr>
          <w:rFonts w:ascii="Garamond" w:hAnsi="Garamond"/>
          <w:iCs/>
          <w:sz w:val="20"/>
          <w:szCs w:val="20"/>
        </w:rPr>
        <w:tab/>
      </w:r>
      <w:proofErr w:type="spellStart"/>
      <w:r w:rsidRPr="00BD6B69">
        <w:rPr>
          <w:rFonts w:ascii="Garamond" w:hAnsi="Garamond"/>
          <w:iCs/>
          <w:sz w:val="20"/>
          <w:szCs w:val="20"/>
        </w:rPr>
        <w:t>Suldo</w:t>
      </w:r>
      <w:proofErr w:type="spellEnd"/>
      <w:r w:rsidRPr="00BD6B69">
        <w:rPr>
          <w:rFonts w:ascii="Garamond" w:hAnsi="Garamond"/>
          <w:iCs/>
          <w:sz w:val="20"/>
          <w:szCs w:val="20"/>
        </w:rPr>
        <w:t xml:space="preserve"> SM, Friedrich AA, White T, Farmer J, Minch D, Michalowski J. Teacher Support and Adolescents’ Subjective Well-Being: A Mixed-Methods Investigation. School Psych Rev [Internet]. 2009 [cited 2025 Jun 29];38(1):67–85. Available from: https://www.tandfonline.com/doi/abs/10.1080/02796015.2009.12087850</w:t>
      </w:r>
    </w:p>
    <w:p w14:paraId="6F47A50A"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18. </w:t>
      </w:r>
      <w:r w:rsidRPr="00BD6B69">
        <w:rPr>
          <w:rFonts w:ascii="Garamond" w:hAnsi="Garamond"/>
          <w:iCs/>
          <w:sz w:val="20"/>
          <w:szCs w:val="20"/>
        </w:rPr>
        <w:tab/>
        <w:t>UNESCO. Global Education Monitoring Report: Non-state actors in education: who chooses? who loses? [Internet]. UNESCO; 2021 [cited 2025 Jun 29]. Available from: https://www.google.com/url?sa=t&amp;source=web&amp;rct=j&amp;opi=89978449&amp;url=https://digitallibrary.un.org/record/4020380/files/1382516_EN.pdf&amp;ved=2ahUKEwia3u336paOAxUYGBAIHbH6HQ8QFnoECBUQAQ&amp;usg=AOvVaw38IAb-FLkGLinfB8WnaDyJ</w:t>
      </w:r>
    </w:p>
    <w:p w14:paraId="2A93551D"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19. </w:t>
      </w:r>
      <w:r w:rsidRPr="00BD6B69">
        <w:rPr>
          <w:rFonts w:ascii="Garamond" w:hAnsi="Garamond"/>
          <w:iCs/>
          <w:sz w:val="20"/>
          <w:szCs w:val="20"/>
        </w:rPr>
        <w:tab/>
        <w:t xml:space="preserve">World Health Organization (WHO). Comprehensive mental health action plan 2013–2030 [Internet]. 2021 [cited 2025 Jun 29]. Available from: </w:t>
      </w:r>
      <w:r w:rsidRPr="00BD6B69">
        <w:rPr>
          <w:rFonts w:ascii="Garamond" w:hAnsi="Garamond"/>
          <w:iCs/>
          <w:sz w:val="20"/>
          <w:szCs w:val="20"/>
        </w:rPr>
        <w:t>https://iris.who.int/bitstream/handle/10665/345301/9789240031029-eng.pdf</w:t>
      </w:r>
    </w:p>
    <w:p w14:paraId="71350356" w14:textId="77777777" w:rsidR="00E338FA" w:rsidRPr="00BD6B69" w:rsidRDefault="00E338FA" w:rsidP="00E338FA">
      <w:pPr>
        <w:ind w:left="284" w:hanging="284"/>
        <w:rPr>
          <w:rFonts w:ascii="Garamond" w:hAnsi="Garamond"/>
          <w:iCs/>
          <w:sz w:val="20"/>
          <w:szCs w:val="20"/>
        </w:rPr>
      </w:pPr>
      <w:r w:rsidRPr="00BD6B69">
        <w:rPr>
          <w:rFonts w:ascii="Garamond" w:hAnsi="Garamond"/>
          <w:iCs/>
          <w:sz w:val="20"/>
          <w:szCs w:val="20"/>
        </w:rPr>
        <w:t xml:space="preserve">20. </w:t>
      </w:r>
      <w:r w:rsidRPr="00BD6B69">
        <w:rPr>
          <w:rFonts w:ascii="Garamond" w:hAnsi="Garamond"/>
          <w:iCs/>
          <w:sz w:val="20"/>
          <w:szCs w:val="20"/>
        </w:rPr>
        <w:tab/>
        <w:t xml:space="preserve">Cooper M, Dryden W. The handbook of Pluralistic Counselling and psychotherapy. LA: Sage; 2016. </w:t>
      </w:r>
    </w:p>
    <w:p w14:paraId="4F924092" w14:textId="77777777" w:rsidR="00E338FA" w:rsidRDefault="00E338FA" w:rsidP="00BE7F1E">
      <w:pPr>
        <w:spacing w:line="259" w:lineRule="auto"/>
        <w:jc w:val="both"/>
        <w:rPr>
          <w:rFonts w:ascii="Garamond" w:hAnsi="Garamond"/>
          <w:bCs/>
          <w:iCs/>
          <w:sz w:val="20"/>
          <w:szCs w:val="20"/>
        </w:rPr>
        <w:sectPr w:rsidR="00E338FA" w:rsidSect="00E338FA">
          <w:type w:val="continuous"/>
          <w:pgSz w:w="12240" w:h="15840"/>
          <w:pgMar w:top="1440" w:right="1440" w:bottom="1440" w:left="1440" w:header="720" w:footer="720" w:gutter="0"/>
          <w:cols w:num="2" w:space="720"/>
          <w:titlePg/>
          <w:docGrid w:linePitch="360"/>
        </w:sectPr>
      </w:pPr>
    </w:p>
    <w:p w14:paraId="5DDE7161" w14:textId="77777777" w:rsidR="00BD6B69" w:rsidRDefault="00BD6B69" w:rsidP="00F33AF5">
      <w:pPr>
        <w:rPr>
          <w:rFonts w:ascii="Garamond" w:hAnsi="Garamond"/>
          <w:iCs/>
          <w:sz w:val="20"/>
          <w:szCs w:val="20"/>
        </w:rPr>
      </w:pPr>
    </w:p>
    <w:p w14:paraId="6006C8C6" w14:textId="77777777" w:rsidR="00BD6B69" w:rsidRDefault="00BD6B69" w:rsidP="00F33AF5">
      <w:pPr>
        <w:rPr>
          <w:rFonts w:ascii="Garamond" w:hAnsi="Garamond"/>
          <w:iCs/>
          <w:sz w:val="20"/>
          <w:szCs w:val="20"/>
        </w:rPr>
      </w:pPr>
    </w:p>
    <w:p w14:paraId="1FE53FAC"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b/>
          <w:bCs/>
          <w:iCs/>
          <w:sz w:val="20"/>
          <w:szCs w:val="20"/>
        </w:rPr>
        <w:t>Appendices</w:t>
      </w:r>
    </w:p>
    <w:p w14:paraId="38C87E9B"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b/>
          <w:bCs/>
          <w:iCs/>
          <w:sz w:val="20"/>
          <w:szCs w:val="20"/>
        </w:rPr>
        <w:t>Appendix A: UPSR Indonesian Adaptation Items</w:t>
      </w:r>
    </w:p>
    <w:tbl>
      <w:tblPr>
        <w:tblW w:w="0" w:type="auto"/>
        <w:tblCellSpacing w:w="15" w:type="dxa"/>
        <w:tblInd w:w="63"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974"/>
        <w:gridCol w:w="5171"/>
        <w:gridCol w:w="1175"/>
      </w:tblGrid>
      <w:tr w:rsidR="00AD4593" w:rsidRPr="00AD4593" w14:paraId="632EAA07" w14:textId="77777777" w:rsidTr="00101ED3">
        <w:trPr>
          <w:tblCellSpacing w:w="15" w:type="dxa"/>
        </w:trPr>
        <w:tc>
          <w:tcPr>
            <w:tcW w:w="0" w:type="auto"/>
            <w:vAlign w:val="center"/>
          </w:tcPr>
          <w:p w14:paraId="7EADC0F8" w14:textId="77777777" w:rsidR="00AD4593" w:rsidRPr="00AD4593" w:rsidRDefault="00AD4593" w:rsidP="00AD4593">
            <w:pPr>
              <w:spacing w:line="259" w:lineRule="auto"/>
              <w:jc w:val="both"/>
              <w:rPr>
                <w:rFonts w:ascii="Garamond" w:hAnsi="Garamond"/>
                <w:b/>
                <w:bCs/>
                <w:iCs/>
                <w:sz w:val="20"/>
                <w:szCs w:val="20"/>
              </w:rPr>
            </w:pPr>
            <w:r w:rsidRPr="00AD4593">
              <w:rPr>
                <w:rFonts w:ascii="Garamond" w:hAnsi="Garamond"/>
                <w:b/>
                <w:bCs/>
                <w:iCs/>
                <w:sz w:val="20"/>
                <w:szCs w:val="20"/>
              </w:rPr>
              <w:t>Item Code</w:t>
            </w:r>
          </w:p>
        </w:tc>
        <w:tc>
          <w:tcPr>
            <w:tcW w:w="0" w:type="auto"/>
            <w:vAlign w:val="center"/>
          </w:tcPr>
          <w:p w14:paraId="6AD0E0EE" w14:textId="77777777" w:rsidR="00AD4593" w:rsidRPr="00AD4593" w:rsidRDefault="00AD4593" w:rsidP="00AD4593">
            <w:pPr>
              <w:spacing w:line="259" w:lineRule="auto"/>
              <w:jc w:val="both"/>
              <w:rPr>
                <w:rFonts w:ascii="Garamond" w:hAnsi="Garamond"/>
                <w:b/>
                <w:bCs/>
                <w:iCs/>
                <w:sz w:val="20"/>
                <w:szCs w:val="20"/>
              </w:rPr>
            </w:pPr>
            <w:r w:rsidRPr="00AD4593">
              <w:rPr>
                <w:rFonts w:ascii="Garamond" w:hAnsi="Garamond"/>
                <w:b/>
                <w:bCs/>
                <w:iCs/>
                <w:sz w:val="20"/>
                <w:szCs w:val="20"/>
              </w:rPr>
              <w:t>Item Statement (Bahasa Indonesia)</w:t>
            </w:r>
          </w:p>
        </w:tc>
        <w:tc>
          <w:tcPr>
            <w:tcW w:w="0" w:type="auto"/>
            <w:vAlign w:val="center"/>
          </w:tcPr>
          <w:p w14:paraId="6A51E798" w14:textId="77777777" w:rsidR="00AD4593" w:rsidRPr="00AD4593" w:rsidRDefault="00AD4593" w:rsidP="00AD4593">
            <w:pPr>
              <w:spacing w:line="259" w:lineRule="auto"/>
              <w:jc w:val="both"/>
              <w:rPr>
                <w:rFonts w:ascii="Garamond" w:hAnsi="Garamond"/>
                <w:b/>
                <w:bCs/>
                <w:iCs/>
                <w:sz w:val="20"/>
                <w:szCs w:val="20"/>
              </w:rPr>
            </w:pPr>
            <w:r w:rsidRPr="00AD4593">
              <w:rPr>
                <w:rFonts w:ascii="Garamond" w:hAnsi="Garamond"/>
                <w:b/>
                <w:bCs/>
                <w:iCs/>
                <w:sz w:val="20"/>
                <w:szCs w:val="20"/>
              </w:rPr>
              <w:t>Dimension</w:t>
            </w:r>
          </w:p>
        </w:tc>
      </w:tr>
      <w:tr w:rsidR="00AD4593" w:rsidRPr="00AD4593" w14:paraId="205F338B" w14:textId="77777777" w:rsidTr="00101ED3">
        <w:trPr>
          <w:tblCellSpacing w:w="15" w:type="dxa"/>
        </w:trPr>
        <w:tc>
          <w:tcPr>
            <w:tcW w:w="0" w:type="auto"/>
            <w:vAlign w:val="center"/>
          </w:tcPr>
          <w:p w14:paraId="103DB965" w14:textId="77777777" w:rsidR="00AD4593" w:rsidRPr="00AD4593" w:rsidRDefault="00AD4593" w:rsidP="00AD4593">
            <w:pPr>
              <w:spacing w:line="259" w:lineRule="auto"/>
              <w:jc w:val="both"/>
              <w:rPr>
                <w:rFonts w:ascii="Garamond" w:hAnsi="Garamond"/>
                <w:b/>
                <w:bCs/>
                <w:iCs/>
                <w:sz w:val="20"/>
                <w:szCs w:val="20"/>
              </w:rPr>
            </w:pPr>
          </w:p>
        </w:tc>
        <w:tc>
          <w:tcPr>
            <w:tcW w:w="0" w:type="auto"/>
            <w:vAlign w:val="center"/>
          </w:tcPr>
          <w:p w14:paraId="2AFE0BEB" w14:textId="77777777" w:rsidR="00AD4593" w:rsidRPr="00AD4593" w:rsidRDefault="00AD4593" w:rsidP="00AD4593">
            <w:pPr>
              <w:spacing w:line="259" w:lineRule="auto"/>
              <w:jc w:val="both"/>
              <w:rPr>
                <w:rFonts w:ascii="Garamond" w:hAnsi="Garamond"/>
                <w:b/>
                <w:bCs/>
                <w:iCs/>
                <w:sz w:val="20"/>
                <w:szCs w:val="20"/>
              </w:rPr>
            </w:pPr>
          </w:p>
        </w:tc>
        <w:tc>
          <w:tcPr>
            <w:tcW w:w="0" w:type="auto"/>
            <w:vAlign w:val="center"/>
          </w:tcPr>
          <w:p w14:paraId="6F1C00FF" w14:textId="77777777" w:rsidR="00AD4593" w:rsidRPr="00AD4593" w:rsidRDefault="00AD4593" w:rsidP="00AD4593">
            <w:pPr>
              <w:spacing w:line="259" w:lineRule="auto"/>
              <w:jc w:val="both"/>
              <w:rPr>
                <w:rFonts w:ascii="Garamond" w:hAnsi="Garamond"/>
                <w:b/>
                <w:bCs/>
                <w:iCs/>
                <w:sz w:val="20"/>
                <w:szCs w:val="20"/>
              </w:rPr>
            </w:pPr>
          </w:p>
        </w:tc>
      </w:tr>
      <w:tr w:rsidR="00AD4593" w:rsidRPr="00AD4593" w14:paraId="2B2DA0EF" w14:textId="77777777" w:rsidTr="00101ED3">
        <w:trPr>
          <w:tblCellSpacing w:w="15" w:type="dxa"/>
        </w:trPr>
        <w:tc>
          <w:tcPr>
            <w:tcW w:w="0" w:type="auto"/>
            <w:tcBorders>
              <w:top w:val="single" w:sz="4" w:space="0" w:color="auto"/>
              <w:bottom w:val="nil"/>
            </w:tcBorders>
            <w:vAlign w:val="center"/>
          </w:tcPr>
          <w:p w14:paraId="7F492D8A"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U1</w:t>
            </w:r>
          </w:p>
        </w:tc>
        <w:tc>
          <w:tcPr>
            <w:tcW w:w="0" w:type="auto"/>
            <w:tcBorders>
              <w:top w:val="single" w:sz="4" w:space="0" w:color="auto"/>
              <w:bottom w:val="nil"/>
            </w:tcBorders>
            <w:vAlign w:val="center"/>
          </w:tcPr>
          <w:p w14:paraId="3565035D"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menghargai</w:t>
            </w:r>
            <w:proofErr w:type="spellEnd"/>
            <w:r w:rsidRPr="00AD4593">
              <w:rPr>
                <w:rFonts w:ascii="Garamond" w:hAnsi="Garamond"/>
                <w:iCs/>
                <w:sz w:val="20"/>
                <w:szCs w:val="20"/>
              </w:rPr>
              <w:t xml:space="preserve"> </w:t>
            </w:r>
            <w:proofErr w:type="spellStart"/>
            <w:r w:rsidRPr="00AD4593">
              <w:rPr>
                <w:rFonts w:ascii="Garamond" w:hAnsi="Garamond"/>
                <w:iCs/>
                <w:sz w:val="20"/>
                <w:szCs w:val="20"/>
              </w:rPr>
              <w:t>diri</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apa</w:t>
            </w:r>
            <w:proofErr w:type="spellEnd"/>
            <w:r w:rsidRPr="00AD4593">
              <w:rPr>
                <w:rFonts w:ascii="Garamond" w:hAnsi="Garamond"/>
                <w:iCs/>
                <w:sz w:val="20"/>
                <w:szCs w:val="20"/>
              </w:rPr>
              <w:t xml:space="preserve"> </w:t>
            </w:r>
            <w:proofErr w:type="spellStart"/>
            <w:r w:rsidRPr="00AD4593">
              <w:rPr>
                <w:rFonts w:ascii="Garamond" w:hAnsi="Garamond"/>
                <w:iCs/>
                <w:sz w:val="20"/>
                <w:szCs w:val="20"/>
              </w:rPr>
              <w:t>adanya</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7F3EE6EA"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Self-Regard</w:t>
            </w:r>
          </w:p>
        </w:tc>
      </w:tr>
      <w:tr w:rsidR="00AD4593" w:rsidRPr="00AD4593" w14:paraId="6C6DFDAC" w14:textId="77777777" w:rsidTr="00101ED3">
        <w:trPr>
          <w:tblCellSpacing w:w="15" w:type="dxa"/>
        </w:trPr>
        <w:tc>
          <w:tcPr>
            <w:tcW w:w="0" w:type="auto"/>
            <w:tcBorders>
              <w:top w:val="single" w:sz="4" w:space="0" w:color="auto"/>
              <w:bottom w:val="nil"/>
            </w:tcBorders>
            <w:vAlign w:val="center"/>
          </w:tcPr>
          <w:p w14:paraId="1083C978"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U2</w:t>
            </w:r>
          </w:p>
        </w:tc>
        <w:tc>
          <w:tcPr>
            <w:tcW w:w="0" w:type="auto"/>
            <w:tcBorders>
              <w:top w:val="single" w:sz="4" w:space="0" w:color="auto"/>
              <w:bottom w:val="nil"/>
            </w:tcBorders>
            <w:vAlign w:val="center"/>
          </w:tcPr>
          <w:p w14:paraId="2AD4AF80"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merasa</w:t>
            </w:r>
            <w:proofErr w:type="spellEnd"/>
            <w:r w:rsidRPr="00AD4593">
              <w:rPr>
                <w:rFonts w:ascii="Garamond" w:hAnsi="Garamond"/>
                <w:iCs/>
                <w:sz w:val="20"/>
                <w:szCs w:val="20"/>
              </w:rPr>
              <w:t xml:space="preserve"> </w:t>
            </w:r>
            <w:proofErr w:type="spellStart"/>
            <w:r w:rsidRPr="00AD4593">
              <w:rPr>
                <w:rFonts w:ascii="Garamond" w:hAnsi="Garamond"/>
                <w:iCs/>
                <w:sz w:val="20"/>
                <w:szCs w:val="20"/>
              </w:rPr>
              <w:t>layak</w:t>
            </w:r>
            <w:proofErr w:type="spellEnd"/>
            <w:r w:rsidRPr="00AD4593">
              <w:rPr>
                <w:rFonts w:ascii="Garamond" w:hAnsi="Garamond"/>
                <w:iCs/>
                <w:sz w:val="20"/>
                <w:szCs w:val="20"/>
              </w:rPr>
              <w:t xml:space="preserve"> </w:t>
            </w:r>
            <w:proofErr w:type="spellStart"/>
            <w:r w:rsidRPr="00AD4593">
              <w:rPr>
                <w:rFonts w:ascii="Garamond" w:hAnsi="Garamond"/>
                <w:iCs/>
                <w:sz w:val="20"/>
                <w:szCs w:val="20"/>
              </w:rPr>
              <w:t>hanya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jika</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berhasil</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3C5D901A"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Conditionality</w:t>
            </w:r>
          </w:p>
        </w:tc>
      </w:tr>
      <w:tr w:rsidR="00AD4593" w:rsidRPr="00AD4593" w14:paraId="2C95DE79" w14:textId="77777777" w:rsidTr="00101ED3">
        <w:trPr>
          <w:tblCellSpacing w:w="15" w:type="dxa"/>
        </w:trPr>
        <w:tc>
          <w:tcPr>
            <w:tcW w:w="0" w:type="auto"/>
            <w:tcBorders>
              <w:top w:val="single" w:sz="4" w:space="0" w:color="auto"/>
              <w:bottom w:val="nil"/>
            </w:tcBorders>
            <w:vAlign w:val="center"/>
          </w:tcPr>
          <w:p w14:paraId="52A9B395"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U3</w:t>
            </w:r>
          </w:p>
        </w:tc>
        <w:tc>
          <w:tcPr>
            <w:tcW w:w="0" w:type="auto"/>
            <w:tcBorders>
              <w:top w:val="single" w:sz="4" w:space="0" w:color="auto"/>
              <w:bottom w:val="nil"/>
            </w:tcBorders>
            <w:vAlign w:val="center"/>
          </w:tcPr>
          <w:p w14:paraId="535B3DF5"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merasa</w:t>
            </w:r>
            <w:proofErr w:type="spellEnd"/>
            <w:r w:rsidRPr="00AD4593">
              <w:rPr>
                <w:rFonts w:ascii="Garamond" w:hAnsi="Garamond"/>
                <w:iCs/>
                <w:sz w:val="20"/>
                <w:szCs w:val="20"/>
              </w:rPr>
              <w:t xml:space="preserve"> </w:t>
            </w:r>
            <w:proofErr w:type="spellStart"/>
            <w:r w:rsidRPr="00AD4593">
              <w:rPr>
                <w:rFonts w:ascii="Garamond" w:hAnsi="Garamond"/>
                <w:iCs/>
                <w:sz w:val="20"/>
                <w:szCs w:val="20"/>
              </w:rPr>
              <w:t>gagal</w:t>
            </w:r>
            <w:proofErr w:type="spellEnd"/>
            <w:r w:rsidRPr="00AD4593">
              <w:rPr>
                <w:rFonts w:ascii="Garamond" w:hAnsi="Garamond"/>
                <w:iCs/>
                <w:sz w:val="20"/>
                <w:szCs w:val="20"/>
              </w:rPr>
              <w:t xml:space="preserve"> </w:t>
            </w:r>
            <w:proofErr w:type="spellStart"/>
            <w:r w:rsidRPr="00AD4593">
              <w:rPr>
                <w:rFonts w:ascii="Garamond" w:hAnsi="Garamond"/>
                <w:iCs/>
                <w:sz w:val="20"/>
                <w:szCs w:val="20"/>
              </w:rPr>
              <w:t>jika</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tidak</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menyenangkan</w:t>
            </w:r>
            <w:proofErr w:type="spellEnd"/>
            <w:r w:rsidRPr="00AD4593">
              <w:rPr>
                <w:rFonts w:ascii="Garamond" w:hAnsi="Garamond"/>
                <w:iCs/>
                <w:sz w:val="20"/>
                <w:szCs w:val="20"/>
              </w:rPr>
              <w:t xml:space="preserve"> orang lain.</w:t>
            </w:r>
          </w:p>
        </w:tc>
        <w:tc>
          <w:tcPr>
            <w:tcW w:w="0" w:type="auto"/>
            <w:tcBorders>
              <w:top w:val="single" w:sz="4" w:space="0" w:color="auto"/>
              <w:bottom w:val="nil"/>
            </w:tcBorders>
            <w:vAlign w:val="center"/>
          </w:tcPr>
          <w:p w14:paraId="6E64D03E"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Conditionality</w:t>
            </w:r>
          </w:p>
        </w:tc>
      </w:tr>
      <w:tr w:rsidR="00AD4593" w:rsidRPr="00AD4593" w14:paraId="44A31734" w14:textId="77777777" w:rsidTr="00101ED3">
        <w:trPr>
          <w:tblCellSpacing w:w="15" w:type="dxa"/>
        </w:trPr>
        <w:tc>
          <w:tcPr>
            <w:tcW w:w="0" w:type="auto"/>
            <w:tcBorders>
              <w:top w:val="single" w:sz="4" w:space="0" w:color="auto"/>
              <w:bottom w:val="nil"/>
            </w:tcBorders>
            <w:vAlign w:val="center"/>
          </w:tcPr>
          <w:p w14:paraId="0C849CDB"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U4</w:t>
            </w:r>
          </w:p>
        </w:tc>
        <w:tc>
          <w:tcPr>
            <w:tcW w:w="0" w:type="auto"/>
            <w:tcBorders>
              <w:top w:val="single" w:sz="4" w:space="0" w:color="auto"/>
              <w:bottom w:val="nil"/>
            </w:tcBorders>
            <w:vAlign w:val="center"/>
          </w:tcPr>
          <w:p w14:paraId="56822951"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menerima</w:t>
            </w:r>
            <w:proofErr w:type="spellEnd"/>
            <w:r w:rsidRPr="00AD4593">
              <w:rPr>
                <w:rFonts w:ascii="Garamond" w:hAnsi="Garamond"/>
                <w:iCs/>
                <w:sz w:val="20"/>
                <w:szCs w:val="20"/>
              </w:rPr>
              <w:t xml:space="preserve"> </w:t>
            </w:r>
            <w:proofErr w:type="spellStart"/>
            <w:r w:rsidRPr="00AD4593">
              <w:rPr>
                <w:rFonts w:ascii="Garamond" w:hAnsi="Garamond"/>
                <w:iCs/>
                <w:sz w:val="20"/>
                <w:szCs w:val="20"/>
              </w:rPr>
              <w:t>diri</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tanpa</w:t>
            </w:r>
            <w:proofErr w:type="spellEnd"/>
            <w:r w:rsidRPr="00AD4593">
              <w:rPr>
                <w:rFonts w:ascii="Garamond" w:hAnsi="Garamond"/>
                <w:iCs/>
                <w:sz w:val="20"/>
                <w:szCs w:val="20"/>
              </w:rPr>
              <w:t xml:space="preserve"> </w:t>
            </w:r>
            <w:proofErr w:type="spellStart"/>
            <w:r w:rsidRPr="00AD4593">
              <w:rPr>
                <w:rFonts w:ascii="Garamond" w:hAnsi="Garamond"/>
                <w:iCs/>
                <w:sz w:val="20"/>
                <w:szCs w:val="20"/>
              </w:rPr>
              <w:t>syarat</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5A77E543"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Self-Regard</w:t>
            </w:r>
          </w:p>
        </w:tc>
      </w:tr>
      <w:tr w:rsidR="00AD4593" w:rsidRPr="00AD4593" w14:paraId="06B4D24B" w14:textId="77777777" w:rsidTr="00101ED3">
        <w:trPr>
          <w:tblCellSpacing w:w="15" w:type="dxa"/>
        </w:trPr>
        <w:tc>
          <w:tcPr>
            <w:tcW w:w="0" w:type="auto"/>
            <w:tcBorders>
              <w:top w:val="single" w:sz="4" w:space="0" w:color="auto"/>
              <w:bottom w:val="nil"/>
            </w:tcBorders>
            <w:vAlign w:val="center"/>
          </w:tcPr>
          <w:p w14:paraId="3FBDF3E4"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U5</w:t>
            </w:r>
          </w:p>
        </w:tc>
        <w:tc>
          <w:tcPr>
            <w:tcW w:w="0" w:type="auto"/>
            <w:tcBorders>
              <w:top w:val="single" w:sz="4" w:space="0" w:color="auto"/>
              <w:bottom w:val="nil"/>
            </w:tcBorders>
            <w:vAlign w:val="center"/>
          </w:tcPr>
          <w:p w14:paraId="75424F09"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mencintai</w:t>
            </w:r>
            <w:proofErr w:type="spellEnd"/>
            <w:r w:rsidRPr="00AD4593">
              <w:rPr>
                <w:rFonts w:ascii="Garamond" w:hAnsi="Garamond"/>
                <w:iCs/>
                <w:sz w:val="20"/>
                <w:szCs w:val="20"/>
              </w:rPr>
              <w:t xml:space="preserve"> </w:t>
            </w:r>
            <w:proofErr w:type="spellStart"/>
            <w:r w:rsidRPr="00AD4593">
              <w:rPr>
                <w:rFonts w:ascii="Garamond" w:hAnsi="Garamond"/>
                <w:iCs/>
                <w:sz w:val="20"/>
                <w:szCs w:val="20"/>
              </w:rPr>
              <w:t>diri</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hanya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ketika</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tampil</w:t>
            </w:r>
            <w:proofErr w:type="spellEnd"/>
            <w:r w:rsidRPr="00AD4593">
              <w:rPr>
                <w:rFonts w:ascii="Garamond" w:hAnsi="Garamond"/>
                <w:iCs/>
                <w:sz w:val="20"/>
                <w:szCs w:val="20"/>
              </w:rPr>
              <w:t xml:space="preserve"> </w:t>
            </w:r>
            <w:proofErr w:type="spellStart"/>
            <w:r w:rsidRPr="00AD4593">
              <w:rPr>
                <w:rFonts w:ascii="Garamond" w:hAnsi="Garamond"/>
                <w:iCs/>
                <w:sz w:val="20"/>
                <w:szCs w:val="20"/>
              </w:rPr>
              <w:t>sempurna</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0BDF0AFA"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Conditionality</w:t>
            </w:r>
          </w:p>
        </w:tc>
      </w:tr>
      <w:tr w:rsidR="00AD4593" w:rsidRPr="00AD4593" w14:paraId="39E4FA44" w14:textId="77777777" w:rsidTr="00101ED3">
        <w:trPr>
          <w:tblCellSpacing w:w="15" w:type="dxa"/>
        </w:trPr>
        <w:tc>
          <w:tcPr>
            <w:tcW w:w="0" w:type="auto"/>
            <w:tcBorders>
              <w:top w:val="single" w:sz="4" w:space="0" w:color="auto"/>
              <w:bottom w:val="nil"/>
            </w:tcBorders>
            <w:vAlign w:val="center"/>
          </w:tcPr>
          <w:p w14:paraId="61F446EF"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U6</w:t>
            </w:r>
          </w:p>
        </w:tc>
        <w:tc>
          <w:tcPr>
            <w:tcW w:w="0" w:type="auto"/>
            <w:tcBorders>
              <w:top w:val="single" w:sz="4" w:space="0" w:color="auto"/>
              <w:bottom w:val="nil"/>
            </w:tcBorders>
            <w:vAlign w:val="center"/>
          </w:tcPr>
          <w:p w14:paraId="735227CC"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tetap</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menghargai</w:t>
            </w:r>
            <w:proofErr w:type="spellEnd"/>
            <w:r w:rsidRPr="00AD4593">
              <w:rPr>
                <w:rFonts w:ascii="Garamond" w:hAnsi="Garamond"/>
                <w:iCs/>
                <w:sz w:val="20"/>
                <w:szCs w:val="20"/>
              </w:rPr>
              <w:t xml:space="preserve"> </w:t>
            </w:r>
            <w:proofErr w:type="spellStart"/>
            <w:r w:rsidRPr="00AD4593">
              <w:rPr>
                <w:rFonts w:ascii="Garamond" w:hAnsi="Garamond"/>
                <w:iCs/>
                <w:sz w:val="20"/>
                <w:szCs w:val="20"/>
              </w:rPr>
              <w:t>diri</w:t>
            </w:r>
            <w:proofErr w:type="spellEnd"/>
            <w:r w:rsidRPr="00AD4593">
              <w:rPr>
                <w:rFonts w:ascii="Garamond" w:hAnsi="Garamond"/>
                <w:iCs/>
                <w:sz w:val="20"/>
                <w:szCs w:val="20"/>
              </w:rPr>
              <w:t xml:space="preserve"> </w:t>
            </w:r>
            <w:proofErr w:type="spellStart"/>
            <w:r w:rsidRPr="00AD4593">
              <w:rPr>
                <w:rFonts w:ascii="Garamond" w:hAnsi="Garamond"/>
                <w:iCs/>
                <w:sz w:val="20"/>
                <w:szCs w:val="20"/>
              </w:rPr>
              <w:t>walaupun</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membuat</w:t>
            </w:r>
            <w:proofErr w:type="spellEnd"/>
            <w:r w:rsidRPr="00AD4593">
              <w:rPr>
                <w:rFonts w:ascii="Garamond" w:hAnsi="Garamond"/>
                <w:iCs/>
                <w:sz w:val="20"/>
                <w:szCs w:val="20"/>
              </w:rPr>
              <w:t xml:space="preserve"> </w:t>
            </w:r>
            <w:proofErr w:type="spellStart"/>
            <w:r w:rsidRPr="00AD4593">
              <w:rPr>
                <w:rFonts w:ascii="Garamond" w:hAnsi="Garamond"/>
                <w:iCs/>
                <w:sz w:val="20"/>
                <w:szCs w:val="20"/>
              </w:rPr>
              <w:t>kesalahan</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31CDA94F"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Conditionality</w:t>
            </w:r>
          </w:p>
        </w:tc>
      </w:tr>
      <w:tr w:rsidR="00AD4593" w:rsidRPr="00AD4593" w14:paraId="0993300D" w14:textId="77777777" w:rsidTr="00101ED3">
        <w:trPr>
          <w:tblCellSpacing w:w="15" w:type="dxa"/>
        </w:trPr>
        <w:tc>
          <w:tcPr>
            <w:tcW w:w="0" w:type="auto"/>
            <w:tcBorders>
              <w:top w:val="single" w:sz="4" w:space="0" w:color="auto"/>
              <w:bottom w:val="nil"/>
            </w:tcBorders>
            <w:vAlign w:val="center"/>
          </w:tcPr>
          <w:p w14:paraId="2061CFE2"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U7</w:t>
            </w:r>
          </w:p>
        </w:tc>
        <w:tc>
          <w:tcPr>
            <w:tcW w:w="0" w:type="auto"/>
            <w:tcBorders>
              <w:top w:val="single" w:sz="4" w:space="0" w:color="auto"/>
              <w:bottom w:val="nil"/>
            </w:tcBorders>
            <w:vAlign w:val="center"/>
          </w:tcPr>
          <w:p w14:paraId="6370C806"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merasa</w:t>
            </w:r>
            <w:proofErr w:type="spellEnd"/>
            <w:r w:rsidRPr="00AD4593">
              <w:rPr>
                <w:rFonts w:ascii="Garamond" w:hAnsi="Garamond"/>
                <w:iCs/>
                <w:sz w:val="20"/>
                <w:szCs w:val="20"/>
              </w:rPr>
              <w:t xml:space="preserve"> </w:t>
            </w:r>
            <w:proofErr w:type="spellStart"/>
            <w:r w:rsidRPr="00AD4593">
              <w:rPr>
                <w:rFonts w:ascii="Garamond" w:hAnsi="Garamond"/>
                <w:iCs/>
                <w:sz w:val="20"/>
                <w:szCs w:val="20"/>
              </w:rPr>
              <w:t>diri</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berharga</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78B66D7C"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Self-Regard</w:t>
            </w:r>
          </w:p>
        </w:tc>
      </w:tr>
      <w:tr w:rsidR="00AD4593" w:rsidRPr="00AD4593" w14:paraId="337F11C0" w14:textId="77777777" w:rsidTr="00101ED3">
        <w:trPr>
          <w:tblCellSpacing w:w="15" w:type="dxa"/>
        </w:trPr>
        <w:tc>
          <w:tcPr>
            <w:tcW w:w="0" w:type="auto"/>
            <w:tcBorders>
              <w:top w:val="single" w:sz="4" w:space="0" w:color="auto"/>
              <w:bottom w:val="nil"/>
            </w:tcBorders>
            <w:vAlign w:val="center"/>
          </w:tcPr>
          <w:p w14:paraId="6EA71BE4"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U8</w:t>
            </w:r>
          </w:p>
        </w:tc>
        <w:tc>
          <w:tcPr>
            <w:tcW w:w="0" w:type="auto"/>
            <w:tcBorders>
              <w:top w:val="single" w:sz="4" w:space="0" w:color="auto"/>
              <w:bottom w:val="nil"/>
            </w:tcBorders>
            <w:vAlign w:val="center"/>
          </w:tcPr>
          <w:p w14:paraId="1BE5EA5F"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percaya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bahwa</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berhak</w:t>
            </w:r>
            <w:proofErr w:type="spellEnd"/>
            <w:r w:rsidRPr="00AD4593">
              <w:rPr>
                <w:rFonts w:ascii="Garamond" w:hAnsi="Garamond"/>
                <w:iCs/>
                <w:sz w:val="20"/>
                <w:szCs w:val="20"/>
              </w:rPr>
              <w:t xml:space="preserve"> </w:t>
            </w:r>
            <w:proofErr w:type="spellStart"/>
            <w:r w:rsidRPr="00AD4593">
              <w:rPr>
                <w:rFonts w:ascii="Garamond" w:hAnsi="Garamond"/>
                <w:iCs/>
                <w:sz w:val="20"/>
                <w:szCs w:val="20"/>
              </w:rPr>
              <w:t>bahagia</w:t>
            </w:r>
            <w:proofErr w:type="spellEnd"/>
            <w:r w:rsidRPr="00AD4593">
              <w:rPr>
                <w:rFonts w:ascii="Garamond" w:hAnsi="Garamond"/>
                <w:iCs/>
                <w:sz w:val="20"/>
                <w:szCs w:val="20"/>
              </w:rPr>
              <w:t xml:space="preserve"> </w:t>
            </w:r>
            <w:proofErr w:type="spellStart"/>
            <w:r w:rsidRPr="00AD4593">
              <w:rPr>
                <w:rFonts w:ascii="Garamond" w:hAnsi="Garamond"/>
                <w:iCs/>
                <w:sz w:val="20"/>
                <w:szCs w:val="20"/>
              </w:rPr>
              <w:t>apa</w:t>
            </w:r>
            <w:proofErr w:type="spellEnd"/>
            <w:r w:rsidRPr="00AD4593">
              <w:rPr>
                <w:rFonts w:ascii="Garamond" w:hAnsi="Garamond"/>
                <w:iCs/>
                <w:sz w:val="20"/>
                <w:szCs w:val="20"/>
              </w:rPr>
              <w:t xml:space="preserve"> pun </w:t>
            </w:r>
            <w:proofErr w:type="spellStart"/>
            <w:r w:rsidRPr="00AD4593">
              <w:rPr>
                <w:rFonts w:ascii="Garamond" w:hAnsi="Garamond"/>
                <w:iCs/>
                <w:sz w:val="20"/>
                <w:szCs w:val="20"/>
              </w:rPr>
              <w:t>keadaan</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5E5D11C1"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Self-Regard</w:t>
            </w:r>
          </w:p>
        </w:tc>
      </w:tr>
      <w:tr w:rsidR="00AD4593" w:rsidRPr="00AD4593" w14:paraId="1B729890" w14:textId="77777777" w:rsidTr="00101ED3">
        <w:trPr>
          <w:tblCellSpacing w:w="15" w:type="dxa"/>
        </w:trPr>
        <w:tc>
          <w:tcPr>
            <w:tcW w:w="0" w:type="auto"/>
            <w:tcBorders>
              <w:top w:val="single" w:sz="4" w:space="0" w:color="auto"/>
              <w:bottom w:val="nil"/>
            </w:tcBorders>
            <w:vAlign w:val="center"/>
          </w:tcPr>
          <w:p w14:paraId="2CD8B729"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U9</w:t>
            </w:r>
          </w:p>
        </w:tc>
        <w:tc>
          <w:tcPr>
            <w:tcW w:w="0" w:type="auto"/>
            <w:tcBorders>
              <w:top w:val="single" w:sz="4" w:space="0" w:color="auto"/>
              <w:bottom w:val="nil"/>
            </w:tcBorders>
            <w:vAlign w:val="center"/>
          </w:tcPr>
          <w:p w14:paraId="10F77385"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merasa</w:t>
            </w:r>
            <w:proofErr w:type="spellEnd"/>
            <w:r w:rsidRPr="00AD4593">
              <w:rPr>
                <w:rFonts w:ascii="Garamond" w:hAnsi="Garamond"/>
                <w:iCs/>
                <w:sz w:val="20"/>
                <w:szCs w:val="20"/>
              </w:rPr>
              <w:t xml:space="preserve"> </w:t>
            </w:r>
            <w:proofErr w:type="spellStart"/>
            <w:r w:rsidRPr="00AD4593">
              <w:rPr>
                <w:rFonts w:ascii="Garamond" w:hAnsi="Garamond"/>
                <w:iCs/>
                <w:sz w:val="20"/>
                <w:szCs w:val="20"/>
              </w:rPr>
              <w:t>damai</w:t>
            </w:r>
            <w:proofErr w:type="spellEnd"/>
            <w:r w:rsidRPr="00AD4593">
              <w:rPr>
                <w:rFonts w:ascii="Garamond" w:hAnsi="Garamond"/>
                <w:iCs/>
                <w:sz w:val="20"/>
                <w:szCs w:val="20"/>
              </w:rPr>
              <w:t xml:space="preserve"> </w:t>
            </w:r>
            <w:proofErr w:type="spellStart"/>
            <w:r w:rsidRPr="00AD4593">
              <w:rPr>
                <w:rFonts w:ascii="Garamond" w:hAnsi="Garamond"/>
                <w:iCs/>
                <w:sz w:val="20"/>
                <w:szCs w:val="20"/>
              </w:rPr>
              <w:t>dengan</w:t>
            </w:r>
            <w:proofErr w:type="spellEnd"/>
            <w:r w:rsidRPr="00AD4593">
              <w:rPr>
                <w:rFonts w:ascii="Garamond" w:hAnsi="Garamond"/>
                <w:iCs/>
                <w:sz w:val="20"/>
                <w:szCs w:val="20"/>
              </w:rPr>
              <w:t xml:space="preserve"> </w:t>
            </w:r>
            <w:proofErr w:type="spellStart"/>
            <w:r w:rsidRPr="00AD4593">
              <w:rPr>
                <w:rFonts w:ascii="Garamond" w:hAnsi="Garamond"/>
                <w:iCs/>
                <w:sz w:val="20"/>
                <w:szCs w:val="20"/>
              </w:rPr>
              <w:t>diri</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sendiri</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00175DB5"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Self-Regard</w:t>
            </w:r>
          </w:p>
        </w:tc>
      </w:tr>
      <w:tr w:rsidR="00AD4593" w:rsidRPr="00AD4593" w14:paraId="73E7A6E2" w14:textId="77777777" w:rsidTr="00101ED3">
        <w:trPr>
          <w:tblCellSpacing w:w="15" w:type="dxa"/>
        </w:trPr>
        <w:tc>
          <w:tcPr>
            <w:tcW w:w="0" w:type="auto"/>
            <w:tcBorders>
              <w:top w:val="single" w:sz="4" w:space="0" w:color="auto"/>
              <w:bottom w:val="nil"/>
            </w:tcBorders>
            <w:vAlign w:val="center"/>
          </w:tcPr>
          <w:p w14:paraId="16537B72"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U10</w:t>
            </w:r>
          </w:p>
        </w:tc>
        <w:tc>
          <w:tcPr>
            <w:tcW w:w="0" w:type="auto"/>
            <w:tcBorders>
              <w:top w:val="single" w:sz="4" w:space="0" w:color="auto"/>
              <w:bottom w:val="nil"/>
            </w:tcBorders>
            <w:vAlign w:val="center"/>
          </w:tcPr>
          <w:p w14:paraId="1BB38F32"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tidak</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memerlukan</w:t>
            </w:r>
            <w:proofErr w:type="spellEnd"/>
            <w:r w:rsidRPr="00AD4593">
              <w:rPr>
                <w:rFonts w:ascii="Garamond" w:hAnsi="Garamond"/>
                <w:iCs/>
                <w:sz w:val="20"/>
                <w:szCs w:val="20"/>
              </w:rPr>
              <w:t xml:space="preserve"> </w:t>
            </w:r>
            <w:proofErr w:type="spellStart"/>
            <w:r w:rsidRPr="00AD4593">
              <w:rPr>
                <w:rFonts w:ascii="Garamond" w:hAnsi="Garamond"/>
                <w:iCs/>
                <w:sz w:val="20"/>
                <w:szCs w:val="20"/>
              </w:rPr>
              <w:t>persetujuan</w:t>
            </w:r>
            <w:proofErr w:type="spellEnd"/>
            <w:r w:rsidRPr="00AD4593">
              <w:rPr>
                <w:rFonts w:ascii="Garamond" w:hAnsi="Garamond"/>
                <w:iCs/>
                <w:sz w:val="20"/>
                <w:szCs w:val="20"/>
              </w:rPr>
              <w:t xml:space="preserve"> orang lain </w:t>
            </w:r>
            <w:proofErr w:type="spellStart"/>
            <w:r w:rsidRPr="00AD4593">
              <w:rPr>
                <w:rFonts w:ascii="Garamond" w:hAnsi="Garamond"/>
                <w:iCs/>
                <w:sz w:val="20"/>
                <w:szCs w:val="20"/>
              </w:rPr>
              <w:t>untuk</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merasa</w:t>
            </w:r>
            <w:proofErr w:type="spellEnd"/>
            <w:r w:rsidRPr="00AD4593">
              <w:rPr>
                <w:rFonts w:ascii="Garamond" w:hAnsi="Garamond"/>
                <w:iCs/>
                <w:sz w:val="20"/>
                <w:szCs w:val="20"/>
              </w:rPr>
              <w:t xml:space="preserve"> </w:t>
            </w:r>
            <w:proofErr w:type="spellStart"/>
            <w:r w:rsidRPr="00AD4593">
              <w:rPr>
                <w:rFonts w:ascii="Garamond" w:hAnsi="Garamond"/>
                <w:iCs/>
                <w:sz w:val="20"/>
                <w:szCs w:val="20"/>
              </w:rPr>
              <w:t>layak</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52892F47"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Conditionality</w:t>
            </w:r>
          </w:p>
        </w:tc>
      </w:tr>
      <w:tr w:rsidR="00AD4593" w:rsidRPr="00AD4593" w14:paraId="1FB2D771" w14:textId="77777777" w:rsidTr="00101ED3">
        <w:trPr>
          <w:tblCellSpacing w:w="15" w:type="dxa"/>
        </w:trPr>
        <w:tc>
          <w:tcPr>
            <w:tcW w:w="0" w:type="auto"/>
            <w:tcBorders>
              <w:top w:val="single" w:sz="4" w:space="0" w:color="auto"/>
              <w:bottom w:val="nil"/>
            </w:tcBorders>
            <w:vAlign w:val="center"/>
          </w:tcPr>
          <w:p w14:paraId="18FA221E"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U11</w:t>
            </w:r>
          </w:p>
        </w:tc>
        <w:tc>
          <w:tcPr>
            <w:tcW w:w="0" w:type="auto"/>
            <w:tcBorders>
              <w:top w:val="single" w:sz="4" w:space="0" w:color="auto"/>
              <w:bottom w:val="nil"/>
            </w:tcBorders>
            <w:vAlign w:val="center"/>
          </w:tcPr>
          <w:p w14:paraId="4EFB8FAC"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menerima</w:t>
            </w:r>
            <w:proofErr w:type="spellEnd"/>
            <w:r w:rsidRPr="00AD4593">
              <w:rPr>
                <w:rFonts w:ascii="Garamond" w:hAnsi="Garamond"/>
                <w:iCs/>
                <w:sz w:val="20"/>
                <w:szCs w:val="20"/>
              </w:rPr>
              <w:t xml:space="preserve"> </w:t>
            </w:r>
            <w:proofErr w:type="spellStart"/>
            <w:r w:rsidRPr="00AD4593">
              <w:rPr>
                <w:rFonts w:ascii="Garamond" w:hAnsi="Garamond"/>
                <w:iCs/>
                <w:sz w:val="20"/>
                <w:szCs w:val="20"/>
              </w:rPr>
              <w:t>kekurangan</w:t>
            </w:r>
            <w:proofErr w:type="spellEnd"/>
            <w:r w:rsidRPr="00AD4593">
              <w:rPr>
                <w:rFonts w:ascii="Garamond" w:hAnsi="Garamond"/>
                <w:iCs/>
                <w:sz w:val="20"/>
                <w:szCs w:val="20"/>
              </w:rPr>
              <w:t xml:space="preserve"> </w:t>
            </w:r>
            <w:proofErr w:type="spellStart"/>
            <w:r w:rsidRPr="00AD4593">
              <w:rPr>
                <w:rFonts w:ascii="Garamond" w:hAnsi="Garamond"/>
                <w:iCs/>
                <w:sz w:val="20"/>
                <w:szCs w:val="20"/>
              </w:rPr>
              <w:t>saya</w:t>
            </w:r>
            <w:proofErr w:type="spellEnd"/>
            <w:r w:rsidRPr="00AD4593">
              <w:rPr>
                <w:rFonts w:ascii="Garamond" w:hAnsi="Garamond"/>
                <w:iCs/>
                <w:sz w:val="20"/>
                <w:szCs w:val="20"/>
              </w:rPr>
              <w:t xml:space="preserve"> </w:t>
            </w:r>
            <w:proofErr w:type="spellStart"/>
            <w:r w:rsidRPr="00AD4593">
              <w:rPr>
                <w:rFonts w:ascii="Garamond" w:hAnsi="Garamond"/>
                <w:iCs/>
                <w:sz w:val="20"/>
                <w:szCs w:val="20"/>
              </w:rPr>
              <w:t>tanpa</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menghakimi</w:t>
            </w:r>
            <w:proofErr w:type="spellEnd"/>
            <w:r w:rsidRPr="00AD4593">
              <w:rPr>
                <w:rFonts w:ascii="Garamond" w:hAnsi="Garamond"/>
                <w:iCs/>
                <w:sz w:val="20"/>
                <w:szCs w:val="20"/>
              </w:rPr>
              <w:t>.</w:t>
            </w:r>
          </w:p>
        </w:tc>
        <w:tc>
          <w:tcPr>
            <w:tcW w:w="0" w:type="auto"/>
            <w:tcBorders>
              <w:top w:val="single" w:sz="4" w:space="0" w:color="auto"/>
              <w:bottom w:val="nil"/>
            </w:tcBorders>
            <w:vAlign w:val="center"/>
          </w:tcPr>
          <w:p w14:paraId="23C38ADC"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Self-Regard</w:t>
            </w:r>
          </w:p>
        </w:tc>
      </w:tr>
      <w:tr w:rsidR="00AD4593" w:rsidRPr="00AD4593" w14:paraId="59E2C46A" w14:textId="77777777" w:rsidTr="00101ED3">
        <w:trPr>
          <w:tblCellSpacing w:w="15" w:type="dxa"/>
        </w:trPr>
        <w:tc>
          <w:tcPr>
            <w:tcW w:w="0" w:type="auto"/>
            <w:tcBorders>
              <w:top w:val="single" w:sz="4" w:space="0" w:color="auto"/>
              <w:bottom w:val="single" w:sz="4" w:space="0" w:color="auto"/>
            </w:tcBorders>
            <w:vAlign w:val="center"/>
          </w:tcPr>
          <w:p w14:paraId="2AFFC266"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U12</w:t>
            </w:r>
          </w:p>
        </w:tc>
        <w:tc>
          <w:tcPr>
            <w:tcW w:w="0" w:type="auto"/>
            <w:tcBorders>
              <w:top w:val="single" w:sz="4" w:space="0" w:color="auto"/>
              <w:bottom w:val="single" w:sz="4" w:space="0" w:color="auto"/>
            </w:tcBorders>
            <w:vAlign w:val="center"/>
          </w:tcPr>
          <w:p w14:paraId="30D18D4F"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 xml:space="preserve">Saya </w:t>
            </w:r>
            <w:proofErr w:type="spellStart"/>
            <w:r w:rsidRPr="00AD4593">
              <w:rPr>
                <w:rFonts w:ascii="Garamond" w:hAnsi="Garamond"/>
                <w:iCs/>
                <w:sz w:val="20"/>
                <w:szCs w:val="20"/>
              </w:rPr>
              <w:t>tidak</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merasa</w:t>
            </w:r>
            <w:proofErr w:type="spellEnd"/>
            <w:r w:rsidRPr="00AD4593">
              <w:rPr>
                <w:rFonts w:ascii="Garamond" w:hAnsi="Garamond"/>
                <w:iCs/>
                <w:sz w:val="20"/>
                <w:szCs w:val="20"/>
              </w:rPr>
              <w:t xml:space="preserve"> </w:t>
            </w:r>
            <w:proofErr w:type="spellStart"/>
            <w:r w:rsidRPr="00AD4593">
              <w:rPr>
                <w:rFonts w:ascii="Garamond" w:hAnsi="Garamond"/>
                <w:iCs/>
                <w:sz w:val="20"/>
                <w:szCs w:val="20"/>
              </w:rPr>
              <w:t>perlu</w:t>
            </w:r>
            <w:proofErr w:type="spellEnd"/>
            <w:r w:rsidRPr="00AD4593">
              <w:rPr>
                <w:rFonts w:ascii="Garamond" w:hAnsi="Garamond"/>
                <w:iCs/>
                <w:sz w:val="20"/>
                <w:szCs w:val="20"/>
              </w:rPr>
              <w:t xml:space="preserve"> </w:t>
            </w:r>
            <w:proofErr w:type="spellStart"/>
            <w:r w:rsidRPr="00AD4593">
              <w:rPr>
                <w:rFonts w:ascii="Garamond" w:hAnsi="Garamond"/>
                <w:iCs/>
                <w:sz w:val="20"/>
                <w:szCs w:val="20"/>
              </w:rPr>
              <w:t>selalu</w:t>
            </w:r>
            <w:proofErr w:type="spellEnd"/>
            <w:r w:rsidRPr="00AD4593">
              <w:rPr>
                <w:rFonts w:ascii="Garamond" w:hAnsi="Garamond"/>
                <w:iCs/>
                <w:sz w:val="20"/>
                <w:szCs w:val="20"/>
              </w:rPr>
              <w:t xml:space="preserve"> </w:t>
            </w:r>
            <w:proofErr w:type="spellStart"/>
            <w:r w:rsidRPr="00AD4593">
              <w:rPr>
                <w:rFonts w:ascii="Garamond" w:hAnsi="Garamond"/>
                <w:iCs/>
                <w:sz w:val="20"/>
                <w:szCs w:val="20"/>
              </w:rPr>
              <w:t>benar</w:t>
            </w:r>
            <w:proofErr w:type="spellEnd"/>
            <w:r w:rsidRPr="00AD4593">
              <w:rPr>
                <w:rFonts w:ascii="Garamond" w:hAnsi="Garamond"/>
                <w:iCs/>
                <w:sz w:val="20"/>
                <w:szCs w:val="20"/>
              </w:rPr>
              <w:t xml:space="preserve"> </w:t>
            </w:r>
            <w:proofErr w:type="spellStart"/>
            <w:r w:rsidRPr="00AD4593">
              <w:rPr>
                <w:rFonts w:ascii="Garamond" w:hAnsi="Garamond"/>
                <w:iCs/>
                <w:sz w:val="20"/>
                <w:szCs w:val="20"/>
              </w:rPr>
              <w:t>untuk</w:t>
            </w:r>
            <w:proofErr w:type="spellEnd"/>
            <w:r w:rsidRPr="00AD4593">
              <w:rPr>
                <w:rFonts w:ascii="Garamond" w:hAnsi="Garamond"/>
                <w:iCs/>
                <w:sz w:val="20"/>
                <w:szCs w:val="20"/>
              </w:rPr>
              <w:t xml:space="preserve"> </w:t>
            </w:r>
            <w:proofErr w:type="spellStart"/>
            <w:r w:rsidRPr="00AD4593">
              <w:rPr>
                <w:rFonts w:ascii="Garamond" w:hAnsi="Garamond"/>
                <w:iCs/>
                <w:sz w:val="20"/>
                <w:szCs w:val="20"/>
              </w:rPr>
              <w:t>merasa</w:t>
            </w:r>
            <w:proofErr w:type="spellEnd"/>
            <w:r w:rsidRPr="00AD4593">
              <w:rPr>
                <w:rFonts w:ascii="Garamond" w:hAnsi="Garamond"/>
                <w:iCs/>
                <w:sz w:val="20"/>
                <w:szCs w:val="20"/>
              </w:rPr>
              <w:t xml:space="preserve"> </w:t>
            </w:r>
            <w:proofErr w:type="spellStart"/>
            <w:r w:rsidRPr="00AD4593">
              <w:rPr>
                <w:rFonts w:ascii="Garamond" w:hAnsi="Garamond"/>
                <w:iCs/>
                <w:sz w:val="20"/>
                <w:szCs w:val="20"/>
              </w:rPr>
              <w:t>berharga</w:t>
            </w:r>
            <w:proofErr w:type="spellEnd"/>
            <w:r w:rsidRPr="00AD4593">
              <w:rPr>
                <w:rFonts w:ascii="Garamond" w:hAnsi="Garamond"/>
                <w:iCs/>
                <w:sz w:val="20"/>
                <w:szCs w:val="20"/>
              </w:rPr>
              <w:t>.</w:t>
            </w:r>
          </w:p>
        </w:tc>
        <w:tc>
          <w:tcPr>
            <w:tcW w:w="0" w:type="auto"/>
            <w:tcBorders>
              <w:top w:val="single" w:sz="4" w:space="0" w:color="auto"/>
              <w:bottom w:val="single" w:sz="4" w:space="0" w:color="auto"/>
            </w:tcBorders>
            <w:vAlign w:val="center"/>
          </w:tcPr>
          <w:p w14:paraId="7226E9C3"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Conditionality</w:t>
            </w:r>
          </w:p>
        </w:tc>
      </w:tr>
    </w:tbl>
    <w:p w14:paraId="6B9609F8" w14:textId="77777777" w:rsidR="00AD4593" w:rsidRPr="00AD4593" w:rsidRDefault="00AD4593" w:rsidP="00AD4593">
      <w:pPr>
        <w:spacing w:line="259" w:lineRule="auto"/>
        <w:jc w:val="both"/>
        <w:rPr>
          <w:rFonts w:ascii="Garamond" w:hAnsi="Garamond"/>
          <w:iCs/>
          <w:sz w:val="20"/>
          <w:szCs w:val="20"/>
        </w:rPr>
      </w:pPr>
    </w:p>
    <w:p w14:paraId="76096BC5" w14:textId="77777777" w:rsidR="00AD4593" w:rsidRPr="00AD4593" w:rsidRDefault="00AD4593" w:rsidP="00AD4593">
      <w:pPr>
        <w:spacing w:line="259" w:lineRule="auto"/>
        <w:jc w:val="both"/>
        <w:rPr>
          <w:rFonts w:ascii="Garamond" w:hAnsi="Garamond"/>
          <w:b/>
          <w:bCs/>
          <w:iCs/>
          <w:sz w:val="20"/>
          <w:szCs w:val="20"/>
        </w:rPr>
      </w:pPr>
      <w:r w:rsidRPr="00AD4593">
        <w:rPr>
          <w:rFonts w:ascii="Garamond" w:hAnsi="Garamond"/>
          <w:b/>
          <w:bCs/>
          <w:iCs/>
          <w:sz w:val="20"/>
          <w:szCs w:val="20"/>
        </w:rPr>
        <w:t>Appendix B: Consent and Data Collection Procedure</w:t>
      </w:r>
    </w:p>
    <w:p w14:paraId="62786E5C"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This research adhered to ethical principles for psychological research. Participants were informed of the study's purpose, assured of anonymity, and consent was implied through voluntary form submission.</w:t>
      </w:r>
    </w:p>
    <w:p w14:paraId="412E9AC2"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b/>
          <w:bCs/>
          <w:iCs/>
          <w:sz w:val="20"/>
          <w:szCs w:val="20"/>
        </w:rPr>
        <w:t>Appendix C: Expert Validation Summary</w:t>
      </w:r>
      <w:r w:rsidRPr="00AD4593">
        <w:rPr>
          <w:rFonts w:ascii="Garamond" w:hAnsi="Garamond"/>
          <w:iCs/>
          <w:sz w:val="20"/>
          <w:szCs w:val="20"/>
        </w:rPr>
        <w:t xml:space="preserve">       </w:t>
      </w:r>
    </w:p>
    <w:tbl>
      <w:tblPr>
        <w:tblW w:w="0" w:type="auto"/>
        <w:tblCellSpacing w:w="15" w:type="dxa"/>
        <w:tblInd w:w="63" w:type="dxa"/>
        <w:tblCellMar>
          <w:top w:w="15" w:type="dxa"/>
          <w:left w:w="15" w:type="dxa"/>
          <w:bottom w:w="15" w:type="dxa"/>
          <w:right w:w="15" w:type="dxa"/>
        </w:tblCellMar>
        <w:tblLook w:val="04A0" w:firstRow="1" w:lastRow="0" w:firstColumn="1" w:lastColumn="0" w:noHBand="0" w:noVBand="1"/>
      </w:tblPr>
      <w:tblGrid>
        <w:gridCol w:w="1473"/>
        <w:gridCol w:w="2092"/>
        <w:gridCol w:w="5732"/>
      </w:tblGrid>
      <w:tr w:rsidR="00AD4593" w:rsidRPr="00AD4593" w14:paraId="2D7A36C7" w14:textId="77777777" w:rsidTr="00101ED3">
        <w:trPr>
          <w:tblCellSpacing w:w="15" w:type="dxa"/>
        </w:trPr>
        <w:tc>
          <w:tcPr>
            <w:tcW w:w="0" w:type="auto"/>
            <w:tcBorders>
              <w:top w:val="single" w:sz="4" w:space="0" w:color="auto"/>
            </w:tcBorders>
            <w:vAlign w:val="center"/>
          </w:tcPr>
          <w:p w14:paraId="33F3EE6D"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Expert Validator</w:t>
            </w:r>
          </w:p>
        </w:tc>
        <w:tc>
          <w:tcPr>
            <w:tcW w:w="0" w:type="auto"/>
            <w:tcBorders>
              <w:top w:val="single" w:sz="4" w:space="0" w:color="auto"/>
            </w:tcBorders>
            <w:vAlign w:val="center"/>
          </w:tcPr>
          <w:p w14:paraId="300E9F4B"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Area of Expertise</w:t>
            </w:r>
          </w:p>
        </w:tc>
        <w:tc>
          <w:tcPr>
            <w:tcW w:w="0" w:type="auto"/>
            <w:tcBorders>
              <w:top w:val="single" w:sz="4" w:space="0" w:color="auto"/>
            </w:tcBorders>
            <w:vAlign w:val="center"/>
          </w:tcPr>
          <w:p w14:paraId="3C01D5F7"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Feedback Summary</w:t>
            </w:r>
          </w:p>
        </w:tc>
      </w:tr>
      <w:tr w:rsidR="00AD4593" w:rsidRPr="00AD4593" w14:paraId="0A36A385" w14:textId="77777777" w:rsidTr="00101ED3">
        <w:trPr>
          <w:tblCellSpacing w:w="15" w:type="dxa"/>
        </w:trPr>
        <w:tc>
          <w:tcPr>
            <w:tcW w:w="0" w:type="auto"/>
            <w:tcBorders>
              <w:top w:val="single" w:sz="4" w:space="0" w:color="auto"/>
              <w:bottom w:val="single" w:sz="4" w:space="0" w:color="auto"/>
            </w:tcBorders>
            <w:vAlign w:val="center"/>
          </w:tcPr>
          <w:p w14:paraId="44944629"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M.S.S. Utami (2024)</w:t>
            </w:r>
          </w:p>
        </w:tc>
        <w:tc>
          <w:tcPr>
            <w:tcW w:w="0" w:type="auto"/>
            <w:tcBorders>
              <w:top w:val="single" w:sz="4" w:space="0" w:color="auto"/>
              <w:bottom w:val="single" w:sz="4" w:space="0" w:color="auto"/>
            </w:tcBorders>
            <w:vAlign w:val="center"/>
          </w:tcPr>
          <w:p w14:paraId="075472E2"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Counseling, Instrumentation</w:t>
            </w:r>
          </w:p>
        </w:tc>
        <w:tc>
          <w:tcPr>
            <w:tcW w:w="0" w:type="auto"/>
            <w:tcBorders>
              <w:top w:val="single" w:sz="4" w:space="0" w:color="auto"/>
              <w:bottom w:val="single" w:sz="4" w:space="0" w:color="auto"/>
            </w:tcBorders>
            <w:vAlign w:val="center"/>
          </w:tcPr>
          <w:p w14:paraId="4DC7EF5D" w14:textId="77777777" w:rsidR="00AD4593" w:rsidRPr="00AD4593" w:rsidRDefault="00AD4593" w:rsidP="00AD4593">
            <w:pPr>
              <w:spacing w:line="259" w:lineRule="auto"/>
              <w:jc w:val="both"/>
              <w:rPr>
                <w:rFonts w:ascii="Garamond" w:hAnsi="Garamond"/>
                <w:iCs/>
                <w:sz w:val="20"/>
                <w:szCs w:val="20"/>
              </w:rPr>
            </w:pPr>
            <w:r w:rsidRPr="00AD4593">
              <w:rPr>
                <w:rFonts w:ascii="Garamond" w:hAnsi="Garamond"/>
                <w:iCs/>
                <w:sz w:val="20"/>
                <w:szCs w:val="20"/>
              </w:rPr>
              <w:t>Recommended minor linguistic revisions; confirmed item clarity and cultural relevance.</w:t>
            </w:r>
          </w:p>
        </w:tc>
      </w:tr>
    </w:tbl>
    <w:p w14:paraId="6D2BEBE5" w14:textId="77777777" w:rsidR="00AD4593" w:rsidRPr="00AD4593" w:rsidRDefault="00AD4593" w:rsidP="00AD4593">
      <w:pPr>
        <w:spacing w:line="259" w:lineRule="auto"/>
        <w:jc w:val="both"/>
        <w:rPr>
          <w:rFonts w:ascii="Garamond" w:hAnsi="Garamond"/>
          <w:iCs/>
          <w:sz w:val="20"/>
          <w:szCs w:val="20"/>
        </w:rPr>
      </w:pPr>
    </w:p>
    <w:p w14:paraId="7ECE53B1" w14:textId="77777777" w:rsidR="00BD6B69" w:rsidRDefault="00BD6B69" w:rsidP="007A1526">
      <w:pPr>
        <w:spacing w:line="259" w:lineRule="auto"/>
        <w:jc w:val="both"/>
        <w:rPr>
          <w:rFonts w:ascii="Garamond" w:hAnsi="Garamond"/>
          <w:iCs/>
          <w:sz w:val="20"/>
          <w:szCs w:val="20"/>
        </w:rPr>
      </w:pPr>
    </w:p>
    <w:sectPr w:rsidR="00BD6B69" w:rsidSect="00AD459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C4FC8" w14:textId="77777777" w:rsidR="009B1F6F" w:rsidRDefault="009B1F6F" w:rsidP="00202B90">
      <w:r>
        <w:separator/>
      </w:r>
    </w:p>
  </w:endnote>
  <w:endnote w:type="continuationSeparator" w:id="0">
    <w:p w14:paraId="4FD8192A" w14:textId="77777777" w:rsidR="009B1F6F" w:rsidRDefault="009B1F6F"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162421068" name="Picture 16242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162421068" name="Picture 16242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54C1" w14:textId="77777777" w:rsidR="009B1F6F" w:rsidRDefault="009B1F6F" w:rsidP="00202B90">
      <w:bookmarkStart w:id="0" w:name="_Hlk191386689"/>
      <w:bookmarkEnd w:id="0"/>
      <w:r>
        <w:separator/>
      </w:r>
    </w:p>
  </w:footnote>
  <w:footnote w:type="continuationSeparator" w:id="0">
    <w:p w14:paraId="77F54FF9" w14:textId="77777777" w:rsidR="009B1F6F" w:rsidRDefault="009B1F6F"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67856099" name="Picture 1767856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726C471F" w14:textId="77777777" w:rsidR="00303C34" w:rsidRPr="00303C34" w:rsidRDefault="00303C34" w:rsidP="00303C34">
    <w:pPr>
      <w:pStyle w:val="Header"/>
      <w:tabs>
        <w:tab w:val="left" w:pos="630"/>
      </w:tabs>
      <w:jc w:val="both"/>
      <w:rPr>
        <w:rFonts w:ascii="Garamond" w:hAnsi="Garamond"/>
        <w:sz w:val="20"/>
        <w:szCs w:val="22"/>
      </w:rPr>
    </w:pPr>
    <w:r w:rsidRPr="00303C34">
      <w:rPr>
        <w:rFonts w:ascii="Garamond" w:hAnsi="Garamond"/>
        <w:sz w:val="20"/>
        <w:szCs w:val="22"/>
      </w:rPr>
      <w:t>Validation of UPSR in Indonesia</w:t>
    </w:r>
  </w:p>
  <w:p w14:paraId="5D172485" w14:textId="48C2EDB7" w:rsidR="002238CA" w:rsidRDefault="00A928E6"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Mulyani</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434483774" name="Picture 143448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9289011" name="Picture 19289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7827D0F" w14:textId="77777777" w:rsidR="00A928E6" w:rsidRPr="00303C34" w:rsidRDefault="00A928E6" w:rsidP="00A928E6">
    <w:pPr>
      <w:pStyle w:val="Header"/>
      <w:tabs>
        <w:tab w:val="left" w:pos="630"/>
      </w:tabs>
      <w:jc w:val="both"/>
      <w:rPr>
        <w:rFonts w:ascii="Garamond" w:hAnsi="Garamond"/>
        <w:sz w:val="20"/>
        <w:szCs w:val="22"/>
      </w:rPr>
    </w:pPr>
    <w:r w:rsidRPr="00303C34">
      <w:rPr>
        <w:rFonts w:ascii="Garamond" w:hAnsi="Garamond"/>
        <w:sz w:val="20"/>
        <w:szCs w:val="22"/>
      </w:rPr>
      <w:t>Validation of UPSR in Indonesia</w:t>
    </w:r>
  </w:p>
  <w:p w14:paraId="14049014" w14:textId="77777777" w:rsidR="00A928E6" w:rsidRDefault="00A928E6" w:rsidP="00A928E6">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Mulyani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083281340" name="Picture 108328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5D8A052" w14:textId="77777777" w:rsidR="00A928E6" w:rsidRPr="00303C34" w:rsidRDefault="00A928E6" w:rsidP="00A928E6">
    <w:pPr>
      <w:pStyle w:val="Header"/>
      <w:tabs>
        <w:tab w:val="left" w:pos="630"/>
      </w:tabs>
      <w:jc w:val="both"/>
      <w:rPr>
        <w:rFonts w:ascii="Garamond" w:hAnsi="Garamond"/>
        <w:sz w:val="20"/>
        <w:szCs w:val="22"/>
      </w:rPr>
    </w:pPr>
    <w:r w:rsidRPr="00303C34">
      <w:rPr>
        <w:rFonts w:ascii="Garamond" w:hAnsi="Garamond"/>
        <w:sz w:val="20"/>
        <w:szCs w:val="22"/>
      </w:rPr>
      <w:t>Validation of UPSR in Indonesia</w:t>
    </w:r>
  </w:p>
  <w:p w14:paraId="728B5D2D" w14:textId="77777777" w:rsidR="00A928E6" w:rsidRDefault="00A928E6" w:rsidP="00A928E6">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Mulyani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4C28"/>
    <w:rsid w:val="00300343"/>
    <w:rsid w:val="0030052D"/>
    <w:rsid w:val="00300F04"/>
    <w:rsid w:val="00303C3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8529E"/>
    <w:rsid w:val="0049178F"/>
    <w:rsid w:val="00491DAB"/>
    <w:rsid w:val="0049425B"/>
    <w:rsid w:val="00495CD0"/>
    <w:rsid w:val="004A0153"/>
    <w:rsid w:val="004A1730"/>
    <w:rsid w:val="004A21AD"/>
    <w:rsid w:val="004B0F2C"/>
    <w:rsid w:val="004B1DD6"/>
    <w:rsid w:val="004B3D60"/>
    <w:rsid w:val="004B68E4"/>
    <w:rsid w:val="004B72E3"/>
    <w:rsid w:val="004C1161"/>
    <w:rsid w:val="004C397E"/>
    <w:rsid w:val="004C55C9"/>
    <w:rsid w:val="004C5B71"/>
    <w:rsid w:val="004C5C38"/>
    <w:rsid w:val="004C739E"/>
    <w:rsid w:val="004D411D"/>
    <w:rsid w:val="004D4300"/>
    <w:rsid w:val="004E01BE"/>
    <w:rsid w:val="004E0E16"/>
    <w:rsid w:val="004E4397"/>
    <w:rsid w:val="004E6B49"/>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23B2"/>
    <w:rsid w:val="00534A18"/>
    <w:rsid w:val="00535573"/>
    <w:rsid w:val="005402D6"/>
    <w:rsid w:val="00542BD6"/>
    <w:rsid w:val="005468DF"/>
    <w:rsid w:val="005469E3"/>
    <w:rsid w:val="005513A1"/>
    <w:rsid w:val="00554FAD"/>
    <w:rsid w:val="0055506C"/>
    <w:rsid w:val="005559D2"/>
    <w:rsid w:val="00555A09"/>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3F98"/>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20D4"/>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2467B"/>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24D"/>
    <w:rsid w:val="00925EFF"/>
    <w:rsid w:val="00926C5A"/>
    <w:rsid w:val="00931B67"/>
    <w:rsid w:val="00932D0D"/>
    <w:rsid w:val="00934A98"/>
    <w:rsid w:val="00940387"/>
    <w:rsid w:val="00941B2B"/>
    <w:rsid w:val="00941CA5"/>
    <w:rsid w:val="00943305"/>
    <w:rsid w:val="00943E61"/>
    <w:rsid w:val="00956271"/>
    <w:rsid w:val="009568EC"/>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1F6F"/>
    <w:rsid w:val="009B46C1"/>
    <w:rsid w:val="009C4B6E"/>
    <w:rsid w:val="009C54A3"/>
    <w:rsid w:val="009C5668"/>
    <w:rsid w:val="009C6FC6"/>
    <w:rsid w:val="009C7823"/>
    <w:rsid w:val="009D0717"/>
    <w:rsid w:val="009D134D"/>
    <w:rsid w:val="009D1CEE"/>
    <w:rsid w:val="009D2E87"/>
    <w:rsid w:val="009D4137"/>
    <w:rsid w:val="009D6952"/>
    <w:rsid w:val="009D725C"/>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28E6"/>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593"/>
    <w:rsid w:val="00AD4817"/>
    <w:rsid w:val="00AE20C5"/>
    <w:rsid w:val="00AE38F9"/>
    <w:rsid w:val="00AE40FA"/>
    <w:rsid w:val="00AE4771"/>
    <w:rsid w:val="00AE48BA"/>
    <w:rsid w:val="00AE4C51"/>
    <w:rsid w:val="00AE7C32"/>
    <w:rsid w:val="00AF0748"/>
    <w:rsid w:val="00AF0E46"/>
    <w:rsid w:val="00AF101E"/>
    <w:rsid w:val="00AF12BE"/>
    <w:rsid w:val="00AF2B83"/>
    <w:rsid w:val="00AF2C8F"/>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25C9"/>
    <w:rsid w:val="00B85DFB"/>
    <w:rsid w:val="00B865B0"/>
    <w:rsid w:val="00B93B3A"/>
    <w:rsid w:val="00B977E1"/>
    <w:rsid w:val="00BA1170"/>
    <w:rsid w:val="00BA3844"/>
    <w:rsid w:val="00BA3995"/>
    <w:rsid w:val="00BA5AC8"/>
    <w:rsid w:val="00BA6F05"/>
    <w:rsid w:val="00BA77E4"/>
    <w:rsid w:val="00BB56DF"/>
    <w:rsid w:val="00BB5B6D"/>
    <w:rsid w:val="00BB645C"/>
    <w:rsid w:val="00BB6945"/>
    <w:rsid w:val="00BD05B4"/>
    <w:rsid w:val="00BD1F9A"/>
    <w:rsid w:val="00BD28A0"/>
    <w:rsid w:val="00BD2FC8"/>
    <w:rsid w:val="00BD4010"/>
    <w:rsid w:val="00BD47D7"/>
    <w:rsid w:val="00BD4BEC"/>
    <w:rsid w:val="00BD589A"/>
    <w:rsid w:val="00BD6B69"/>
    <w:rsid w:val="00BE1D20"/>
    <w:rsid w:val="00BE2AA5"/>
    <w:rsid w:val="00BE716F"/>
    <w:rsid w:val="00BE7F1E"/>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38FA"/>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1504"/>
    <w:rsid w:val="00EE2234"/>
    <w:rsid w:val="00EE252E"/>
    <w:rsid w:val="00EE38D0"/>
    <w:rsid w:val="00EE4502"/>
    <w:rsid w:val="00EE5C0C"/>
    <w:rsid w:val="00EF531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3AF5"/>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doi.org/10.71637/tnhj.v26i1.1143"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creativecommons.org/licenses/by/3.0/"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doi.org/10.71637/tnhj.v26i1.1143"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0E6F1E0B9E47E4AB49030D6B241C35"/>
        <w:category>
          <w:name w:val="General"/>
          <w:gallery w:val="placeholder"/>
        </w:category>
        <w:types>
          <w:type w:val="bbPlcHdr"/>
        </w:types>
        <w:behaviors>
          <w:behavior w:val="content"/>
        </w:behaviors>
        <w:guid w:val="{C3E52794-E48A-4587-AFC8-2B51739684CA}"/>
      </w:docPartPr>
      <w:docPartBody>
        <w:p w:rsidR="00CE39E5" w:rsidRDefault="00E24AE6" w:rsidP="00E24AE6">
          <w:pPr>
            <w:pStyle w:val="B90E6F1E0B9E47E4AB49030D6B241C35"/>
          </w:pPr>
          <w:r>
            <w:rPr>
              <w:rStyle w:val="PlaceholderText"/>
            </w:rPr>
            <w:t>Click or tap here to enter text.</w:t>
          </w:r>
        </w:p>
      </w:docPartBody>
    </w:docPart>
    <w:docPart>
      <w:docPartPr>
        <w:name w:val="241F1A8F28AA414BAA369EB0AB476F06"/>
        <w:category>
          <w:name w:val="General"/>
          <w:gallery w:val="placeholder"/>
        </w:category>
        <w:types>
          <w:type w:val="bbPlcHdr"/>
        </w:types>
        <w:behaviors>
          <w:behavior w:val="content"/>
        </w:behaviors>
        <w:guid w:val="{BE12A9ED-7903-40F2-8254-92601A083D61}"/>
      </w:docPartPr>
      <w:docPartBody>
        <w:p w:rsidR="00CE39E5" w:rsidRDefault="00E24AE6" w:rsidP="00E24AE6">
          <w:pPr>
            <w:pStyle w:val="241F1A8F28AA414BAA369EB0AB476F06"/>
          </w:pPr>
          <w:r>
            <w:rPr>
              <w:rStyle w:val="PlaceholderText"/>
            </w:rPr>
            <w:t>Click or tap here to enter text.</w:t>
          </w:r>
        </w:p>
      </w:docPartBody>
    </w:docPart>
    <w:docPart>
      <w:docPartPr>
        <w:name w:val="459DD59C445B40F3AD642C2580611353"/>
        <w:category>
          <w:name w:val="General"/>
          <w:gallery w:val="placeholder"/>
        </w:category>
        <w:types>
          <w:type w:val="bbPlcHdr"/>
        </w:types>
        <w:behaviors>
          <w:behavior w:val="content"/>
        </w:behaviors>
        <w:guid w:val="{C4B6DD9D-68B5-4CE6-9035-9D92811060FB}"/>
      </w:docPartPr>
      <w:docPartBody>
        <w:p w:rsidR="00CE39E5" w:rsidRDefault="00E24AE6" w:rsidP="00E24AE6">
          <w:pPr>
            <w:pStyle w:val="459DD59C445B40F3AD642C2580611353"/>
          </w:pPr>
          <w:r>
            <w:rPr>
              <w:rStyle w:val="PlaceholderText"/>
            </w:rPr>
            <w:t>Click or tap here to enter text.</w:t>
          </w:r>
        </w:p>
      </w:docPartBody>
    </w:docPart>
    <w:docPart>
      <w:docPartPr>
        <w:name w:val="1AF898AECF3E4B4085452C55A6ACE56A"/>
        <w:category>
          <w:name w:val="General"/>
          <w:gallery w:val="placeholder"/>
        </w:category>
        <w:types>
          <w:type w:val="bbPlcHdr"/>
        </w:types>
        <w:behaviors>
          <w:behavior w:val="content"/>
        </w:behaviors>
        <w:guid w:val="{5030D4AC-0E12-4F87-8CB6-BDEF7E5840B3}"/>
      </w:docPartPr>
      <w:docPartBody>
        <w:p w:rsidR="00CE39E5" w:rsidRDefault="00E24AE6" w:rsidP="00E24AE6">
          <w:pPr>
            <w:pStyle w:val="1AF898AECF3E4B4085452C55A6ACE56A"/>
          </w:pPr>
          <w:r>
            <w:rPr>
              <w:rStyle w:val="PlaceholderText"/>
            </w:rPr>
            <w:t>Click or tap here to enter text.</w:t>
          </w:r>
        </w:p>
      </w:docPartBody>
    </w:docPart>
    <w:docPart>
      <w:docPartPr>
        <w:name w:val="A745072C9F544F8681CB300266B54405"/>
        <w:category>
          <w:name w:val="General"/>
          <w:gallery w:val="placeholder"/>
        </w:category>
        <w:types>
          <w:type w:val="bbPlcHdr"/>
        </w:types>
        <w:behaviors>
          <w:behavior w:val="content"/>
        </w:behaviors>
        <w:guid w:val="{98BA16CD-35A1-45F6-85A5-CC77B082FC9A}"/>
      </w:docPartPr>
      <w:docPartBody>
        <w:p w:rsidR="00CE39E5" w:rsidRDefault="00E24AE6" w:rsidP="00E24AE6">
          <w:pPr>
            <w:pStyle w:val="A745072C9F544F8681CB300266B54405"/>
          </w:pPr>
          <w:r>
            <w:rPr>
              <w:rStyle w:val="PlaceholderText"/>
            </w:rPr>
            <w:t>Click or tap here to enter text.</w:t>
          </w:r>
        </w:p>
      </w:docPartBody>
    </w:docPart>
    <w:docPart>
      <w:docPartPr>
        <w:name w:val="348423BDE328A94B9859D1980F2FEDD6"/>
        <w:category>
          <w:name w:val="General"/>
          <w:gallery w:val="placeholder"/>
        </w:category>
        <w:types>
          <w:type w:val="bbPlcHdr"/>
        </w:types>
        <w:behaviors>
          <w:behavior w:val="content"/>
        </w:behaviors>
        <w:guid w:val="{A53E5215-2E63-9E46-9C2A-0982678E1869}"/>
      </w:docPartPr>
      <w:docPartBody>
        <w:p w:rsidR="00762AF6" w:rsidRDefault="00EC0C64" w:rsidP="00EC0C64">
          <w:pPr>
            <w:pStyle w:val="348423BDE328A94B9859D1980F2FEDD6"/>
          </w:pPr>
          <w:r>
            <w:rPr>
              <w:rStyle w:val="PlaceholderText"/>
            </w:rPr>
            <w:t>Click or tap here to enter text.</w:t>
          </w:r>
        </w:p>
      </w:docPartBody>
    </w:docPart>
    <w:docPart>
      <w:docPartPr>
        <w:name w:val="B2C5D703BB915342A109D13ACF49289D"/>
        <w:category>
          <w:name w:val="General"/>
          <w:gallery w:val="placeholder"/>
        </w:category>
        <w:types>
          <w:type w:val="bbPlcHdr"/>
        </w:types>
        <w:behaviors>
          <w:behavior w:val="content"/>
        </w:behaviors>
        <w:guid w:val="{71438216-EF8A-8F4A-AB47-B2132BEBDAB7}"/>
      </w:docPartPr>
      <w:docPartBody>
        <w:p w:rsidR="00762AF6" w:rsidRDefault="00EC0C64" w:rsidP="00EC0C64">
          <w:pPr>
            <w:pStyle w:val="B2C5D703BB915342A109D13ACF49289D"/>
          </w:pPr>
          <w:r>
            <w:rPr>
              <w:rStyle w:val="PlaceholderText"/>
            </w:rPr>
            <w:t>Click or tap here to enter text.</w:t>
          </w:r>
        </w:p>
      </w:docPartBody>
    </w:docPart>
    <w:docPart>
      <w:docPartPr>
        <w:name w:val="83C5D4139A462C4FBDAB71FDDFFB3459"/>
        <w:category>
          <w:name w:val="General"/>
          <w:gallery w:val="placeholder"/>
        </w:category>
        <w:types>
          <w:type w:val="bbPlcHdr"/>
        </w:types>
        <w:behaviors>
          <w:behavior w:val="content"/>
        </w:behaviors>
        <w:guid w:val="{3664F287-C2FF-674A-85EF-A7F1A52A6A29}"/>
      </w:docPartPr>
      <w:docPartBody>
        <w:p w:rsidR="00762AF6" w:rsidRDefault="00EC0C64" w:rsidP="00EC0C64">
          <w:pPr>
            <w:pStyle w:val="83C5D4139A462C4FBDAB71FDDFFB3459"/>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AE6"/>
    <w:rsid w:val="000962C8"/>
    <w:rsid w:val="000A32F6"/>
    <w:rsid w:val="001C1BE1"/>
    <w:rsid w:val="00555A09"/>
    <w:rsid w:val="006517B6"/>
    <w:rsid w:val="00762AF6"/>
    <w:rsid w:val="00796693"/>
    <w:rsid w:val="009C54A3"/>
    <w:rsid w:val="00C22CC5"/>
    <w:rsid w:val="00CE39E5"/>
    <w:rsid w:val="00CF2B55"/>
    <w:rsid w:val="00E24AE6"/>
    <w:rsid w:val="00EC0C64"/>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G" w:eastAsia="en-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EC0C64"/>
    <w:rPr>
      <w:color w:val="808080"/>
    </w:rPr>
  </w:style>
  <w:style w:type="paragraph" w:customStyle="1" w:styleId="B90E6F1E0B9E47E4AB49030D6B241C35">
    <w:name w:val="B90E6F1E0B9E47E4AB49030D6B241C35"/>
    <w:rsid w:val="00E24AE6"/>
  </w:style>
  <w:style w:type="paragraph" w:customStyle="1" w:styleId="241F1A8F28AA414BAA369EB0AB476F06">
    <w:name w:val="241F1A8F28AA414BAA369EB0AB476F06"/>
    <w:rsid w:val="00E24AE6"/>
  </w:style>
  <w:style w:type="paragraph" w:customStyle="1" w:styleId="459DD59C445B40F3AD642C2580611353">
    <w:name w:val="459DD59C445B40F3AD642C2580611353"/>
    <w:rsid w:val="00E24AE6"/>
  </w:style>
  <w:style w:type="paragraph" w:customStyle="1" w:styleId="1AF898AECF3E4B4085452C55A6ACE56A">
    <w:name w:val="1AF898AECF3E4B4085452C55A6ACE56A"/>
    <w:rsid w:val="00E24AE6"/>
  </w:style>
  <w:style w:type="paragraph" w:customStyle="1" w:styleId="A745072C9F544F8681CB300266B54405">
    <w:name w:val="A745072C9F544F8681CB300266B54405"/>
    <w:rsid w:val="00E24AE6"/>
  </w:style>
  <w:style w:type="paragraph" w:customStyle="1" w:styleId="348423BDE328A94B9859D1980F2FEDD6">
    <w:name w:val="348423BDE328A94B9859D1980F2FEDD6"/>
    <w:rsid w:val="00EC0C64"/>
    <w:rPr>
      <w:lang w:eastAsia="en-GB"/>
    </w:rPr>
  </w:style>
  <w:style w:type="paragraph" w:customStyle="1" w:styleId="B2C5D703BB915342A109D13ACF49289D">
    <w:name w:val="B2C5D703BB915342A109D13ACF49289D"/>
    <w:rsid w:val="00EC0C64"/>
    <w:rPr>
      <w:lang w:eastAsia="en-GB"/>
    </w:rPr>
  </w:style>
  <w:style w:type="paragraph" w:customStyle="1" w:styleId="83C5D4139A462C4FBDAB71FDDFFB3459">
    <w:name w:val="83C5D4139A462C4FBDAB71FDDFFB3459"/>
    <w:rsid w:val="00EC0C64"/>
    <w:rPr>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4066</Words>
  <Characters>23181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2026-04-06T06:04:00Z</dcterms:created>
  <dcterms:modified xsi:type="dcterms:W3CDTF">2026-04-06T06:04:00Z</dcterms:modified>
</cp:coreProperties>
</file>