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6A1F95AA">
                <wp:simplePos x="0" y="0"/>
                <wp:positionH relativeFrom="column">
                  <wp:posOffset>-228600</wp:posOffset>
                </wp:positionH>
                <wp:positionV relativeFrom="paragraph">
                  <wp:posOffset>121103</wp:posOffset>
                </wp:positionV>
                <wp:extent cx="6419850" cy="1240971"/>
                <wp:effectExtent l="0" t="0" r="19050" b="1651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240971"/>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A11482" id="Round Diagonal Corner Rectangle 262" o:spid="_x0000_s1026" style="position:absolute;margin-left:-18pt;margin-top:9.55pt;width:505.5pt;height:97.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2409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" path="m206833,l6419850,r,l6419850,1034138v,114231,-92602,206833,-206833,206833l,1240971r,l,206833c,92602,92602,,206833,xe" fillcolor="#1a601c" strokecolor="#385723" strokeweight="1pt">
                <v:stroke joinstyle="miter"/>
                <v:path arrowok="t" o:connecttype="custom" o:connectlocs="206833,0;6419850,0;6419850,0;6419850,1034138;6213017,1240971;0,1240971;0,1240971;0,206833;206833,0" o:connectangles="0,0,0,0,0,0,0,0,0"/>
              </v:shape>
            </w:pict>
          </mc:Fallback>
        </mc:AlternateContent>
      </w:r>
    </w:p>
    <w:p w14:paraId="36A98912" w14:textId="77777777" w:rsidR="00C844AE" w:rsidRDefault="00E751DE" w:rsidP="00C844AE">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8B0BAA">
        <w:rPr>
          <w:rFonts w:ascii="Garamond" w:hAnsi="Garamond" w:cs="Times New Roman"/>
          <w:b/>
          <w:bCs/>
          <w:color w:val="FFFFFF" w:themeColor="background1"/>
          <w:sz w:val="32"/>
          <w:szCs w:val="32"/>
        </w:rPr>
        <w:t xml:space="preserve">Assessment </w:t>
      </w:r>
      <w:r w:rsidR="008B0BAA" w:rsidRPr="008B0BAA">
        <w:rPr>
          <w:rFonts w:ascii="Garamond" w:hAnsi="Garamond" w:cs="Times New Roman"/>
          <w:b/>
          <w:bCs/>
          <w:color w:val="FFFFFF" w:themeColor="background1"/>
          <w:sz w:val="32"/>
          <w:szCs w:val="32"/>
        </w:rPr>
        <w:t>of Haptoglobin, Creatinine and Novel Markers of AKI in Homozygous and Heterozygous Sickle Cell Disease Patients in Ekiti State.</w:t>
      </w:r>
    </w:p>
    <w:p w14:paraId="46E330E6" w14:textId="77777777" w:rsidR="00223458" w:rsidRDefault="00223458" w:rsidP="000B7BDB">
      <w:pPr>
        <w:pBdr>
          <w:bottom w:val="single" w:sz="6" w:space="1" w:color="auto"/>
        </w:pBdr>
        <w:jc w:val="both"/>
        <w:rPr>
          <w:rFonts w:ascii="Garamond" w:hAnsi="Garamond"/>
          <w:bCs/>
          <w:i/>
          <w:iCs/>
          <w:sz w:val="20"/>
          <w:szCs w:val="20"/>
          <w:vertAlign w:val="superscript"/>
          <w:lang w:val="en-IN"/>
        </w:rPr>
      </w:pPr>
      <w:bookmarkStart w:id="4" w:name="_Hlk209348096"/>
      <w:bookmarkEnd w:id="2"/>
      <w:bookmarkEnd w:id="3"/>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Kazeem Damilola Suleman, </w:t>
      </w:r>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Odeyinka </w:t>
      </w:r>
      <w:proofErr w:type="spellStart"/>
      <w:r w:rsidRPr="00551B65">
        <w:rPr>
          <w:rFonts w:ascii="Garamond" w:hAnsi="Garamond" w:cs="Times New Roman"/>
          <w:b/>
          <w:bCs/>
          <w:i/>
          <w:iCs/>
          <w:color w:val="FFFFFF" w:themeColor="background1"/>
          <w:sz w:val="22"/>
          <w:szCs w:val="22"/>
        </w:rPr>
        <w:t>Olufunsho</w:t>
      </w:r>
      <w:proofErr w:type="spellEnd"/>
      <w:r w:rsidRPr="00551B65">
        <w:rPr>
          <w:rFonts w:ascii="Garamond" w:hAnsi="Garamond" w:cs="Times New Roman"/>
          <w:b/>
          <w:bCs/>
          <w:i/>
          <w:iCs/>
          <w:color w:val="FFFFFF" w:themeColor="background1"/>
          <w:sz w:val="22"/>
          <w:szCs w:val="22"/>
        </w:rPr>
        <w:t xml:space="preserve"> Odewusi, </w:t>
      </w:r>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Adeola Olanrewaju Oluboyo, </w:t>
      </w:r>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Olajumoke Abosede Ekundayo, </w:t>
      </w:r>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Emmanuel Ewesim, </w:t>
      </w:r>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Jawadat Olalekan, </w:t>
      </w:r>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Gabriella </w:t>
      </w:r>
      <w:proofErr w:type="spellStart"/>
      <w:r w:rsidRPr="00551B65">
        <w:rPr>
          <w:rFonts w:ascii="Garamond" w:hAnsi="Garamond" w:cs="Times New Roman"/>
          <w:b/>
          <w:bCs/>
          <w:i/>
          <w:iCs/>
          <w:color w:val="FFFFFF" w:themeColor="background1"/>
          <w:sz w:val="22"/>
          <w:szCs w:val="22"/>
        </w:rPr>
        <w:t>Eyide</w:t>
      </w:r>
      <w:proofErr w:type="spellEnd"/>
      <w:r w:rsidRPr="00551B65">
        <w:rPr>
          <w:rFonts w:ascii="Garamond" w:hAnsi="Garamond" w:cs="Times New Roman"/>
          <w:b/>
          <w:bCs/>
          <w:i/>
          <w:iCs/>
          <w:color w:val="FFFFFF" w:themeColor="background1"/>
          <w:sz w:val="22"/>
          <w:szCs w:val="22"/>
        </w:rPr>
        <w:t xml:space="preserve">, </w:t>
      </w:r>
      <w:r w:rsidRPr="00551B65">
        <w:rPr>
          <w:rFonts w:ascii="Garamond" w:hAnsi="Garamond" w:cs="Times New Roman"/>
          <w:b/>
          <w:bCs/>
          <w:i/>
          <w:iCs/>
          <w:color w:val="FFFFFF" w:themeColor="background1"/>
          <w:vertAlign w:val="superscript"/>
        </w:rPr>
        <w:t>1</w:t>
      </w:r>
      <w:r w:rsidRPr="00551B65">
        <w:rPr>
          <w:rFonts w:ascii="Garamond" w:hAnsi="Garamond" w:cs="Times New Roman"/>
          <w:b/>
          <w:bCs/>
          <w:i/>
          <w:iCs/>
          <w:color w:val="FFFFFF" w:themeColor="background1"/>
          <w:sz w:val="22"/>
          <w:szCs w:val="22"/>
        </w:rPr>
        <w:t xml:space="preserve">Phillip-James Ifeanyichuckwu, </w:t>
      </w:r>
      <w:r w:rsidRPr="00551B65">
        <w:rPr>
          <w:rFonts w:ascii="Garamond" w:hAnsi="Garamond" w:cs="Times New Roman"/>
          <w:b/>
          <w:bCs/>
          <w:i/>
          <w:iCs/>
          <w:color w:val="FFFFFF" w:themeColor="background1"/>
          <w:vertAlign w:val="superscript"/>
        </w:rPr>
        <w:t>2</w:t>
      </w:r>
      <w:r w:rsidRPr="00551B65">
        <w:rPr>
          <w:rFonts w:ascii="Garamond" w:hAnsi="Garamond" w:cs="Times New Roman"/>
          <w:b/>
          <w:bCs/>
          <w:i/>
          <w:iCs/>
          <w:color w:val="FFFFFF" w:themeColor="background1"/>
          <w:sz w:val="22"/>
          <w:szCs w:val="22"/>
        </w:rPr>
        <w:t>Ibrahim Folorunsho Abdulganeey</w:t>
      </w:r>
      <w:r w:rsidRPr="00410519">
        <w:rPr>
          <w:rFonts w:ascii="Garamond" w:hAnsi="Garamond"/>
          <w:bCs/>
          <w:i/>
          <w:iCs/>
          <w:sz w:val="20"/>
          <w:szCs w:val="20"/>
          <w:vertAlign w:val="superscript"/>
          <w:lang w:val="en-IN"/>
        </w:rPr>
        <w:t xml:space="preserve"> </w:t>
      </w:r>
    </w:p>
    <w:p w14:paraId="6967DEC9" w14:textId="77777777" w:rsidR="00223458" w:rsidRPr="00551B65" w:rsidRDefault="00223458" w:rsidP="00223458">
      <w:pPr>
        <w:rPr>
          <w:rFonts w:ascii="Garamond" w:hAnsi="Garamond" w:cs="Times New Roman"/>
          <w:i/>
          <w:iCs/>
          <w:sz w:val="20"/>
          <w:szCs w:val="20"/>
        </w:rPr>
      </w:pPr>
      <w:r w:rsidRPr="00551B65">
        <w:rPr>
          <w:rFonts w:ascii="Garamond" w:hAnsi="Garamond" w:cs="Times New Roman"/>
          <w:i/>
          <w:iCs/>
          <w:sz w:val="20"/>
          <w:szCs w:val="20"/>
          <w:vertAlign w:val="superscript"/>
        </w:rPr>
        <w:t>1</w:t>
      </w:r>
      <w:r w:rsidRPr="00551B65">
        <w:rPr>
          <w:rFonts w:ascii="Garamond" w:hAnsi="Garamond" w:cs="Times New Roman"/>
          <w:i/>
          <w:iCs/>
          <w:sz w:val="20"/>
          <w:szCs w:val="20"/>
        </w:rPr>
        <w:t>Department of Medical Laboratory Sciences, Afe Babalola University, Ado-Ekiti, Ekiti State.</w:t>
      </w:r>
    </w:p>
    <w:p w14:paraId="6403B298" w14:textId="50DABE41" w:rsidR="002265FA" w:rsidRDefault="00223458" w:rsidP="00223458">
      <w:pPr>
        <w:pBdr>
          <w:bottom w:val="single" w:sz="6" w:space="1" w:color="auto"/>
        </w:pBdr>
        <w:jc w:val="both"/>
        <w:rPr>
          <w:rFonts w:ascii="Garamond" w:hAnsi="Garamond"/>
          <w:i/>
          <w:iCs/>
          <w:sz w:val="20"/>
          <w:szCs w:val="20"/>
        </w:rPr>
      </w:pPr>
      <w:r w:rsidRPr="00551B65">
        <w:rPr>
          <w:rFonts w:ascii="Garamond" w:hAnsi="Garamond" w:cs="Times New Roman"/>
          <w:i/>
          <w:iCs/>
          <w:sz w:val="20"/>
          <w:szCs w:val="20"/>
          <w:vertAlign w:val="superscript"/>
        </w:rPr>
        <w:t>2</w:t>
      </w:r>
      <w:r w:rsidRPr="00551B65">
        <w:rPr>
          <w:rFonts w:ascii="Garamond" w:hAnsi="Garamond" w:cs="Times New Roman"/>
          <w:i/>
          <w:iCs/>
          <w:sz w:val="20"/>
          <w:szCs w:val="20"/>
        </w:rPr>
        <w:t>Medical Laboratory Department, Nigerian Navy College of Health Sciences, Offa, Kwara State.</w:t>
      </w:r>
    </w:p>
    <w:bookmarkEnd w:id="4"/>
    <w:p w14:paraId="78218A9F" w14:textId="4D8EF8E3" w:rsidR="00025CD2"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025CD2" w:rsidRPr="00025CD2">
        <w:rPr>
          <w:rFonts w:ascii="Garamond" w:hAnsi="Garamond" w:cs="Segoe UI"/>
          <w:b/>
          <w:bCs/>
          <w:sz w:val="20"/>
          <w:szCs w:val="20"/>
          <w:shd w:val="clear" w:color="auto" w:fill="FFFFFF"/>
        </w:rPr>
        <w:t>Kazeem D. Suleman,</w:t>
      </w:r>
      <w:r w:rsidR="00025CD2">
        <w:rPr>
          <w:rFonts w:ascii="Garamond" w:hAnsi="Garamond" w:cs="Segoe UI"/>
          <w:b/>
          <w:bCs/>
          <w:sz w:val="20"/>
          <w:szCs w:val="20"/>
          <w:shd w:val="clear" w:color="auto" w:fill="FFFFFF"/>
        </w:rPr>
        <w:t xml:space="preserve"> </w:t>
      </w:r>
      <w:r w:rsidR="00025CD2" w:rsidRPr="00025CD2">
        <w:rPr>
          <w:rFonts w:ascii="Garamond" w:hAnsi="Garamond"/>
          <w:bCs/>
          <w:sz w:val="20"/>
          <w:szCs w:val="20"/>
        </w:rPr>
        <w:t>Department of Medical Laboratory Sciences, Afe Babalola University, Ado-Ekiti, Ekiti State</w:t>
      </w:r>
      <w:r w:rsidR="000B7BDB">
        <w:rPr>
          <w:rFonts w:ascii="Garamond" w:hAnsi="Garamond"/>
          <w:bCs/>
          <w:sz w:val="20"/>
          <w:szCs w:val="20"/>
        </w:rPr>
        <w:t>.</w:t>
      </w:r>
      <w:r w:rsidR="00025CD2" w:rsidRPr="00025CD2">
        <w:rPr>
          <w:rFonts w:ascii="Garamond" w:hAnsi="Garamond"/>
          <w:bCs/>
          <w:sz w:val="20"/>
          <w:szCs w:val="20"/>
        </w:rPr>
        <w:t xml:space="preserve"> kdsuleman@gmail.com</w:t>
      </w:r>
      <w:r w:rsidR="00025CD2">
        <w:rPr>
          <w:rFonts w:ascii="Garamond" w:hAnsi="Garamond"/>
          <w:bCs/>
          <w:sz w:val="20"/>
          <w:szCs w:val="20"/>
        </w:rPr>
        <w:t>:</w:t>
      </w:r>
      <w:r w:rsidR="00025CD2" w:rsidRPr="00025CD2">
        <w:rPr>
          <w:rFonts w:ascii="Times New Roman" w:eastAsiaTheme="minorHAnsi" w:hAnsi="Times New Roman" w:cs="Times New Roman"/>
          <w:kern w:val="2"/>
          <w14:ligatures w14:val="standardContextual"/>
        </w:rPr>
        <w:t xml:space="preserve"> </w:t>
      </w:r>
      <w:r w:rsidR="00025CD2" w:rsidRPr="00025CD2">
        <w:rPr>
          <w:rFonts w:ascii="Garamond" w:hAnsi="Garamond"/>
          <w:bCs/>
          <w:sz w:val="20"/>
          <w:szCs w:val="20"/>
        </w:rPr>
        <w:t>+2348056912317,</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39BBA8F5" w:rsidR="006732D7" w:rsidRPr="00CC5867" w:rsidRDefault="006732D7" w:rsidP="006732D7">
      <w:pPr>
        <w:pBdr>
          <w:bottom w:val="single" w:sz="6" w:space="1" w:color="auto"/>
        </w:pBdr>
        <w:tabs>
          <w:tab w:val="left" w:pos="6867"/>
        </w:tabs>
        <w:jc w:val="both"/>
        <w:rPr>
          <w:rFonts w:ascii="Garamond" w:hAnsi="Garamond"/>
          <w:sz w:val="16"/>
          <w:szCs w:val="16"/>
        </w:rPr>
      </w:pPr>
      <w:r w:rsidRPr="00C844AE">
        <w:rPr>
          <w:rFonts w:ascii="Garamond" w:hAnsi="Garamond"/>
          <w:sz w:val="16"/>
          <w:szCs w:val="16"/>
        </w:rPr>
        <w:t>Arti</w:t>
      </w:r>
      <w:r w:rsidR="0023667C" w:rsidRPr="00C844AE">
        <w:rPr>
          <w:rFonts w:ascii="Garamond" w:hAnsi="Garamond"/>
          <w:sz w:val="16"/>
          <w:szCs w:val="16"/>
        </w:rPr>
        <w:t>cl</w:t>
      </w:r>
      <w:r w:rsidR="00943E61" w:rsidRPr="00C844AE">
        <w:rPr>
          <w:rFonts w:ascii="Garamond" w:hAnsi="Garamond"/>
          <w:sz w:val="16"/>
          <w:szCs w:val="16"/>
        </w:rPr>
        <w:t xml:space="preserve">e history: Received </w:t>
      </w:r>
      <w:r w:rsidR="00E34213" w:rsidRPr="00C844AE">
        <w:rPr>
          <w:rFonts w:ascii="Garamond" w:hAnsi="Garamond"/>
          <w:sz w:val="16"/>
          <w:szCs w:val="16"/>
        </w:rPr>
        <w:t>30</w:t>
      </w:r>
      <w:r w:rsidR="00943E61" w:rsidRPr="00C844AE">
        <w:rPr>
          <w:rFonts w:ascii="Garamond" w:hAnsi="Garamond"/>
          <w:sz w:val="16"/>
          <w:szCs w:val="16"/>
        </w:rPr>
        <w:t xml:space="preserve"> </w:t>
      </w:r>
      <w:r w:rsidR="00C844AE" w:rsidRPr="00C844AE">
        <w:rPr>
          <w:rFonts w:ascii="Garamond" w:hAnsi="Garamond"/>
          <w:sz w:val="16"/>
          <w:szCs w:val="16"/>
        </w:rPr>
        <w:t>June</w:t>
      </w:r>
      <w:r w:rsidR="00943E61" w:rsidRPr="00C844AE">
        <w:rPr>
          <w:rFonts w:ascii="Garamond" w:hAnsi="Garamond"/>
          <w:sz w:val="16"/>
          <w:szCs w:val="16"/>
        </w:rPr>
        <w:t xml:space="preserve"> 202</w:t>
      </w:r>
      <w:r w:rsidR="006E1FEB" w:rsidRPr="00C844AE">
        <w:rPr>
          <w:rFonts w:ascii="Garamond" w:hAnsi="Garamond"/>
          <w:sz w:val="16"/>
          <w:szCs w:val="16"/>
        </w:rPr>
        <w:t>5</w:t>
      </w:r>
      <w:r w:rsidR="00943E61" w:rsidRPr="00C844AE">
        <w:rPr>
          <w:rFonts w:ascii="Garamond" w:hAnsi="Garamond"/>
          <w:sz w:val="16"/>
          <w:szCs w:val="16"/>
        </w:rPr>
        <w:t xml:space="preserve">, Reviewed </w:t>
      </w:r>
      <w:r w:rsidR="00154D8F" w:rsidRPr="00C844AE">
        <w:rPr>
          <w:rFonts w:ascii="Garamond" w:hAnsi="Garamond"/>
          <w:sz w:val="16"/>
          <w:szCs w:val="16"/>
        </w:rPr>
        <w:t>2</w:t>
      </w:r>
      <w:r w:rsidR="00C844AE" w:rsidRPr="00C844AE">
        <w:rPr>
          <w:rFonts w:ascii="Garamond" w:hAnsi="Garamond"/>
          <w:sz w:val="16"/>
          <w:szCs w:val="16"/>
        </w:rPr>
        <w:t>9</w:t>
      </w:r>
      <w:r w:rsidR="00943E61" w:rsidRPr="00C844AE">
        <w:rPr>
          <w:rFonts w:ascii="Garamond" w:hAnsi="Garamond"/>
          <w:sz w:val="16"/>
          <w:szCs w:val="16"/>
        </w:rPr>
        <w:t xml:space="preserve"> </w:t>
      </w:r>
      <w:r w:rsidR="00C844AE" w:rsidRPr="00C844AE">
        <w:rPr>
          <w:rFonts w:ascii="Garamond" w:hAnsi="Garamond"/>
          <w:sz w:val="16"/>
          <w:szCs w:val="16"/>
        </w:rPr>
        <w:t>July</w:t>
      </w:r>
      <w:r w:rsidR="00943E61" w:rsidRPr="00C844AE">
        <w:rPr>
          <w:rFonts w:ascii="Garamond" w:hAnsi="Garamond"/>
          <w:sz w:val="16"/>
          <w:szCs w:val="16"/>
        </w:rPr>
        <w:t xml:space="preserve"> 202</w:t>
      </w:r>
      <w:r w:rsidR="00F30FAF" w:rsidRPr="00C844AE">
        <w:rPr>
          <w:rFonts w:ascii="Garamond" w:hAnsi="Garamond"/>
          <w:sz w:val="16"/>
          <w:szCs w:val="16"/>
        </w:rPr>
        <w:t>5</w:t>
      </w:r>
      <w:r w:rsidRPr="00C844AE">
        <w:rPr>
          <w:rFonts w:ascii="Garamond" w:hAnsi="Garamond"/>
          <w:sz w:val="16"/>
          <w:szCs w:val="16"/>
        </w:rPr>
        <w:t>, Accepted for pub</w:t>
      </w:r>
      <w:r w:rsidR="00943E61" w:rsidRPr="00C844AE">
        <w:rPr>
          <w:rFonts w:ascii="Garamond" w:hAnsi="Garamond"/>
          <w:sz w:val="16"/>
          <w:szCs w:val="16"/>
        </w:rPr>
        <w:t xml:space="preserve">lication </w:t>
      </w:r>
      <w:r w:rsidR="005D69B0" w:rsidRPr="00C844AE">
        <w:rPr>
          <w:rFonts w:ascii="Garamond" w:hAnsi="Garamond"/>
          <w:sz w:val="16"/>
          <w:szCs w:val="16"/>
        </w:rPr>
        <w:t>1</w:t>
      </w:r>
      <w:r w:rsidR="000B7BDB" w:rsidRPr="00C844AE">
        <w:rPr>
          <w:rFonts w:ascii="Garamond" w:hAnsi="Garamond"/>
          <w:sz w:val="16"/>
          <w:szCs w:val="16"/>
        </w:rPr>
        <w:t>0</w:t>
      </w:r>
      <w:r w:rsidR="0023667C" w:rsidRPr="00C844AE">
        <w:rPr>
          <w:rFonts w:ascii="Garamond" w:hAnsi="Garamond"/>
          <w:sz w:val="16"/>
          <w:szCs w:val="16"/>
        </w:rPr>
        <w:t xml:space="preserve"> </w:t>
      </w:r>
      <w:r w:rsidR="000B7BDB" w:rsidRPr="00C844AE">
        <w:rPr>
          <w:rFonts w:ascii="Garamond" w:hAnsi="Garamond"/>
          <w:sz w:val="16"/>
          <w:szCs w:val="16"/>
        </w:rPr>
        <w:t>March</w:t>
      </w:r>
      <w:r w:rsidRPr="00C844AE">
        <w:rPr>
          <w:rFonts w:ascii="Garamond" w:hAnsi="Garamond"/>
          <w:sz w:val="16"/>
          <w:szCs w:val="16"/>
        </w:rPr>
        <w:t xml:space="preserve"> 202</w:t>
      </w:r>
      <w:r w:rsidR="000B7BDB" w:rsidRPr="00C844AE">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47DFC0A7" w:rsidR="006732D7" w:rsidRPr="000931E7" w:rsidRDefault="00A876BF" w:rsidP="006732D7">
      <w:pPr>
        <w:jc w:val="both"/>
        <w:rPr>
          <w:rFonts w:ascii="Garamond" w:hAnsi="Garamond"/>
          <w:sz w:val="22"/>
          <w:szCs w:val="22"/>
        </w:rPr>
      </w:pPr>
      <w:r w:rsidRPr="000931E7">
        <w:rPr>
          <w:rFonts w:ascii="Garamond" w:hAnsi="Garamond"/>
          <w:b/>
          <w:sz w:val="22"/>
          <w:szCs w:val="20"/>
        </w:rPr>
        <w:t>ABSTRACT</w:t>
      </w:r>
    </w:p>
    <w:p w14:paraId="0971D992" w14:textId="1BDD7BE3" w:rsidR="00E03513" w:rsidRPr="00E03513" w:rsidRDefault="0017507F" w:rsidP="00E03513">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C56DA5" w:rsidRPr="00C56DA5">
        <w:rPr>
          <w:rFonts w:ascii="Garamond" w:eastAsiaTheme="minorHAnsi" w:hAnsi="Garamond" w:cstheme="minorHAnsi"/>
          <w:bCs/>
          <w:sz w:val="20"/>
          <w:szCs w:val="20"/>
          <w:lang w:val="en-GB"/>
        </w:rPr>
        <w:t xml:space="preserve"> </w:t>
      </w:r>
      <w:r w:rsidR="00E03513" w:rsidRPr="00E03513">
        <w:rPr>
          <w:rFonts w:ascii="Garamond" w:eastAsiaTheme="minorHAnsi" w:hAnsi="Garamond" w:cstheme="minorHAnsi"/>
          <w:bCs/>
          <w:sz w:val="20"/>
          <w:szCs w:val="20"/>
        </w:rPr>
        <w:t xml:space="preserve">Sickle cell disease (SCD) is </w:t>
      </w:r>
      <w:proofErr w:type="spellStart"/>
      <w:r w:rsidR="00E03513" w:rsidRPr="00E03513">
        <w:rPr>
          <w:rFonts w:ascii="Garamond" w:eastAsiaTheme="minorHAnsi" w:hAnsi="Garamond" w:cstheme="minorHAnsi"/>
          <w:bCs/>
          <w:sz w:val="20"/>
          <w:szCs w:val="20"/>
        </w:rPr>
        <w:t>characterised</w:t>
      </w:r>
      <w:proofErr w:type="spellEnd"/>
      <w:r w:rsidR="00E03513" w:rsidRPr="00E03513">
        <w:rPr>
          <w:rFonts w:ascii="Garamond" w:eastAsiaTheme="minorHAnsi" w:hAnsi="Garamond" w:cstheme="minorHAnsi"/>
          <w:bCs/>
          <w:sz w:val="20"/>
          <w:szCs w:val="20"/>
        </w:rPr>
        <w:t xml:space="preserve"> by the </w:t>
      </w:r>
      <w:proofErr w:type="spellStart"/>
      <w:r w:rsidR="00E03513" w:rsidRPr="00E03513">
        <w:rPr>
          <w:rFonts w:ascii="Garamond" w:eastAsiaTheme="minorHAnsi" w:hAnsi="Garamond" w:cstheme="minorHAnsi"/>
          <w:bCs/>
          <w:sz w:val="20"/>
          <w:szCs w:val="20"/>
        </w:rPr>
        <w:t>polymerisation</w:t>
      </w:r>
      <w:proofErr w:type="spellEnd"/>
      <w:r w:rsidR="00E03513" w:rsidRPr="00E03513">
        <w:rPr>
          <w:rFonts w:ascii="Garamond" w:eastAsiaTheme="minorHAnsi" w:hAnsi="Garamond" w:cstheme="minorHAnsi"/>
          <w:bCs/>
          <w:sz w:val="20"/>
          <w:szCs w:val="20"/>
        </w:rPr>
        <w:t xml:space="preserve"> of </w:t>
      </w:r>
      <w:proofErr w:type="spellStart"/>
      <w:r w:rsidR="00E03513" w:rsidRPr="00E03513">
        <w:rPr>
          <w:rFonts w:ascii="Garamond" w:eastAsiaTheme="minorHAnsi" w:hAnsi="Garamond" w:cstheme="minorHAnsi"/>
          <w:bCs/>
          <w:sz w:val="20"/>
          <w:szCs w:val="20"/>
        </w:rPr>
        <w:t>haemoglobin</w:t>
      </w:r>
      <w:proofErr w:type="spellEnd"/>
      <w:r w:rsidR="00E03513" w:rsidRPr="00E03513">
        <w:rPr>
          <w:rFonts w:ascii="Garamond" w:eastAsiaTheme="minorHAnsi" w:hAnsi="Garamond" w:cstheme="minorHAnsi"/>
          <w:bCs/>
          <w:sz w:val="20"/>
          <w:szCs w:val="20"/>
        </w:rPr>
        <w:t xml:space="preserve"> S (HbS) under low oxygen conditions, causing red blood cells to become rigid and sickle-shaped. The occurrence of renal complications following this abnormality has been a matter of concern. This study was conducted to assess serum haptoglobin, creatinine, markers of Acute Kidney Injury (AKI), and selected </w:t>
      </w:r>
      <w:proofErr w:type="spellStart"/>
      <w:r w:rsidR="00E03513" w:rsidRPr="00E03513">
        <w:rPr>
          <w:rFonts w:ascii="Garamond" w:eastAsiaTheme="minorHAnsi" w:hAnsi="Garamond" w:cstheme="minorHAnsi"/>
          <w:bCs/>
          <w:sz w:val="20"/>
          <w:szCs w:val="20"/>
        </w:rPr>
        <w:t>haematological</w:t>
      </w:r>
      <w:proofErr w:type="spellEnd"/>
      <w:r w:rsidR="00E03513" w:rsidRPr="00E03513">
        <w:rPr>
          <w:rFonts w:ascii="Garamond" w:eastAsiaTheme="minorHAnsi" w:hAnsi="Garamond" w:cstheme="minorHAnsi"/>
          <w:bCs/>
          <w:sz w:val="20"/>
          <w:szCs w:val="20"/>
        </w:rPr>
        <w:t xml:space="preserve"> parameters in subjects with sickle cell disease in Ekiti State. </w:t>
      </w:r>
    </w:p>
    <w:p w14:paraId="6FB459DA" w14:textId="77777777" w:rsidR="00E03513" w:rsidRPr="00E03513" w:rsidRDefault="00E03513" w:rsidP="00E03513">
      <w:pPr>
        <w:jc w:val="both"/>
        <w:rPr>
          <w:rFonts w:ascii="Garamond" w:eastAsiaTheme="minorHAnsi" w:hAnsi="Garamond" w:cstheme="minorHAnsi"/>
          <w:bCs/>
          <w:sz w:val="20"/>
          <w:szCs w:val="20"/>
        </w:rPr>
      </w:pPr>
      <w:r w:rsidRPr="00E03513">
        <w:rPr>
          <w:rFonts w:ascii="Garamond" w:eastAsiaTheme="minorHAnsi" w:hAnsi="Garamond" w:cstheme="minorHAnsi"/>
          <w:b/>
          <w:bCs/>
          <w:sz w:val="20"/>
          <w:szCs w:val="20"/>
        </w:rPr>
        <w:t>Methods:</w:t>
      </w:r>
      <w:r w:rsidRPr="00E03513">
        <w:rPr>
          <w:rFonts w:ascii="Garamond" w:eastAsiaTheme="minorHAnsi" w:hAnsi="Garamond" w:cstheme="minorHAnsi"/>
          <w:bCs/>
          <w:sz w:val="20"/>
          <w:szCs w:val="20"/>
        </w:rPr>
        <w:t xml:space="preserve"> A total of sixty-six (66) subjects, comprising thirty-seven (37) sickle cell disease patients and twenty-nine (29) controls, were recruited for this study. Their demographic data were collected, and 5 mL of venous blood was drawn for laboratory analysis. Human haptoglobin (HP), Kidney Injury Molecule-1 (KIM-1), Neutrophil Gelatinase-Associated Lipocalin (NGAL), and Interleukin-18 (IL-18) were measured using ELISA, while Creatinine (Cr) was </w:t>
      </w:r>
      <w:proofErr w:type="spellStart"/>
      <w:r w:rsidRPr="00E03513">
        <w:rPr>
          <w:rFonts w:ascii="Garamond" w:eastAsiaTheme="minorHAnsi" w:hAnsi="Garamond" w:cstheme="minorHAnsi"/>
          <w:bCs/>
          <w:sz w:val="20"/>
          <w:szCs w:val="20"/>
        </w:rPr>
        <w:t>analysed</w:t>
      </w:r>
      <w:proofErr w:type="spellEnd"/>
      <w:r w:rsidRPr="00E03513">
        <w:rPr>
          <w:rFonts w:ascii="Garamond" w:eastAsiaTheme="minorHAnsi" w:hAnsi="Garamond" w:cstheme="minorHAnsi"/>
          <w:bCs/>
          <w:sz w:val="20"/>
          <w:szCs w:val="20"/>
        </w:rPr>
        <w:t xml:space="preserve"> using Jaffe’s alkaline picrate method. Full blood count was performed using a Mindray BC-5000 </w:t>
      </w:r>
      <w:proofErr w:type="spellStart"/>
      <w:r w:rsidRPr="00E03513">
        <w:rPr>
          <w:rFonts w:ascii="Garamond" w:eastAsiaTheme="minorHAnsi" w:hAnsi="Garamond" w:cstheme="minorHAnsi"/>
          <w:bCs/>
          <w:sz w:val="20"/>
          <w:szCs w:val="20"/>
        </w:rPr>
        <w:t>haematology</w:t>
      </w:r>
      <w:proofErr w:type="spellEnd"/>
      <w:r w:rsidRPr="00E03513">
        <w:rPr>
          <w:rFonts w:ascii="Garamond" w:eastAsiaTheme="minorHAnsi" w:hAnsi="Garamond" w:cstheme="minorHAnsi"/>
          <w:bCs/>
          <w:sz w:val="20"/>
          <w:szCs w:val="20"/>
        </w:rPr>
        <w:t xml:space="preserve"> </w:t>
      </w:r>
      <w:proofErr w:type="spellStart"/>
      <w:r w:rsidRPr="00E03513">
        <w:rPr>
          <w:rFonts w:ascii="Garamond" w:eastAsiaTheme="minorHAnsi" w:hAnsi="Garamond" w:cstheme="minorHAnsi"/>
          <w:bCs/>
          <w:sz w:val="20"/>
          <w:szCs w:val="20"/>
        </w:rPr>
        <w:t>analyser</w:t>
      </w:r>
      <w:proofErr w:type="spellEnd"/>
      <w:r w:rsidRPr="00E03513">
        <w:rPr>
          <w:rFonts w:ascii="Garamond" w:eastAsiaTheme="minorHAnsi" w:hAnsi="Garamond" w:cstheme="minorHAnsi"/>
          <w:bCs/>
          <w:sz w:val="20"/>
          <w:szCs w:val="20"/>
        </w:rPr>
        <w:t xml:space="preserve">. </w:t>
      </w:r>
    </w:p>
    <w:p w14:paraId="74E7F9A7" w14:textId="77777777" w:rsidR="00E03513" w:rsidRPr="00E03513" w:rsidRDefault="00E03513" w:rsidP="00E03513">
      <w:pPr>
        <w:jc w:val="both"/>
        <w:rPr>
          <w:rFonts w:ascii="Garamond" w:eastAsiaTheme="minorHAnsi" w:hAnsi="Garamond" w:cstheme="minorHAnsi"/>
          <w:bCs/>
          <w:sz w:val="20"/>
          <w:szCs w:val="20"/>
        </w:rPr>
      </w:pPr>
      <w:r w:rsidRPr="00E03513">
        <w:rPr>
          <w:rFonts w:ascii="Garamond" w:eastAsiaTheme="minorHAnsi" w:hAnsi="Garamond" w:cstheme="minorHAnsi"/>
          <w:b/>
          <w:bCs/>
          <w:sz w:val="20"/>
          <w:szCs w:val="20"/>
        </w:rPr>
        <w:t xml:space="preserve">Results: </w:t>
      </w:r>
      <w:r w:rsidRPr="00E03513">
        <w:rPr>
          <w:rFonts w:ascii="Garamond" w:eastAsiaTheme="minorHAnsi" w:hAnsi="Garamond" w:cstheme="minorHAnsi"/>
          <w:bCs/>
          <w:sz w:val="20"/>
          <w:szCs w:val="20"/>
        </w:rPr>
        <w:t>The results from homozygous (</w:t>
      </w:r>
      <w:proofErr w:type="spellStart"/>
      <w:r w:rsidRPr="00E03513">
        <w:rPr>
          <w:rFonts w:ascii="Garamond" w:eastAsiaTheme="minorHAnsi" w:hAnsi="Garamond" w:cstheme="minorHAnsi"/>
          <w:bCs/>
          <w:sz w:val="20"/>
          <w:szCs w:val="20"/>
        </w:rPr>
        <w:t>HbSS</w:t>
      </w:r>
      <w:proofErr w:type="spellEnd"/>
      <w:r w:rsidRPr="00E03513">
        <w:rPr>
          <w:rFonts w:ascii="Garamond" w:eastAsiaTheme="minorHAnsi" w:hAnsi="Garamond" w:cstheme="minorHAnsi"/>
          <w:bCs/>
          <w:sz w:val="20"/>
          <w:szCs w:val="20"/>
        </w:rPr>
        <w:t xml:space="preserve">) subjects, especially those in crisis, showed significantly (p&lt; 0.05) worse </w:t>
      </w:r>
      <w:proofErr w:type="spellStart"/>
      <w:r w:rsidRPr="00E03513">
        <w:rPr>
          <w:rFonts w:ascii="Garamond" w:eastAsiaTheme="minorHAnsi" w:hAnsi="Garamond" w:cstheme="minorHAnsi"/>
          <w:bCs/>
          <w:sz w:val="20"/>
          <w:szCs w:val="20"/>
        </w:rPr>
        <w:t>anaemia</w:t>
      </w:r>
      <w:proofErr w:type="spellEnd"/>
      <w:r w:rsidRPr="00E03513">
        <w:rPr>
          <w:rFonts w:ascii="Garamond" w:eastAsiaTheme="minorHAnsi" w:hAnsi="Garamond" w:cstheme="minorHAnsi"/>
          <w:bCs/>
          <w:sz w:val="20"/>
          <w:szCs w:val="20"/>
        </w:rPr>
        <w:t xml:space="preserve">, thrombocytosis, and higher AKI markers. The correlation analysis of this study revealed that total white blood cells correlated with creatinine, and HP correlated with NGAL among homozygous SCD subjects in crisis. </w:t>
      </w:r>
    </w:p>
    <w:p w14:paraId="02616672" w14:textId="77777777" w:rsidR="00E03513" w:rsidRDefault="00E03513" w:rsidP="00E03513">
      <w:pPr>
        <w:jc w:val="both"/>
        <w:rPr>
          <w:rFonts w:ascii="Garamond" w:eastAsiaTheme="minorHAnsi" w:hAnsi="Garamond" w:cstheme="minorHAnsi"/>
          <w:bCs/>
          <w:sz w:val="20"/>
          <w:szCs w:val="20"/>
        </w:rPr>
      </w:pPr>
      <w:r w:rsidRPr="00E03513">
        <w:rPr>
          <w:rFonts w:ascii="Garamond" w:eastAsiaTheme="minorHAnsi" w:hAnsi="Garamond" w:cstheme="minorHAnsi"/>
          <w:b/>
          <w:bCs/>
          <w:sz w:val="20"/>
          <w:szCs w:val="20"/>
        </w:rPr>
        <w:t xml:space="preserve">Conclusion: </w:t>
      </w:r>
      <w:r w:rsidRPr="00E03513">
        <w:rPr>
          <w:rFonts w:ascii="Garamond" w:eastAsiaTheme="minorHAnsi" w:hAnsi="Garamond" w:cstheme="minorHAnsi"/>
          <w:bCs/>
          <w:sz w:val="20"/>
          <w:szCs w:val="20"/>
        </w:rPr>
        <w:t xml:space="preserve">The findings indicate that inflammation and </w:t>
      </w:r>
      <w:proofErr w:type="spellStart"/>
      <w:r w:rsidRPr="00E03513">
        <w:rPr>
          <w:rFonts w:ascii="Garamond" w:eastAsiaTheme="minorHAnsi" w:hAnsi="Garamond" w:cstheme="minorHAnsi"/>
          <w:bCs/>
          <w:sz w:val="20"/>
          <w:szCs w:val="20"/>
        </w:rPr>
        <w:t>haematological</w:t>
      </w:r>
      <w:proofErr w:type="spellEnd"/>
      <w:r w:rsidRPr="00E03513">
        <w:rPr>
          <w:rFonts w:ascii="Garamond" w:eastAsiaTheme="minorHAnsi" w:hAnsi="Garamond" w:cstheme="minorHAnsi"/>
          <w:bCs/>
          <w:sz w:val="20"/>
          <w:szCs w:val="20"/>
        </w:rPr>
        <w:t xml:space="preserve"> abnormalities are hallmarks of SCD. There are notable renal and </w:t>
      </w:r>
      <w:proofErr w:type="spellStart"/>
      <w:r w:rsidRPr="00E03513">
        <w:rPr>
          <w:rFonts w:ascii="Garamond" w:eastAsiaTheme="minorHAnsi" w:hAnsi="Garamond" w:cstheme="minorHAnsi"/>
          <w:bCs/>
          <w:sz w:val="20"/>
          <w:szCs w:val="20"/>
        </w:rPr>
        <w:t>haematological</w:t>
      </w:r>
      <w:proofErr w:type="spellEnd"/>
      <w:r w:rsidRPr="00E03513">
        <w:rPr>
          <w:rFonts w:ascii="Garamond" w:eastAsiaTheme="minorHAnsi" w:hAnsi="Garamond" w:cstheme="minorHAnsi"/>
          <w:bCs/>
          <w:sz w:val="20"/>
          <w:szCs w:val="20"/>
        </w:rPr>
        <w:t xml:space="preserve"> changes in SCD, particularly in homozygous individuals during </w:t>
      </w:r>
      <w:proofErr w:type="spellStart"/>
      <w:r w:rsidRPr="00E03513">
        <w:rPr>
          <w:rFonts w:ascii="Garamond" w:eastAsiaTheme="minorHAnsi" w:hAnsi="Garamond" w:cstheme="minorHAnsi"/>
          <w:bCs/>
          <w:sz w:val="20"/>
          <w:szCs w:val="20"/>
        </w:rPr>
        <w:t>vaso</w:t>
      </w:r>
      <w:proofErr w:type="spellEnd"/>
      <w:r w:rsidRPr="00E03513">
        <w:rPr>
          <w:rFonts w:ascii="Garamond" w:eastAsiaTheme="minorHAnsi" w:hAnsi="Garamond" w:cstheme="minorHAnsi"/>
          <w:bCs/>
          <w:sz w:val="20"/>
          <w:szCs w:val="20"/>
        </w:rPr>
        <w:t>-occlusive crisis. Therefore, KIM-1 and NGAL are more effective markers of kidney injury, as they can be elevated in both steady and crisis states, regardless of zygosity.</w:t>
      </w:r>
    </w:p>
    <w:p w14:paraId="0B784996" w14:textId="77777777" w:rsidR="00E03513" w:rsidRPr="00E03513" w:rsidRDefault="00E03513" w:rsidP="00E03513">
      <w:pPr>
        <w:jc w:val="both"/>
        <w:rPr>
          <w:rFonts w:ascii="Garamond" w:eastAsiaTheme="minorHAnsi" w:hAnsi="Garamond" w:cstheme="minorHAnsi"/>
          <w:bCs/>
          <w:sz w:val="20"/>
          <w:szCs w:val="20"/>
        </w:rPr>
      </w:pPr>
    </w:p>
    <w:p w14:paraId="6DA3D0BE" w14:textId="77777777" w:rsidR="00E03513" w:rsidRPr="00E03513" w:rsidRDefault="00E03513" w:rsidP="00E03513">
      <w:pPr>
        <w:jc w:val="both"/>
        <w:rPr>
          <w:rFonts w:ascii="Garamond" w:eastAsiaTheme="minorHAnsi" w:hAnsi="Garamond" w:cstheme="minorHAnsi"/>
          <w:bCs/>
          <w:sz w:val="20"/>
          <w:szCs w:val="20"/>
        </w:rPr>
      </w:pPr>
      <w:r w:rsidRPr="00E03513">
        <w:rPr>
          <w:rFonts w:ascii="Garamond" w:eastAsiaTheme="minorHAnsi" w:hAnsi="Garamond" w:cstheme="minorHAnsi"/>
          <w:b/>
          <w:bCs/>
          <w:sz w:val="20"/>
          <w:szCs w:val="20"/>
        </w:rPr>
        <w:t>Keywords:</w:t>
      </w:r>
      <w:r w:rsidRPr="00E03513">
        <w:rPr>
          <w:rFonts w:ascii="Garamond" w:eastAsiaTheme="minorHAnsi" w:hAnsi="Garamond" w:cstheme="minorHAnsi"/>
          <w:bCs/>
          <w:sz w:val="20"/>
          <w:szCs w:val="20"/>
        </w:rPr>
        <w:t xml:space="preserve"> sickle cell disease, acute kidney injury, KIM-1, NGAL, interleukin-18, haptoglobin, creatinine.</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A876BF">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648" w:gutter="0"/>
          <w:pgNumType w:start="68"/>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num="2" w:space="720"/>
          <w:titlePg/>
          <w:docGrid w:linePitch="360"/>
        </w:sectPr>
      </w:pPr>
    </w:p>
    <w:p w14:paraId="7EA89543" w14:textId="33E06D7B"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6DEE927E">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DA0DE49">
                <wp:simplePos x="0" y="0"/>
                <wp:positionH relativeFrom="margin">
                  <wp:posOffset>3254829</wp:posOffset>
                </wp:positionH>
                <wp:positionV relativeFrom="paragraph">
                  <wp:posOffset>28666</wp:posOffset>
                </wp:positionV>
                <wp:extent cx="2671639" cy="1273628"/>
                <wp:effectExtent l="0" t="0" r="8255" b="9525"/>
                <wp:wrapNone/>
                <wp:docPr id="8" name="Text Box 8"/>
                <wp:cNvGraphicFramePr/>
                <a:graphic xmlns:a="http://schemas.openxmlformats.org/drawingml/2006/main">
                  <a:graphicData uri="http://schemas.microsoft.com/office/word/2010/wordprocessingShape">
                    <wps:wsp>
                      <wps:cNvSpPr txBox="1"/>
                      <wps:spPr>
                        <a:xfrm>
                          <a:off x="0" y="0"/>
                          <a:ext cx="2671639" cy="1273628"/>
                        </a:xfrm>
                        <a:prstGeom prst="rect">
                          <a:avLst/>
                        </a:prstGeom>
                        <a:solidFill>
                          <a:sysClr val="window" lastClr="FFFFFF"/>
                        </a:solidFill>
                        <a:ln w="6350">
                          <a:solidFill>
                            <a:srgbClr val="70AD47">
                              <a:lumMod val="75000"/>
                            </a:srgbClr>
                          </a:solidFill>
                        </a:ln>
                      </wps:spPr>
                      <wps:txbx>
                        <w:txbxContent>
                          <w:p w14:paraId="68F037F5" w14:textId="7FBF402E" w:rsidR="00DD3D36" w:rsidRPr="00223458" w:rsidRDefault="00223458" w:rsidP="00223458">
                            <w:pPr>
                              <w:rPr>
                                <w:rFonts w:ascii="Garamond" w:hAnsi="Garamond" w:cs="Times New Roman"/>
                                <w:i/>
                                <w:iCs/>
                                <w:sz w:val="20"/>
                                <w:szCs w:val="20"/>
                              </w:rPr>
                            </w:pPr>
                            <w:r w:rsidRPr="00551B65">
                              <w:rPr>
                                <w:rFonts w:ascii="Garamond" w:hAnsi="Garamond" w:cs="Times New Roman"/>
                                <w:i/>
                                <w:iCs/>
                                <w:sz w:val="20"/>
                                <w:szCs w:val="20"/>
                              </w:rPr>
                              <w:t xml:space="preserve">Suleman KD, </w:t>
                            </w:r>
                            <w:proofErr w:type="spellStart"/>
                            <w:r w:rsidRPr="00551B65">
                              <w:rPr>
                                <w:rFonts w:ascii="Garamond" w:hAnsi="Garamond" w:cs="Times New Roman"/>
                                <w:i/>
                                <w:iCs/>
                                <w:sz w:val="20"/>
                                <w:szCs w:val="20"/>
                              </w:rPr>
                              <w:t>Odewusi</w:t>
                            </w:r>
                            <w:proofErr w:type="spellEnd"/>
                            <w:r w:rsidRPr="00551B65">
                              <w:rPr>
                                <w:rFonts w:ascii="Garamond" w:hAnsi="Garamond" w:cs="Times New Roman"/>
                                <w:i/>
                                <w:iCs/>
                                <w:sz w:val="20"/>
                                <w:szCs w:val="20"/>
                              </w:rPr>
                              <w:t xml:space="preserve"> OO, </w:t>
                            </w:r>
                            <w:proofErr w:type="spellStart"/>
                            <w:r w:rsidRPr="00551B65">
                              <w:rPr>
                                <w:rFonts w:ascii="Garamond" w:hAnsi="Garamond" w:cs="Times New Roman"/>
                                <w:i/>
                                <w:iCs/>
                                <w:sz w:val="20"/>
                                <w:szCs w:val="20"/>
                              </w:rPr>
                              <w:t>Oluboyo</w:t>
                            </w:r>
                            <w:proofErr w:type="spellEnd"/>
                            <w:r w:rsidRPr="00551B65">
                              <w:rPr>
                                <w:rFonts w:ascii="Garamond" w:hAnsi="Garamond" w:cs="Times New Roman"/>
                                <w:i/>
                                <w:iCs/>
                                <w:sz w:val="20"/>
                                <w:szCs w:val="20"/>
                              </w:rPr>
                              <w:t xml:space="preserve"> AO, Ekundayo OA,</w:t>
                            </w:r>
                            <w:r>
                              <w:rPr>
                                <w:rFonts w:ascii="Garamond" w:hAnsi="Garamond" w:cs="Times New Roman"/>
                                <w:i/>
                                <w:iCs/>
                                <w:sz w:val="20"/>
                                <w:szCs w:val="20"/>
                              </w:rPr>
                              <w:t xml:space="preserve"> </w:t>
                            </w:r>
                            <w:proofErr w:type="spellStart"/>
                            <w:r w:rsidRPr="00551B65">
                              <w:rPr>
                                <w:rFonts w:ascii="Garamond" w:hAnsi="Garamond" w:cs="Times New Roman"/>
                                <w:i/>
                                <w:iCs/>
                                <w:sz w:val="20"/>
                                <w:szCs w:val="20"/>
                              </w:rPr>
                              <w:t>Ewesim</w:t>
                            </w:r>
                            <w:proofErr w:type="spellEnd"/>
                            <w:r w:rsidRPr="00551B65">
                              <w:rPr>
                                <w:rFonts w:ascii="Garamond" w:hAnsi="Garamond" w:cs="Times New Roman"/>
                                <w:i/>
                                <w:iCs/>
                                <w:sz w:val="20"/>
                                <w:szCs w:val="20"/>
                              </w:rPr>
                              <w:t xml:space="preserve"> E, Olalekan J, </w:t>
                            </w:r>
                            <w:proofErr w:type="spellStart"/>
                            <w:r w:rsidRPr="00551B65">
                              <w:rPr>
                                <w:rFonts w:ascii="Garamond" w:hAnsi="Garamond" w:cs="Times New Roman"/>
                                <w:i/>
                                <w:iCs/>
                                <w:sz w:val="20"/>
                                <w:szCs w:val="20"/>
                              </w:rPr>
                              <w:t>Eyide</w:t>
                            </w:r>
                            <w:proofErr w:type="spellEnd"/>
                            <w:r w:rsidRPr="00551B65">
                              <w:rPr>
                                <w:rFonts w:ascii="Garamond" w:hAnsi="Garamond" w:cs="Times New Roman"/>
                                <w:i/>
                                <w:iCs/>
                                <w:sz w:val="20"/>
                                <w:szCs w:val="20"/>
                              </w:rPr>
                              <w:t xml:space="preserve"> G, Ifeanyichukwu P, </w:t>
                            </w:r>
                            <w:proofErr w:type="spellStart"/>
                            <w:r w:rsidRPr="00551B65">
                              <w:rPr>
                                <w:rFonts w:ascii="Garamond" w:hAnsi="Garamond" w:cs="Times New Roman"/>
                                <w:i/>
                                <w:iCs/>
                                <w:sz w:val="20"/>
                                <w:szCs w:val="20"/>
                              </w:rPr>
                              <w:t>Abdulganeey</w:t>
                            </w:r>
                            <w:proofErr w:type="spellEnd"/>
                            <w:r w:rsidRPr="00551B65">
                              <w:rPr>
                                <w:rFonts w:ascii="Garamond" w:hAnsi="Garamond" w:cs="Times New Roman"/>
                                <w:i/>
                                <w:iCs/>
                                <w:sz w:val="20"/>
                                <w:szCs w:val="20"/>
                              </w:rPr>
                              <w:t xml:space="preserve"> IF.</w:t>
                            </w:r>
                            <w:r w:rsidRPr="00551B65">
                              <w:rPr>
                                <w:rFonts w:ascii="Garamond" w:hAnsi="Garamond" w:cs="Times New Roman"/>
                                <w:sz w:val="20"/>
                                <w:szCs w:val="20"/>
                              </w:rPr>
                              <w:t xml:space="preserve"> Assessment of Haptoglobin, Creatinine and Novel</w:t>
                            </w:r>
                            <w:r>
                              <w:rPr>
                                <w:rFonts w:ascii="Garamond" w:hAnsi="Garamond" w:cs="Times New Roman"/>
                                <w:sz w:val="20"/>
                                <w:szCs w:val="20"/>
                              </w:rPr>
                              <w:t xml:space="preserve"> </w:t>
                            </w:r>
                            <w:r w:rsidRPr="00551B65">
                              <w:rPr>
                                <w:rFonts w:ascii="Garamond" w:hAnsi="Garamond" w:cs="Times New Roman"/>
                                <w:sz w:val="20"/>
                                <w:szCs w:val="20"/>
                              </w:rPr>
                              <w:t>Markers of AKI in Homozygous and Heterozygous</w:t>
                            </w:r>
                            <w:r>
                              <w:rPr>
                                <w:rFonts w:ascii="Garamond" w:hAnsi="Garamond" w:cs="Times New Roman"/>
                                <w:i/>
                                <w:iCs/>
                                <w:sz w:val="20"/>
                                <w:szCs w:val="20"/>
                              </w:rPr>
                              <w:t xml:space="preserve"> </w:t>
                            </w:r>
                            <w:r w:rsidRPr="00551B65">
                              <w:rPr>
                                <w:rFonts w:ascii="Garamond" w:hAnsi="Garamond" w:cs="Times New Roman"/>
                                <w:sz w:val="20"/>
                                <w:szCs w:val="20"/>
                              </w:rPr>
                              <w:t>Sickle Cell Disease Patients in Ekiti State. The Nigerian</w:t>
                            </w:r>
                            <w:r>
                              <w:rPr>
                                <w:rFonts w:ascii="Garamond" w:hAnsi="Garamond" w:cs="Times New Roman"/>
                                <w:sz w:val="20"/>
                                <w:szCs w:val="20"/>
                              </w:rPr>
                              <w:t xml:space="preserve"> </w:t>
                            </w:r>
                            <w:r w:rsidRPr="00551B65">
                              <w:rPr>
                                <w:rFonts w:ascii="Garamond" w:hAnsi="Garamond" w:cs="Times New Roman"/>
                                <w:sz w:val="20"/>
                                <w:szCs w:val="20"/>
                              </w:rPr>
                              <w:t>Health Journal 2026; 26(1)</w:t>
                            </w:r>
                            <w:r w:rsidR="00A876BF">
                              <w:rPr>
                                <w:rFonts w:ascii="Garamond" w:hAnsi="Garamond" w:cs="Times New Roman"/>
                                <w:sz w:val="20"/>
                                <w:szCs w:val="20"/>
                              </w:rPr>
                              <w:t xml:space="preserve">: 68 – 83. </w:t>
                            </w:r>
                            <w:hyperlink r:id="rId21" w:history="1">
                              <w:r w:rsidR="00A876BF" w:rsidRPr="008D4B15">
                                <w:rPr>
                                  <w:rStyle w:val="Hyperlink"/>
                                  <w:rFonts w:ascii="Garamond" w:hAnsi="Garamond" w:cs="Arial"/>
                                  <w:sz w:val="20"/>
                                  <w:szCs w:val="20"/>
                                </w:rPr>
                                <w:t>https://doi.org/10.71637/tnhj.v26i1.1144</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25pt;width:210.35pt;height:10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" fillcolor="window" strokecolor="#548235" strokeweight=".5pt">
                <v:textbox>
                  <w:txbxContent>
                    <w:p w14:paraId="68F037F5" w14:textId="7FBF402E" w:rsidR="00DD3D36" w:rsidRPr="00223458" w:rsidRDefault="00223458" w:rsidP="00223458">
                      <w:pPr>
                        <w:rPr>
                          <w:rFonts w:ascii="Garamond" w:hAnsi="Garamond" w:cs="Times New Roman"/>
                          <w:i/>
                          <w:iCs/>
                          <w:sz w:val="20"/>
                          <w:szCs w:val="20"/>
                        </w:rPr>
                      </w:pPr>
                      <w:r w:rsidRPr="00551B65">
                        <w:rPr>
                          <w:rFonts w:ascii="Garamond" w:hAnsi="Garamond" w:cs="Times New Roman"/>
                          <w:i/>
                          <w:iCs/>
                          <w:sz w:val="20"/>
                          <w:szCs w:val="20"/>
                        </w:rPr>
                        <w:t xml:space="preserve">Suleman KD, </w:t>
                      </w:r>
                      <w:proofErr w:type="spellStart"/>
                      <w:r w:rsidRPr="00551B65">
                        <w:rPr>
                          <w:rFonts w:ascii="Garamond" w:hAnsi="Garamond" w:cs="Times New Roman"/>
                          <w:i/>
                          <w:iCs/>
                          <w:sz w:val="20"/>
                          <w:szCs w:val="20"/>
                        </w:rPr>
                        <w:t>Odewusi</w:t>
                      </w:r>
                      <w:proofErr w:type="spellEnd"/>
                      <w:r w:rsidRPr="00551B65">
                        <w:rPr>
                          <w:rFonts w:ascii="Garamond" w:hAnsi="Garamond" w:cs="Times New Roman"/>
                          <w:i/>
                          <w:iCs/>
                          <w:sz w:val="20"/>
                          <w:szCs w:val="20"/>
                        </w:rPr>
                        <w:t xml:space="preserve"> OO, </w:t>
                      </w:r>
                      <w:proofErr w:type="spellStart"/>
                      <w:r w:rsidRPr="00551B65">
                        <w:rPr>
                          <w:rFonts w:ascii="Garamond" w:hAnsi="Garamond" w:cs="Times New Roman"/>
                          <w:i/>
                          <w:iCs/>
                          <w:sz w:val="20"/>
                          <w:szCs w:val="20"/>
                        </w:rPr>
                        <w:t>Oluboyo</w:t>
                      </w:r>
                      <w:proofErr w:type="spellEnd"/>
                      <w:r w:rsidRPr="00551B65">
                        <w:rPr>
                          <w:rFonts w:ascii="Garamond" w:hAnsi="Garamond" w:cs="Times New Roman"/>
                          <w:i/>
                          <w:iCs/>
                          <w:sz w:val="20"/>
                          <w:szCs w:val="20"/>
                        </w:rPr>
                        <w:t xml:space="preserve"> AO, Ekundayo OA,</w:t>
                      </w:r>
                      <w:r>
                        <w:rPr>
                          <w:rFonts w:ascii="Garamond" w:hAnsi="Garamond" w:cs="Times New Roman"/>
                          <w:i/>
                          <w:iCs/>
                          <w:sz w:val="20"/>
                          <w:szCs w:val="20"/>
                        </w:rPr>
                        <w:t xml:space="preserve"> </w:t>
                      </w:r>
                      <w:proofErr w:type="spellStart"/>
                      <w:r w:rsidRPr="00551B65">
                        <w:rPr>
                          <w:rFonts w:ascii="Garamond" w:hAnsi="Garamond" w:cs="Times New Roman"/>
                          <w:i/>
                          <w:iCs/>
                          <w:sz w:val="20"/>
                          <w:szCs w:val="20"/>
                        </w:rPr>
                        <w:t>Ewesim</w:t>
                      </w:r>
                      <w:proofErr w:type="spellEnd"/>
                      <w:r w:rsidRPr="00551B65">
                        <w:rPr>
                          <w:rFonts w:ascii="Garamond" w:hAnsi="Garamond" w:cs="Times New Roman"/>
                          <w:i/>
                          <w:iCs/>
                          <w:sz w:val="20"/>
                          <w:szCs w:val="20"/>
                        </w:rPr>
                        <w:t xml:space="preserve"> E, Olalekan J, </w:t>
                      </w:r>
                      <w:proofErr w:type="spellStart"/>
                      <w:r w:rsidRPr="00551B65">
                        <w:rPr>
                          <w:rFonts w:ascii="Garamond" w:hAnsi="Garamond" w:cs="Times New Roman"/>
                          <w:i/>
                          <w:iCs/>
                          <w:sz w:val="20"/>
                          <w:szCs w:val="20"/>
                        </w:rPr>
                        <w:t>Eyide</w:t>
                      </w:r>
                      <w:proofErr w:type="spellEnd"/>
                      <w:r w:rsidRPr="00551B65">
                        <w:rPr>
                          <w:rFonts w:ascii="Garamond" w:hAnsi="Garamond" w:cs="Times New Roman"/>
                          <w:i/>
                          <w:iCs/>
                          <w:sz w:val="20"/>
                          <w:szCs w:val="20"/>
                        </w:rPr>
                        <w:t xml:space="preserve"> G, Ifeanyichukwu P, </w:t>
                      </w:r>
                      <w:proofErr w:type="spellStart"/>
                      <w:r w:rsidRPr="00551B65">
                        <w:rPr>
                          <w:rFonts w:ascii="Garamond" w:hAnsi="Garamond" w:cs="Times New Roman"/>
                          <w:i/>
                          <w:iCs/>
                          <w:sz w:val="20"/>
                          <w:szCs w:val="20"/>
                        </w:rPr>
                        <w:t>Abdulganeey</w:t>
                      </w:r>
                      <w:proofErr w:type="spellEnd"/>
                      <w:r w:rsidRPr="00551B65">
                        <w:rPr>
                          <w:rFonts w:ascii="Garamond" w:hAnsi="Garamond" w:cs="Times New Roman"/>
                          <w:i/>
                          <w:iCs/>
                          <w:sz w:val="20"/>
                          <w:szCs w:val="20"/>
                        </w:rPr>
                        <w:t xml:space="preserve"> IF.</w:t>
                      </w:r>
                      <w:r w:rsidRPr="00551B65">
                        <w:rPr>
                          <w:rFonts w:ascii="Garamond" w:hAnsi="Garamond" w:cs="Times New Roman"/>
                          <w:sz w:val="20"/>
                          <w:szCs w:val="20"/>
                        </w:rPr>
                        <w:t xml:space="preserve"> Assessment of Haptoglobin, Creatinine and Novel</w:t>
                      </w:r>
                      <w:r>
                        <w:rPr>
                          <w:rFonts w:ascii="Garamond" w:hAnsi="Garamond" w:cs="Times New Roman"/>
                          <w:sz w:val="20"/>
                          <w:szCs w:val="20"/>
                        </w:rPr>
                        <w:t xml:space="preserve"> </w:t>
                      </w:r>
                      <w:r w:rsidRPr="00551B65">
                        <w:rPr>
                          <w:rFonts w:ascii="Garamond" w:hAnsi="Garamond" w:cs="Times New Roman"/>
                          <w:sz w:val="20"/>
                          <w:szCs w:val="20"/>
                        </w:rPr>
                        <w:t>Markers of AKI in Homozygous and Heterozygous</w:t>
                      </w:r>
                      <w:r>
                        <w:rPr>
                          <w:rFonts w:ascii="Garamond" w:hAnsi="Garamond" w:cs="Times New Roman"/>
                          <w:i/>
                          <w:iCs/>
                          <w:sz w:val="20"/>
                          <w:szCs w:val="20"/>
                        </w:rPr>
                        <w:t xml:space="preserve"> </w:t>
                      </w:r>
                      <w:r w:rsidRPr="00551B65">
                        <w:rPr>
                          <w:rFonts w:ascii="Garamond" w:hAnsi="Garamond" w:cs="Times New Roman"/>
                          <w:sz w:val="20"/>
                          <w:szCs w:val="20"/>
                        </w:rPr>
                        <w:t>Sickle Cell Disease Patients in Ekiti State. The Nigerian</w:t>
                      </w:r>
                      <w:r>
                        <w:rPr>
                          <w:rFonts w:ascii="Garamond" w:hAnsi="Garamond" w:cs="Times New Roman"/>
                          <w:sz w:val="20"/>
                          <w:szCs w:val="20"/>
                        </w:rPr>
                        <w:t xml:space="preserve"> </w:t>
                      </w:r>
                      <w:r w:rsidRPr="00551B65">
                        <w:rPr>
                          <w:rFonts w:ascii="Garamond" w:hAnsi="Garamond" w:cs="Times New Roman"/>
                          <w:sz w:val="20"/>
                          <w:szCs w:val="20"/>
                        </w:rPr>
                        <w:t>Health Journal 2026; 26(1)</w:t>
                      </w:r>
                      <w:r w:rsidR="00A876BF">
                        <w:rPr>
                          <w:rFonts w:ascii="Garamond" w:hAnsi="Garamond" w:cs="Times New Roman"/>
                          <w:sz w:val="20"/>
                          <w:szCs w:val="20"/>
                        </w:rPr>
                        <w:t xml:space="preserve">: 68 – 83. </w:t>
                      </w:r>
                      <w:hyperlink r:id="rId22" w:history="1">
                        <w:r w:rsidR="00A876BF" w:rsidRPr="008D4B15">
                          <w:rPr>
                            <w:rStyle w:val="Hyperlink"/>
                            <w:rFonts w:ascii="Garamond" w:hAnsi="Garamond" w:cs="Arial"/>
                            <w:sz w:val="20"/>
                            <w:szCs w:val="20"/>
                          </w:rPr>
                          <w:t>https://doi.org/10.71637/tnhj.v26i1.1144</w:t>
                        </w:r>
                      </w:hyperlink>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3"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7FD5A226" w:rsidR="000720E5" w:rsidRDefault="00501798"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509C4DD9" w14:textId="362C6BAA" w:rsid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Sickle cell disease is a genetic </w:t>
      </w:r>
      <w:proofErr w:type="spellStart"/>
      <w:r w:rsidRPr="001814CF">
        <w:rPr>
          <w:rFonts w:ascii="Garamond" w:hAnsi="Garamond"/>
          <w:bCs/>
          <w:iCs/>
          <w:sz w:val="20"/>
          <w:szCs w:val="20"/>
        </w:rPr>
        <w:t>haemoglobin</w:t>
      </w:r>
      <w:proofErr w:type="spellEnd"/>
      <w:r w:rsidRPr="001814CF">
        <w:rPr>
          <w:rFonts w:ascii="Garamond" w:hAnsi="Garamond"/>
          <w:bCs/>
          <w:iCs/>
          <w:sz w:val="20"/>
          <w:szCs w:val="20"/>
        </w:rPr>
        <w:t xml:space="preserve"> disorder present predominantly in Africans and Hispanics. The disease is defined by the inheritance of one mutated </w:t>
      </w:r>
      <w:proofErr w:type="spellStart"/>
      <w:r w:rsidRPr="001814CF">
        <w:rPr>
          <w:rFonts w:ascii="Garamond" w:hAnsi="Garamond"/>
          <w:bCs/>
          <w:iCs/>
          <w:sz w:val="20"/>
          <w:szCs w:val="20"/>
        </w:rPr>
        <w:t>haemoglobin</w:t>
      </w:r>
      <w:proofErr w:type="spellEnd"/>
      <w:r w:rsidRPr="001814CF">
        <w:rPr>
          <w:rFonts w:ascii="Garamond" w:hAnsi="Garamond"/>
          <w:bCs/>
          <w:iCs/>
          <w:sz w:val="20"/>
          <w:szCs w:val="20"/>
        </w:rPr>
        <w:t xml:space="preserve"> gene, HbS, alone or in combination with other sickle </w:t>
      </w:r>
      <w:proofErr w:type="spellStart"/>
      <w:r w:rsidRPr="001814CF">
        <w:rPr>
          <w:rFonts w:ascii="Garamond" w:hAnsi="Garamond"/>
          <w:bCs/>
          <w:iCs/>
          <w:sz w:val="20"/>
          <w:szCs w:val="20"/>
        </w:rPr>
        <w:t>haemoglobin</w:t>
      </w:r>
      <w:proofErr w:type="spellEnd"/>
      <w:r w:rsidRPr="001814CF">
        <w:rPr>
          <w:rFonts w:ascii="Garamond" w:hAnsi="Garamond"/>
          <w:bCs/>
          <w:iCs/>
          <w:sz w:val="20"/>
          <w:szCs w:val="20"/>
        </w:rPr>
        <w:t xml:space="preserve"> genes. The </w:t>
      </w:r>
      <w:proofErr w:type="spellStart"/>
      <w:r w:rsidRPr="001814CF">
        <w:rPr>
          <w:rFonts w:ascii="Garamond" w:hAnsi="Garamond"/>
          <w:bCs/>
          <w:iCs/>
          <w:sz w:val="20"/>
          <w:szCs w:val="20"/>
        </w:rPr>
        <w:t>aetiology</w:t>
      </w:r>
      <w:proofErr w:type="spellEnd"/>
      <w:r w:rsidRPr="001814CF">
        <w:rPr>
          <w:rFonts w:ascii="Garamond" w:hAnsi="Garamond"/>
          <w:bCs/>
          <w:iCs/>
          <w:sz w:val="20"/>
          <w:szCs w:val="20"/>
        </w:rPr>
        <w:t xml:space="preserve"> of sickle cell disease is due to a single-nucleotide mutation in the beta globin gene on the short arm of chromosome 11. It is the most prevalent inherited </w:t>
      </w:r>
      <w:proofErr w:type="spellStart"/>
      <w:r w:rsidRPr="001814CF">
        <w:rPr>
          <w:rFonts w:ascii="Garamond" w:hAnsi="Garamond"/>
          <w:bCs/>
          <w:iCs/>
          <w:sz w:val="20"/>
          <w:szCs w:val="20"/>
        </w:rPr>
        <w:t>haematological</w:t>
      </w:r>
      <w:proofErr w:type="spellEnd"/>
      <w:r w:rsidRPr="001814CF">
        <w:rPr>
          <w:rFonts w:ascii="Garamond" w:hAnsi="Garamond"/>
          <w:bCs/>
          <w:iCs/>
          <w:sz w:val="20"/>
          <w:szCs w:val="20"/>
        </w:rPr>
        <w:t xml:space="preserve"> disorder, affecting approximately 12,000 to 15,000 individuals and estimated to have 250,000 carriers of the sickle cell gene</w:t>
      </w:r>
      <w:r w:rsidR="00223458">
        <w:rPr>
          <w:rFonts w:ascii="Garamond" w:hAnsi="Garamond"/>
          <w:bCs/>
          <w:iCs/>
          <w:sz w:val="20"/>
          <w:szCs w:val="20"/>
        </w:rPr>
        <w:t>.</w:t>
      </w:r>
      <w:r w:rsidRPr="001814CF">
        <w:rPr>
          <w:rFonts w:ascii="Garamond" w:hAnsi="Garamond"/>
          <w:bCs/>
          <w:iCs/>
          <w:sz w:val="20"/>
          <w:szCs w:val="20"/>
          <w:vertAlign w:val="superscript"/>
        </w:rPr>
        <w:t>1</w:t>
      </w:r>
      <w:r w:rsidRPr="001814CF">
        <w:rPr>
          <w:rFonts w:ascii="Garamond" w:hAnsi="Garamond"/>
          <w:bCs/>
          <w:iCs/>
          <w:sz w:val="20"/>
          <w:szCs w:val="20"/>
        </w:rPr>
        <w:t xml:space="preserve"> This inherited </w:t>
      </w:r>
      <w:proofErr w:type="spellStart"/>
      <w:r w:rsidRPr="001814CF">
        <w:rPr>
          <w:rFonts w:ascii="Garamond" w:hAnsi="Garamond"/>
          <w:bCs/>
          <w:iCs/>
          <w:sz w:val="20"/>
          <w:szCs w:val="20"/>
        </w:rPr>
        <w:t>haematological</w:t>
      </w:r>
      <w:proofErr w:type="spellEnd"/>
      <w:r w:rsidRPr="001814CF">
        <w:rPr>
          <w:rFonts w:ascii="Garamond" w:hAnsi="Garamond"/>
          <w:bCs/>
          <w:iCs/>
          <w:sz w:val="20"/>
          <w:szCs w:val="20"/>
        </w:rPr>
        <w:t xml:space="preserve"> disorder has a high prevalence in the Nigerian population </w:t>
      </w:r>
      <w:r w:rsidRPr="001814CF">
        <w:rPr>
          <w:rFonts w:ascii="Garamond" w:hAnsi="Garamond"/>
          <w:bCs/>
          <w:iCs/>
          <w:sz w:val="20"/>
          <w:szCs w:val="20"/>
          <w:vertAlign w:val="superscript"/>
        </w:rPr>
        <w:t>2</w:t>
      </w:r>
      <w:r w:rsidRPr="001814CF">
        <w:rPr>
          <w:rFonts w:ascii="Garamond" w:hAnsi="Garamond"/>
          <w:bCs/>
          <w:iCs/>
          <w:sz w:val="20"/>
          <w:szCs w:val="20"/>
        </w:rPr>
        <w:t xml:space="preserve">. The resultant </w:t>
      </w:r>
      <w:proofErr w:type="spellStart"/>
      <w:r w:rsidRPr="001814CF">
        <w:rPr>
          <w:rFonts w:ascii="Garamond" w:hAnsi="Garamond"/>
          <w:bCs/>
          <w:iCs/>
          <w:sz w:val="20"/>
          <w:szCs w:val="20"/>
        </w:rPr>
        <w:t>haemoglobin</w:t>
      </w:r>
      <w:proofErr w:type="spellEnd"/>
      <w:r w:rsidRPr="001814CF">
        <w:rPr>
          <w:rFonts w:ascii="Garamond" w:hAnsi="Garamond"/>
          <w:bCs/>
          <w:iCs/>
          <w:sz w:val="20"/>
          <w:szCs w:val="20"/>
        </w:rPr>
        <w:t xml:space="preserve"> S (HbS) tends to </w:t>
      </w:r>
      <w:proofErr w:type="spellStart"/>
      <w:r w:rsidRPr="001814CF">
        <w:rPr>
          <w:rFonts w:ascii="Garamond" w:hAnsi="Garamond"/>
          <w:bCs/>
          <w:iCs/>
          <w:sz w:val="20"/>
          <w:szCs w:val="20"/>
        </w:rPr>
        <w:t>polymerise</w:t>
      </w:r>
      <w:proofErr w:type="spellEnd"/>
      <w:r w:rsidRPr="001814CF">
        <w:rPr>
          <w:rFonts w:ascii="Garamond" w:hAnsi="Garamond"/>
          <w:bCs/>
          <w:iCs/>
          <w:sz w:val="20"/>
          <w:szCs w:val="20"/>
        </w:rPr>
        <w:t xml:space="preserve"> when oxygen tension is low, leading to rigidity of red blood cells and the adoption of a sickled morphology</w:t>
      </w:r>
      <w:r w:rsidR="00223458">
        <w:rPr>
          <w:rFonts w:ascii="Garamond" w:hAnsi="Garamond"/>
          <w:bCs/>
          <w:iCs/>
          <w:sz w:val="20"/>
          <w:szCs w:val="20"/>
        </w:rPr>
        <w:t>.</w:t>
      </w:r>
      <w:r w:rsidRPr="001814CF">
        <w:rPr>
          <w:rFonts w:ascii="Garamond" w:hAnsi="Garamond"/>
          <w:bCs/>
          <w:iCs/>
          <w:sz w:val="20"/>
          <w:szCs w:val="20"/>
          <w:vertAlign w:val="superscript"/>
        </w:rPr>
        <w:t>3</w:t>
      </w:r>
      <w:r w:rsidRPr="001814CF">
        <w:rPr>
          <w:rFonts w:ascii="Garamond" w:hAnsi="Garamond"/>
          <w:bCs/>
          <w:iCs/>
          <w:sz w:val="20"/>
          <w:szCs w:val="20"/>
        </w:rPr>
        <w:t xml:space="preserve"> These deformed red cells trigger activation of other blood cells, for example, neutrophils, and also of the endothelial lining of blood vessels by similar mechanisms found in vasculopathies. Through this, the targeted tissues lose their blood perfusion, and the resulting ischemia leads to infarction of the tissues</w:t>
      </w:r>
      <w:r w:rsidR="00223458">
        <w:rPr>
          <w:rFonts w:ascii="Garamond" w:hAnsi="Garamond"/>
          <w:bCs/>
          <w:iCs/>
          <w:sz w:val="20"/>
          <w:szCs w:val="20"/>
        </w:rPr>
        <w:t>.</w:t>
      </w:r>
      <w:r w:rsidRPr="001814CF">
        <w:rPr>
          <w:rFonts w:ascii="Garamond" w:hAnsi="Garamond"/>
          <w:bCs/>
          <w:iCs/>
          <w:sz w:val="20"/>
          <w:szCs w:val="20"/>
          <w:vertAlign w:val="superscript"/>
        </w:rPr>
        <w:t>4</w:t>
      </w:r>
      <w:r w:rsidRPr="001814CF">
        <w:rPr>
          <w:rFonts w:ascii="Garamond" w:hAnsi="Garamond"/>
          <w:bCs/>
          <w:iCs/>
          <w:sz w:val="20"/>
          <w:szCs w:val="20"/>
        </w:rPr>
        <w:t xml:space="preserve"> Clinical manifestations of sickle cell disease typically begin at the age of 5 to 6 months</w:t>
      </w:r>
      <w:r w:rsidRPr="001814CF">
        <w:rPr>
          <w:rFonts w:ascii="Garamond" w:hAnsi="Garamond"/>
          <w:bCs/>
          <w:iCs/>
          <w:sz w:val="20"/>
          <w:szCs w:val="20"/>
          <w:vertAlign w:val="superscript"/>
        </w:rPr>
        <w:t>3</w:t>
      </w:r>
      <w:r w:rsidRPr="001814CF">
        <w:rPr>
          <w:rFonts w:ascii="Garamond" w:hAnsi="Garamond"/>
          <w:bCs/>
          <w:iCs/>
          <w:sz w:val="20"/>
          <w:szCs w:val="20"/>
        </w:rPr>
        <w:t>. Sickle cell disease is a condition that may lead to death, and it has periodic pain crises and is highly associated with an increase in estimated glomerular filtration rate (eGFR) and CKD onset</w:t>
      </w:r>
      <w:r w:rsidR="00223458">
        <w:rPr>
          <w:rFonts w:ascii="Garamond" w:hAnsi="Garamond"/>
          <w:bCs/>
          <w:iCs/>
          <w:sz w:val="20"/>
          <w:szCs w:val="20"/>
        </w:rPr>
        <w:t>.</w:t>
      </w:r>
      <w:r w:rsidRPr="001814CF">
        <w:rPr>
          <w:rFonts w:ascii="Garamond" w:hAnsi="Garamond"/>
          <w:bCs/>
          <w:iCs/>
          <w:sz w:val="20"/>
          <w:szCs w:val="20"/>
          <w:vertAlign w:val="superscript"/>
        </w:rPr>
        <w:t>5</w:t>
      </w:r>
    </w:p>
    <w:p w14:paraId="49723A7E" w14:textId="7FE35A55" w:rsid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Kidney presentations of SCD are typically less severe in compound heterozygous mutations like </w:t>
      </w:r>
      <w:proofErr w:type="spellStart"/>
      <w:r w:rsidRPr="001814CF">
        <w:rPr>
          <w:rFonts w:ascii="Garamond" w:hAnsi="Garamond"/>
          <w:bCs/>
          <w:iCs/>
          <w:sz w:val="20"/>
          <w:szCs w:val="20"/>
        </w:rPr>
        <w:t>HbSC</w:t>
      </w:r>
      <w:proofErr w:type="spellEnd"/>
      <w:r w:rsidRPr="001814CF">
        <w:rPr>
          <w:rFonts w:ascii="Garamond" w:hAnsi="Garamond"/>
          <w:bCs/>
          <w:iCs/>
          <w:sz w:val="20"/>
          <w:szCs w:val="20"/>
        </w:rPr>
        <w:t xml:space="preserve"> and HbSβ+-thalassemia. The illness is fairly mild or absent in individuals who have the sickle cell trait</w:t>
      </w:r>
      <w:r w:rsidR="00223458">
        <w:rPr>
          <w:rFonts w:ascii="Garamond" w:hAnsi="Garamond"/>
          <w:bCs/>
          <w:iCs/>
          <w:sz w:val="20"/>
          <w:szCs w:val="20"/>
        </w:rPr>
        <w:t>.</w:t>
      </w:r>
      <w:r w:rsidRPr="001814CF">
        <w:rPr>
          <w:rFonts w:ascii="Garamond" w:hAnsi="Garamond"/>
          <w:bCs/>
          <w:iCs/>
          <w:sz w:val="20"/>
          <w:szCs w:val="20"/>
          <w:vertAlign w:val="superscript"/>
        </w:rPr>
        <w:t>6</w:t>
      </w:r>
      <w:r w:rsidRPr="001814CF">
        <w:rPr>
          <w:rFonts w:ascii="Garamond" w:hAnsi="Garamond"/>
          <w:bCs/>
          <w:iCs/>
          <w:sz w:val="20"/>
          <w:szCs w:val="20"/>
        </w:rPr>
        <w:t xml:space="preserve"> Whether sickle cell disease is associated with acute kidney injury (AKI) in sickle cell disease is a field not well studied. </w:t>
      </w:r>
    </w:p>
    <w:p w14:paraId="7EC4543A" w14:textId="635E712D" w:rsid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Haptoglobin (HP) is a serum glycoprotein with significant functions in the prevention of blood toxicity and inflammation in SCD patients, in addition to playing a central role in the treatment of hemolysis secondary to SCD complications</w:t>
      </w:r>
      <w:r w:rsidRPr="001814CF">
        <w:rPr>
          <w:rFonts w:ascii="Garamond" w:hAnsi="Garamond"/>
          <w:bCs/>
          <w:iCs/>
          <w:sz w:val="20"/>
          <w:szCs w:val="20"/>
          <w:vertAlign w:val="superscript"/>
        </w:rPr>
        <w:t>7</w:t>
      </w:r>
      <w:r w:rsidRPr="001814CF">
        <w:rPr>
          <w:rFonts w:ascii="Garamond" w:hAnsi="Garamond"/>
          <w:bCs/>
          <w:iCs/>
          <w:sz w:val="20"/>
          <w:szCs w:val="20"/>
        </w:rPr>
        <w:t xml:space="preserve">. HP, being a natural scavenger, binds free </w:t>
      </w:r>
      <w:proofErr w:type="spellStart"/>
      <w:r w:rsidRPr="001814CF">
        <w:rPr>
          <w:rFonts w:ascii="Garamond" w:hAnsi="Garamond"/>
          <w:bCs/>
          <w:iCs/>
          <w:sz w:val="20"/>
          <w:szCs w:val="20"/>
        </w:rPr>
        <w:t>haemoglobin</w:t>
      </w:r>
      <w:proofErr w:type="spellEnd"/>
      <w:r w:rsidRPr="001814CF">
        <w:rPr>
          <w:rFonts w:ascii="Garamond" w:hAnsi="Garamond"/>
          <w:bCs/>
          <w:iCs/>
          <w:sz w:val="20"/>
          <w:szCs w:val="20"/>
        </w:rPr>
        <w:t xml:space="preserve"> (Hb) produced due to hemolytic processes, thereby preventing its deleterious effect on the vascular and renal system</w:t>
      </w:r>
      <w:r w:rsidRPr="001814CF">
        <w:rPr>
          <w:rFonts w:ascii="Garamond" w:hAnsi="Garamond"/>
          <w:bCs/>
          <w:iCs/>
          <w:sz w:val="20"/>
          <w:szCs w:val="20"/>
          <w:vertAlign w:val="superscript"/>
        </w:rPr>
        <w:t>8</w:t>
      </w:r>
      <w:r w:rsidRPr="001814CF">
        <w:rPr>
          <w:rFonts w:ascii="Garamond" w:hAnsi="Garamond"/>
          <w:bCs/>
          <w:iCs/>
          <w:sz w:val="20"/>
          <w:szCs w:val="20"/>
        </w:rPr>
        <w:t xml:space="preserve">. Experiments using the employment of haptoglobin in therapy have shown it to modulate nitric oxide </w:t>
      </w:r>
      <w:proofErr w:type="spellStart"/>
      <w:r w:rsidRPr="001814CF">
        <w:rPr>
          <w:rFonts w:ascii="Garamond" w:hAnsi="Garamond"/>
          <w:bCs/>
          <w:iCs/>
          <w:sz w:val="20"/>
          <w:szCs w:val="20"/>
        </w:rPr>
        <w:t>signalling</w:t>
      </w:r>
      <w:proofErr w:type="spellEnd"/>
      <w:r w:rsidRPr="001814CF">
        <w:rPr>
          <w:rFonts w:ascii="Garamond" w:hAnsi="Garamond"/>
          <w:bCs/>
          <w:iCs/>
          <w:sz w:val="20"/>
          <w:szCs w:val="20"/>
        </w:rPr>
        <w:t xml:space="preserve"> effectively, reduce oxidative stress, and enhance erectile function in mouse models of sickle cell disease (SCD), potentially excluding priapism</w:t>
      </w:r>
      <w:r w:rsidRPr="001814CF">
        <w:rPr>
          <w:rFonts w:ascii="Garamond" w:hAnsi="Garamond"/>
          <w:bCs/>
          <w:iCs/>
          <w:sz w:val="20"/>
          <w:szCs w:val="20"/>
          <w:vertAlign w:val="superscript"/>
        </w:rPr>
        <w:t>9</w:t>
      </w:r>
      <w:r w:rsidRPr="001814CF">
        <w:rPr>
          <w:rFonts w:ascii="Garamond" w:hAnsi="Garamond"/>
          <w:bCs/>
          <w:iCs/>
          <w:sz w:val="20"/>
          <w:szCs w:val="20"/>
        </w:rPr>
        <w:t>. Free heme, a byproduct of hemolysis, is an erythrocytic danger-associated molecular pattern (</w:t>
      </w:r>
      <w:proofErr w:type="spellStart"/>
      <w:r w:rsidRPr="001814CF">
        <w:rPr>
          <w:rFonts w:ascii="Garamond" w:hAnsi="Garamond"/>
          <w:bCs/>
          <w:iCs/>
          <w:sz w:val="20"/>
          <w:szCs w:val="20"/>
        </w:rPr>
        <w:t>eDAMP</w:t>
      </w:r>
      <w:proofErr w:type="spellEnd"/>
      <w:r w:rsidRPr="001814CF">
        <w:rPr>
          <w:rFonts w:ascii="Garamond" w:hAnsi="Garamond"/>
          <w:bCs/>
          <w:iCs/>
          <w:sz w:val="20"/>
          <w:szCs w:val="20"/>
        </w:rPr>
        <w:t xml:space="preserve">) and exacerbates </w:t>
      </w:r>
      <w:proofErr w:type="spellStart"/>
      <w:r w:rsidRPr="001814CF">
        <w:rPr>
          <w:rFonts w:ascii="Garamond" w:hAnsi="Garamond"/>
          <w:bCs/>
          <w:iCs/>
          <w:sz w:val="20"/>
          <w:szCs w:val="20"/>
        </w:rPr>
        <w:t>vaso</w:t>
      </w:r>
      <w:proofErr w:type="spellEnd"/>
      <w:r w:rsidRPr="001814CF">
        <w:rPr>
          <w:rFonts w:ascii="Garamond" w:hAnsi="Garamond"/>
          <w:bCs/>
          <w:iCs/>
          <w:sz w:val="20"/>
          <w:szCs w:val="20"/>
        </w:rPr>
        <w:t>-occlusive crises, acute lung injury, and other SCD-linked complications</w:t>
      </w:r>
      <w:r w:rsidR="00223458">
        <w:rPr>
          <w:rFonts w:ascii="Garamond" w:hAnsi="Garamond"/>
          <w:bCs/>
          <w:iCs/>
          <w:sz w:val="20"/>
          <w:szCs w:val="20"/>
        </w:rPr>
        <w:t>.</w:t>
      </w:r>
      <w:r w:rsidRPr="001814CF">
        <w:rPr>
          <w:rFonts w:ascii="Garamond" w:hAnsi="Garamond"/>
          <w:bCs/>
          <w:iCs/>
          <w:sz w:val="20"/>
          <w:szCs w:val="20"/>
          <w:vertAlign w:val="superscript"/>
        </w:rPr>
        <w:t>10</w:t>
      </w:r>
      <w:r w:rsidRPr="001814CF">
        <w:rPr>
          <w:rFonts w:ascii="Garamond" w:hAnsi="Garamond"/>
          <w:bCs/>
          <w:iCs/>
          <w:sz w:val="20"/>
          <w:szCs w:val="20"/>
        </w:rPr>
        <w:t xml:space="preserve"> Current therapeutic strategies are largely aimed at raising </w:t>
      </w:r>
      <w:r w:rsidRPr="001814CF">
        <w:rPr>
          <w:rFonts w:ascii="Garamond" w:hAnsi="Garamond"/>
          <w:bCs/>
          <w:iCs/>
          <w:sz w:val="20"/>
          <w:szCs w:val="20"/>
        </w:rPr>
        <w:t xml:space="preserve">levels of normal </w:t>
      </w:r>
      <w:proofErr w:type="spellStart"/>
      <w:r w:rsidRPr="001814CF">
        <w:rPr>
          <w:rFonts w:ascii="Garamond" w:hAnsi="Garamond"/>
          <w:bCs/>
          <w:iCs/>
          <w:sz w:val="20"/>
          <w:szCs w:val="20"/>
        </w:rPr>
        <w:t>haemoglobin</w:t>
      </w:r>
      <w:proofErr w:type="spellEnd"/>
      <w:r w:rsidRPr="001814CF">
        <w:rPr>
          <w:rFonts w:ascii="Garamond" w:hAnsi="Garamond"/>
          <w:bCs/>
          <w:iCs/>
          <w:sz w:val="20"/>
          <w:szCs w:val="20"/>
        </w:rPr>
        <w:t xml:space="preserve">, stimulating fetal </w:t>
      </w:r>
      <w:proofErr w:type="spellStart"/>
      <w:r w:rsidRPr="001814CF">
        <w:rPr>
          <w:rFonts w:ascii="Garamond" w:hAnsi="Garamond"/>
          <w:bCs/>
          <w:iCs/>
          <w:sz w:val="20"/>
          <w:szCs w:val="20"/>
        </w:rPr>
        <w:t>haemoglobin</w:t>
      </w:r>
      <w:proofErr w:type="spellEnd"/>
      <w:r w:rsidRPr="001814CF">
        <w:rPr>
          <w:rFonts w:ascii="Garamond" w:hAnsi="Garamond"/>
          <w:bCs/>
          <w:iCs/>
          <w:sz w:val="20"/>
          <w:szCs w:val="20"/>
        </w:rPr>
        <w:t>, and restoring nitric oxide signalling</w:t>
      </w:r>
      <w:r w:rsidRPr="001814CF">
        <w:rPr>
          <w:rFonts w:ascii="Garamond" w:hAnsi="Garamond"/>
          <w:bCs/>
          <w:iCs/>
          <w:sz w:val="20"/>
          <w:szCs w:val="20"/>
          <w:vertAlign w:val="superscript"/>
        </w:rPr>
        <w:t>11</w:t>
      </w:r>
      <w:r w:rsidRPr="001814CF">
        <w:rPr>
          <w:rFonts w:ascii="Garamond" w:hAnsi="Garamond"/>
          <w:bCs/>
          <w:iCs/>
          <w:sz w:val="20"/>
          <w:szCs w:val="20"/>
        </w:rPr>
        <w:t xml:space="preserve">. Current studies indicate that leveraging endogenous mechanisms of </w:t>
      </w:r>
      <w:proofErr w:type="spellStart"/>
      <w:r w:rsidRPr="001814CF">
        <w:rPr>
          <w:rFonts w:ascii="Garamond" w:hAnsi="Garamond"/>
          <w:bCs/>
          <w:iCs/>
          <w:sz w:val="20"/>
          <w:szCs w:val="20"/>
        </w:rPr>
        <w:t>haemolysis</w:t>
      </w:r>
      <w:proofErr w:type="spellEnd"/>
      <w:r w:rsidRPr="001814CF">
        <w:rPr>
          <w:rFonts w:ascii="Garamond" w:hAnsi="Garamond"/>
          <w:bCs/>
          <w:iCs/>
          <w:sz w:val="20"/>
          <w:szCs w:val="20"/>
        </w:rPr>
        <w:t xml:space="preserve"> product clearance, such as pathways for heme scavenging, may hold promise in the treatment of SCD</w:t>
      </w:r>
      <w:r w:rsidR="00223458">
        <w:rPr>
          <w:rFonts w:ascii="Garamond" w:hAnsi="Garamond"/>
          <w:bCs/>
          <w:iCs/>
          <w:sz w:val="20"/>
          <w:szCs w:val="20"/>
        </w:rPr>
        <w:t>.</w:t>
      </w:r>
      <w:r w:rsidRPr="001814CF">
        <w:rPr>
          <w:rFonts w:ascii="Garamond" w:hAnsi="Garamond"/>
          <w:bCs/>
          <w:iCs/>
          <w:sz w:val="20"/>
          <w:szCs w:val="20"/>
          <w:vertAlign w:val="superscript"/>
        </w:rPr>
        <w:t>11</w:t>
      </w:r>
    </w:p>
    <w:p w14:paraId="5A830382" w14:textId="5BC16AED" w:rsid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Creatinine is a nitrogenous non-protein metabolite resulting from the metabolism of creatine and creatine derivatives. Its production is in the liver, pancreas, and kidneys via transamination of amino acids arginine, glycine, and methionine</w:t>
      </w:r>
      <w:r w:rsidR="00223458">
        <w:rPr>
          <w:rFonts w:ascii="Garamond" w:hAnsi="Garamond"/>
          <w:bCs/>
          <w:iCs/>
          <w:sz w:val="20"/>
          <w:szCs w:val="20"/>
        </w:rPr>
        <w:t>.</w:t>
      </w:r>
      <w:r w:rsidRPr="001814CF">
        <w:rPr>
          <w:rFonts w:ascii="Garamond" w:hAnsi="Garamond"/>
          <w:bCs/>
          <w:iCs/>
          <w:sz w:val="20"/>
          <w:szCs w:val="20"/>
          <w:vertAlign w:val="superscript"/>
        </w:rPr>
        <w:t>12</w:t>
      </w:r>
      <w:r w:rsidRPr="001814CF">
        <w:rPr>
          <w:rFonts w:ascii="Garamond" w:hAnsi="Garamond"/>
          <w:bCs/>
          <w:iCs/>
          <w:sz w:val="20"/>
          <w:szCs w:val="20"/>
        </w:rPr>
        <w:t xml:space="preserve"> Increased serum creatinine can occur through increased production of creatinine or impaired tubular secretion of creatinine</w:t>
      </w:r>
      <w:r w:rsidR="00223458">
        <w:rPr>
          <w:rFonts w:ascii="Garamond" w:hAnsi="Garamond"/>
          <w:bCs/>
          <w:iCs/>
          <w:sz w:val="20"/>
          <w:szCs w:val="20"/>
        </w:rPr>
        <w:t>.</w:t>
      </w:r>
      <w:r w:rsidRPr="001814CF">
        <w:rPr>
          <w:rFonts w:ascii="Garamond" w:hAnsi="Garamond"/>
          <w:bCs/>
          <w:iCs/>
          <w:sz w:val="20"/>
          <w:szCs w:val="20"/>
          <w:vertAlign w:val="superscript"/>
        </w:rPr>
        <w:t>13</w:t>
      </w:r>
      <w:r w:rsidRPr="001814CF">
        <w:rPr>
          <w:rFonts w:ascii="Garamond" w:hAnsi="Garamond"/>
          <w:bCs/>
          <w:iCs/>
          <w:sz w:val="20"/>
          <w:szCs w:val="20"/>
        </w:rPr>
        <w:t xml:space="preserve"> The only major drawback of creatinine as a marker of glomerular and renal function is that serum creatinine level cannot accurately measure early glomerulopathy in sickle cell disease (SCD), owing to increased estimated glomerular filtration rate (eGFR), reduced muscle mass, and increased tubular secretion among SCD patients</w:t>
      </w:r>
      <w:r w:rsidR="00223458">
        <w:rPr>
          <w:rFonts w:ascii="Garamond" w:hAnsi="Garamond"/>
          <w:bCs/>
          <w:iCs/>
          <w:sz w:val="20"/>
          <w:szCs w:val="20"/>
        </w:rPr>
        <w:t>.</w:t>
      </w:r>
      <w:r w:rsidRPr="001814CF">
        <w:rPr>
          <w:rFonts w:ascii="Garamond" w:hAnsi="Garamond"/>
          <w:bCs/>
          <w:iCs/>
          <w:sz w:val="20"/>
          <w:szCs w:val="20"/>
          <w:vertAlign w:val="superscript"/>
        </w:rPr>
        <w:t>14</w:t>
      </w:r>
      <w:r w:rsidRPr="001814CF">
        <w:rPr>
          <w:rFonts w:ascii="Garamond" w:hAnsi="Garamond"/>
          <w:bCs/>
          <w:iCs/>
          <w:sz w:val="20"/>
          <w:szCs w:val="20"/>
        </w:rPr>
        <w:t xml:space="preserve"> Although creatinine is traditionally used as a marker, it inherently possesses limitations in accurately measuring renal damage in SCD patients</w:t>
      </w:r>
      <w:r w:rsidR="00223458">
        <w:rPr>
          <w:rFonts w:ascii="Garamond" w:hAnsi="Garamond"/>
          <w:bCs/>
          <w:iCs/>
          <w:sz w:val="20"/>
          <w:szCs w:val="20"/>
        </w:rPr>
        <w:t>.</w:t>
      </w:r>
      <w:r w:rsidRPr="001814CF">
        <w:rPr>
          <w:rFonts w:ascii="Garamond" w:hAnsi="Garamond"/>
          <w:bCs/>
          <w:iCs/>
          <w:sz w:val="20"/>
          <w:szCs w:val="20"/>
          <w:vertAlign w:val="superscript"/>
        </w:rPr>
        <w:t>15</w:t>
      </w:r>
      <w:r w:rsidRPr="001814CF">
        <w:rPr>
          <w:rFonts w:ascii="Garamond" w:hAnsi="Garamond"/>
          <w:bCs/>
          <w:iCs/>
          <w:sz w:val="20"/>
          <w:szCs w:val="20"/>
        </w:rPr>
        <w:t xml:space="preserve"> As new biomarkers like cystatin C, β2-microglobulin, NGAL, and KIM-1 have been found to be valuable for early detection of renal damage</w:t>
      </w:r>
      <w:r w:rsidRPr="001814CF">
        <w:rPr>
          <w:rFonts w:ascii="Garamond" w:hAnsi="Garamond"/>
          <w:bCs/>
          <w:iCs/>
          <w:sz w:val="20"/>
          <w:szCs w:val="20"/>
          <w:vertAlign w:val="superscript"/>
        </w:rPr>
        <w:t>16</w:t>
      </w:r>
      <w:r w:rsidRPr="001814CF">
        <w:rPr>
          <w:rFonts w:ascii="Garamond" w:hAnsi="Garamond"/>
          <w:bCs/>
          <w:iCs/>
          <w:sz w:val="20"/>
          <w:szCs w:val="20"/>
        </w:rPr>
        <w:t>, they could potentially be employed to supplement monitoring with serum creatinine or enhance the diagnostic accuracy of AKI. The sources, physiological functions, kinetics, and sensitivity of these biomarkers after renal damage vary considerably</w:t>
      </w:r>
      <w:r w:rsidR="00223458">
        <w:rPr>
          <w:rFonts w:ascii="Garamond" w:hAnsi="Garamond"/>
          <w:bCs/>
          <w:iCs/>
          <w:sz w:val="20"/>
          <w:szCs w:val="20"/>
        </w:rPr>
        <w:t>.</w:t>
      </w:r>
      <w:r w:rsidRPr="001814CF">
        <w:rPr>
          <w:rFonts w:ascii="Garamond" w:hAnsi="Garamond"/>
          <w:bCs/>
          <w:iCs/>
          <w:sz w:val="20"/>
          <w:szCs w:val="20"/>
          <w:vertAlign w:val="superscript"/>
        </w:rPr>
        <w:t>17</w:t>
      </w:r>
    </w:p>
    <w:p w14:paraId="532B11DE" w14:textId="40B6EE06"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Neutrophil Gelatinase-Associated Lipocalin (NGAL) is a 25 </w:t>
      </w:r>
      <w:proofErr w:type="spellStart"/>
      <w:r w:rsidRPr="001814CF">
        <w:rPr>
          <w:rFonts w:ascii="Garamond" w:hAnsi="Garamond"/>
          <w:bCs/>
          <w:iCs/>
          <w:sz w:val="20"/>
          <w:szCs w:val="20"/>
        </w:rPr>
        <w:t>kDa</w:t>
      </w:r>
      <w:proofErr w:type="spellEnd"/>
      <w:r w:rsidRPr="001814CF">
        <w:rPr>
          <w:rFonts w:ascii="Garamond" w:hAnsi="Garamond"/>
          <w:bCs/>
          <w:iCs/>
          <w:sz w:val="20"/>
          <w:szCs w:val="20"/>
        </w:rPr>
        <w:t xml:space="preserve"> neutrophil gelatinase-associated glycoprotein. It is constitutively produced in tissues like the lungs, stomach, colon, and the proximal tubular epithelial lining. NGAL is induced early in injury as a response to nephrotoxicity or </w:t>
      </w:r>
      <w:proofErr w:type="spellStart"/>
      <w:r w:rsidRPr="001814CF">
        <w:rPr>
          <w:rFonts w:ascii="Garamond" w:hAnsi="Garamond"/>
          <w:bCs/>
          <w:iCs/>
          <w:sz w:val="20"/>
          <w:szCs w:val="20"/>
        </w:rPr>
        <w:t>ischaemic</w:t>
      </w:r>
      <w:proofErr w:type="spellEnd"/>
      <w:r w:rsidRPr="001814CF">
        <w:rPr>
          <w:rFonts w:ascii="Garamond" w:hAnsi="Garamond"/>
          <w:bCs/>
          <w:iCs/>
          <w:sz w:val="20"/>
          <w:szCs w:val="20"/>
        </w:rPr>
        <w:t xml:space="preserve"> kidney injury and also works as a prognostic marker for AKI</w:t>
      </w:r>
      <w:r w:rsidR="00223458">
        <w:rPr>
          <w:rFonts w:ascii="Garamond" w:hAnsi="Garamond"/>
          <w:bCs/>
          <w:iCs/>
          <w:sz w:val="20"/>
          <w:szCs w:val="20"/>
        </w:rPr>
        <w:t>.</w:t>
      </w:r>
      <w:r w:rsidRPr="001814CF">
        <w:rPr>
          <w:rFonts w:ascii="Garamond" w:hAnsi="Garamond"/>
          <w:bCs/>
          <w:iCs/>
          <w:sz w:val="20"/>
          <w:szCs w:val="20"/>
          <w:vertAlign w:val="superscript"/>
        </w:rPr>
        <w:t>18</w:t>
      </w:r>
      <w:r w:rsidRPr="001814CF">
        <w:rPr>
          <w:rFonts w:ascii="Garamond" w:hAnsi="Garamond"/>
          <w:bCs/>
          <w:iCs/>
          <w:sz w:val="20"/>
          <w:szCs w:val="20"/>
        </w:rPr>
        <w:t xml:space="preserve"> The nephrotoxic or </w:t>
      </w:r>
      <w:proofErr w:type="spellStart"/>
      <w:r w:rsidRPr="001814CF">
        <w:rPr>
          <w:rFonts w:ascii="Garamond" w:hAnsi="Garamond"/>
          <w:bCs/>
          <w:iCs/>
          <w:sz w:val="20"/>
          <w:szCs w:val="20"/>
        </w:rPr>
        <w:t>ischaemic</w:t>
      </w:r>
      <w:proofErr w:type="spellEnd"/>
      <w:r w:rsidRPr="001814CF">
        <w:rPr>
          <w:rFonts w:ascii="Garamond" w:hAnsi="Garamond"/>
          <w:bCs/>
          <w:iCs/>
          <w:sz w:val="20"/>
          <w:szCs w:val="20"/>
        </w:rPr>
        <w:t xml:space="preserve"> kidney insults induce the up-regulation of NGAL transcription and protein expression, which can be measured by increased levels of urinary and plasma NGAL</w:t>
      </w:r>
      <w:r w:rsidR="00223458">
        <w:rPr>
          <w:rFonts w:ascii="Garamond" w:hAnsi="Garamond"/>
          <w:bCs/>
          <w:iCs/>
          <w:sz w:val="20"/>
          <w:szCs w:val="20"/>
        </w:rPr>
        <w:t>.</w:t>
      </w:r>
      <w:r w:rsidRPr="001814CF">
        <w:rPr>
          <w:rFonts w:ascii="Garamond" w:hAnsi="Garamond"/>
          <w:bCs/>
          <w:iCs/>
          <w:sz w:val="20"/>
          <w:szCs w:val="20"/>
          <w:vertAlign w:val="superscript"/>
        </w:rPr>
        <w:t>18</w:t>
      </w:r>
      <w:r w:rsidRPr="001814CF">
        <w:rPr>
          <w:rFonts w:ascii="Garamond" w:hAnsi="Garamond"/>
          <w:bCs/>
          <w:iCs/>
          <w:sz w:val="20"/>
          <w:szCs w:val="20"/>
        </w:rPr>
        <w:t xml:space="preserve"> The predominant production sites of NGAL in the kidney are the Henle's loop thick ascending limb and the collecting duct intercalated cells</w:t>
      </w:r>
      <w:r w:rsidR="00223458">
        <w:rPr>
          <w:rFonts w:ascii="Garamond" w:hAnsi="Garamond"/>
          <w:bCs/>
          <w:iCs/>
          <w:sz w:val="20"/>
          <w:szCs w:val="20"/>
        </w:rPr>
        <w:t>.</w:t>
      </w:r>
      <w:r w:rsidRPr="001814CF">
        <w:rPr>
          <w:rFonts w:ascii="Garamond" w:hAnsi="Garamond"/>
          <w:bCs/>
          <w:iCs/>
          <w:sz w:val="20"/>
          <w:szCs w:val="20"/>
          <w:vertAlign w:val="superscript"/>
        </w:rPr>
        <w:t>19</w:t>
      </w:r>
      <w:r w:rsidRPr="001814CF">
        <w:rPr>
          <w:rFonts w:ascii="Garamond" w:hAnsi="Garamond"/>
          <w:bCs/>
          <w:iCs/>
          <w:sz w:val="20"/>
          <w:szCs w:val="20"/>
        </w:rPr>
        <w:t xml:space="preserve"> The levels of NGAL can increase within three hours after injury, peak from six to twelve hours, and may last as long as five days, depending on the severity of injury.</w:t>
      </w:r>
    </w:p>
    <w:p w14:paraId="23FAA8C6" w14:textId="4C7BD59A" w:rsid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Kidney Injury Molecule-1 (KIM-1) is a transmembrane type 1 protein with mucin and immunoglobulin-like extracellular domains. Under constitutive expression in normal kidney, it is low but is up-regulated in the </w:t>
      </w:r>
      <w:r w:rsidRPr="001814CF">
        <w:rPr>
          <w:rFonts w:ascii="Garamond" w:hAnsi="Garamond"/>
          <w:bCs/>
          <w:iCs/>
          <w:sz w:val="20"/>
          <w:szCs w:val="20"/>
        </w:rPr>
        <w:lastRenderedPageBreak/>
        <w:t>proximal tubule after post-ischemic injury. KIM-1 is increased in expression following ischemic damage to the proximal tubular cells, and its extracellular domain is secreted to urine</w:t>
      </w:r>
      <w:r w:rsidR="00223458">
        <w:rPr>
          <w:rFonts w:ascii="Garamond" w:hAnsi="Garamond"/>
          <w:bCs/>
          <w:iCs/>
          <w:sz w:val="20"/>
          <w:szCs w:val="20"/>
        </w:rPr>
        <w:t>.</w:t>
      </w:r>
      <w:r w:rsidRPr="001814CF">
        <w:rPr>
          <w:rFonts w:ascii="Garamond" w:hAnsi="Garamond"/>
          <w:bCs/>
          <w:iCs/>
          <w:sz w:val="20"/>
          <w:szCs w:val="20"/>
          <w:vertAlign w:val="superscript"/>
        </w:rPr>
        <w:t>20</w:t>
      </w:r>
    </w:p>
    <w:p w14:paraId="6CDD8B02" w14:textId="7CF900EE" w:rsid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Interleukin 18 (IL-18), a cytokine of 22 </w:t>
      </w:r>
      <w:proofErr w:type="spellStart"/>
      <w:r w:rsidRPr="001814CF">
        <w:rPr>
          <w:rFonts w:ascii="Garamond" w:hAnsi="Garamond"/>
          <w:bCs/>
          <w:iCs/>
          <w:sz w:val="20"/>
          <w:szCs w:val="20"/>
        </w:rPr>
        <w:t>kDa</w:t>
      </w:r>
      <w:proofErr w:type="spellEnd"/>
      <w:r w:rsidRPr="001814CF">
        <w:rPr>
          <w:rFonts w:ascii="Garamond" w:hAnsi="Garamond"/>
          <w:bCs/>
          <w:iCs/>
          <w:sz w:val="20"/>
          <w:szCs w:val="20"/>
        </w:rPr>
        <w:t xml:space="preserve"> molecular weight with pro-inflammatory activity. It is detectable in distal collecting tubule cells following ischemic events. IL-18 has been </w:t>
      </w:r>
      <w:proofErr w:type="spellStart"/>
      <w:r w:rsidRPr="001814CF">
        <w:rPr>
          <w:rFonts w:ascii="Garamond" w:hAnsi="Garamond"/>
          <w:bCs/>
          <w:iCs/>
          <w:sz w:val="20"/>
          <w:szCs w:val="20"/>
        </w:rPr>
        <w:t>recognised</w:t>
      </w:r>
      <w:proofErr w:type="spellEnd"/>
      <w:r w:rsidRPr="001814CF">
        <w:rPr>
          <w:rFonts w:ascii="Garamond" w:hAnsi="Garamond"/>
          <w:bCs/>
          <w:iCs/>
          <w:sz w:val="20"/>
          <w:szCs w:val="20"/>
        </w:rPr>
        <w:t xml:space="preserve"> as an early and sensitive AKI biomarker, with its levels increasing dramatically before any increase in creatinine</w:t>
      </w:r>
      <w:r w:rsidR="00223458">
        <w:rPr>
          <w:rFonts w:ascii="Garamond" w:hAnsi="Garamond"/>
          <w:bCs/>
          <w:iCs/>
          <w:sz w:val="20"/>
          <w:szCs w:val="20"/>
        </w:rPr>
        <w:t>.</w:t>
      </w:r>
      <w:r w:rsidRPr="001814CF">
        <w:rPr>
          <w:rFonts w:ascii="Garamond" w:hAnsi="Garamond"/>
          <w:bCs/>
          <w:iCs/>
          <w:sz w:val="20"/>
          <w:szCs w:val="20"/>
          <w:vertAlign w:val="superscript"/>
        </w:rPr>
        <w:t>21</w:t>
      </w:r>
    </w:p>
    <w:p w14:paraId="6C733237" w14:textId="5B833C9E"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New markers like kidney injury molecule-1 (KIM-1) and neutrophil gelatinase-associated lipocalin (NGAL) have been evaluated as potential markers to evaluate kidney function in SCD</w:t>
      </w:r>
      <w:r w:rsidR="00223458">
        <w:rPr>
          <w:rFonts w:ascii="Garamond" w:hAnsi="Garamond"/>
          <w:bCs/>
          <w:iCs/>
          <w:sz w:val="20"/>
          <w:szCs w:val="20"/>
        </w:rPr>
        <w:t>.</w:t>
      </w:r>
      <w:r w:rsidRPr="001814CF">
        <w:rPr>
          <w:rFonts w:ascii="Garamond" w:hAnsi="Garamond"/>
          <w:bCs/>
          <w:iCs/>
          <w:sz w:val="20"/>
          <w:szCs w:val="20"/>
          <w:vertAlign w:val="superscript"/>
        </w:rPr>
        <w:t>22,23</w:t>
      </w:r>
      <w:r w:rsidRPr="001814CF">
        <w:rPr>
          <w:rFonts w:ascii="Garamond" w:hAnsi="Garamond"/>
          <w:bCs/>
          <w:iCs/>
          <w:sz w:val="20"/>
          <w:szCs w:val="20"/>
        </w:rPr>
        <w:t xml:space="preserve"> Increased levels of cystatin C and KIM-1 have been documented in patients with SCD compared to controls and are potential markers for the detection of kidney injury</w:t>
      </w:r>
      <w:r w:rsidR="00223458">
        <w:rPr>
          <w:rFonts w:ascii="Garamond" w:hAnsi="Garamond"/>
          <w:bCs/>
          <w:iCs/>
          <w:sz w:val="20"/>
          <w:szCs w:val="20"/>
        </w:rPr>
        <w:t>.</w:t>
      </w:r>
      <w:r w:rsidRPr="001814CF">
        <w:rPr>
          <w:rFonts w:ascii="Garamond" w:hAnsi="Garamond"/>
          <w:bCs/>
          <w:iCs/>
          <w:sz w:val="20"/>
          <w:szCs w:val="20"/>
          <w:vertAlign w:val="superscript"/>
        </w:rPr>
        <w:t>16</w:t>
      </w:r>
      <w:r w:rsidRPr="001814CF">
        <w:rPr>
          <w:rFonts w:ascii="Garamond" w:hAnsi="Garamond"/>
          <w:bCs/>
          <w:iCs/>
          <w:sz w:val="20"/>
          <w:szCs w:val="20"/>
        </w:rPr>
        <w:t xml:space="preserve"> However, results for NGAL and KIM-1 have been inconsistent across studies</w:t>
      </w:r>
      <w:r w:rsidR="00223458">
        <w:rPr>
          <w:rFonts w:ascii="Garamond" w:hAnsi="Garamond"/>
          <w:bCs/>
          <w:iCs/>
          <w:sz w:val="20"/>
          <w:szCs w:val="20"/>
        </w:rPr>
        <w:t>.</w:t>
      </w:r>
      <w:r w:rsidRPr="001814CF">
        <w:rPr>
          <w:rFonts w:ascii="Garamond" w:hAnsi="Garamond"/>
          <w:bCs/>
          <w:iCs/>
          <w:sz w:val="20"/>
          <w:szCs w:val="20"/>
          <w:vertAlign w:val="superscript"/>
        </w:rPr>
        <w:t>23</w:t>
      </w:r>
      <w:r w:rsidRPr="001814CF">
        <w:rPr>
          <w:rFonts w:ascii="Garamond" w:hAnsi="Garamond"/>
          <w:bCs/>
          <w:iCs/>
          <w:sz w:val="20"/>
          <w:szCs w:val="20"/>
        </w:rPr>
        <w:t xml:space="preserve"> Further research is needed to establish the most effective biomarkers for the early detection of kidney complications in SCD patients.</w:t>
      </w:r>
    </w:p>
    <w:p w14:paraId="1A5A59E0" w14:textId="77777777"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This study assessed serum haptoglobin, creatinine, markers of AKI (NGAL, KIM-1 &amp; Interleukin-18) and </w:t>
      </w:r>
      <w:proofErr w:type="spellStart"/>
      <w:r w:rsidRPr="001814CF">
        <w:rPr>
          <w:rFonts w:ascii="Garamond" w:hAnsi="Garamond"/>
          <w:bCs/>
          <w:iCs/>
          <w:sz w:val="20"/>
          <w:szCs w:val="20"/>
        </w:rPr>
        <w:t>haematological</w:t>
      </w:r>
      <w:proofErr w:type="spellEnd"/>
      <w:r w:rsidRPr="001814CF">
        <w:rPr>
          <w:rFonts w:ascii="Garamond" w:hAnsi="Garamond"/>
          <w:bCs/>
          <w:iCs/>
          <w:sz w:val="20"/>
          <w:szCs w:val="20"/>
        </w:rPr>
        <w:t xml:space="preserve"> parameters in homozygous and heterozygous sickle cell disease subjects in Ekiti State, Nigeria.</w:t>
      </w:r>
    </w:p>
    <w:p w14:paraId="0197193A" w14:textId="77777777" w:rsidR="001814CF" w:rsidRPr="001814CF" w:rsidRDefault="001814CF" w:rsidP="001814CF">
      <w:pPr>
        <w:spacing w:line="259" w:lineRule="auto"/>
        <w:jc w:val="both"/>
        <w:rPr>
          <w:rFonts w:ascii="Garamond" w:hAnsi="Garamond"/>
          <w:b/>
          <w:bCs/>
          <w:iCs/>
          <w:sz w:val="20"/>
          <w:szCs w:val="20"/>
        </w:rPr>
      </w:pPr>
    </w:p>
    <w:p w14:paraId="1CAF6984" w14:textId="77777777" w:rsidR="001814CF" w:rsidRPr="001814CF" w:rsidRDefault="001814CF" w:rsidP="001814CF">
      <w:pPr>
        <w:spacing w:line="259" w:lineRule="auto"/>
        <w:jc w:val="both"/>
        <w:rPr>
          <w:rFonts w:ascii="Garamond" w:hAnsi="Garamond"/>
          <w:b/>
          <w:bCs/>
          <w:iCs/>
          <w:sz w:val="20"/>
          <w:szCs w:val="20"/>
        </w:rPr>
      </w:pPr>
      <w:r w:rsidRPr="001814CF">
        <w:rPr>
          <w:rFonts w:ascii="Garamond" w:hAnsi="Garamond"/>
          <w:b/>
          <w:bCs/>
          <w:iCs/>
          <w:sz w:val="20"/>
          <w:szCs w:val="20"/>
        </w:rPr>
        <w:t>METHODOLOGY</w:t>
      </w:r>
    </w:p>
    <w:p w14:paraId="24EEDEB2" w14:textId="6B43E511" w:rsidR="001814CF" w:rsidRPr="001814CF" w:rsidRDefault="001814CF" w:rsidP="001814CF">
      <w:pPr>
        <w:spacing w:line="259" w:lineRule="auto"/>
        <w:jc w:val="both"/>
        <w:rPr>
          <w:rFonts w:ascii="Garamond" w:hAnsi="Garamond"/>
          <w:bCs/>
          <w:iCs/>
          <w:sz w:val="20"/>
          <w:szCs w:val="20"/>
        </w:rPr>
      </w:pPr>
      <w:r w:rsidRPr="00223458">
        <w:rPr>
          <w:rFonts w:ascii="Garamond" w:hAnsi="Garamond"/>
          <w:b/>
          <w:bCs/>
          <w:i/>
          <w:sz w:val="20"/>
          <w:szCs w:val="20"/>
        </w:rPr>
        <w:t>Study Design</w:t>
      </w:r>
      <w:r w:rsidR="00223458">
        <w:rPr>
          <w:rFonts w:ascii="Garamond" w:hAnsi="Garamond"/>
          <w:b/>
          <w:bCs/>
          <w:iCs/>
          <w:sz w:val="20"/>
          <w:szCs w:val="20"/>
        </w:rPr>
        <w:t xml:space="preserve">: </w:t>
      </w:r>
      <w:r w:rsidRPr="001814CF">
        <w:rPr>
          <w:rFonts w:ascii="Garamond" w:hAnsi="Garamond"/>
          <w:bCs/>
          <w:iCs/>
          <w:sz w:val="20"/>
          <w:szCs w:val="20"/>
        </w:rPr>
        <w:t xml:space="preserve">This was a comparative cross-sectional and case-control study among heterozygous and homozygous sickle cell disease subjects in Ekiti State. It was carried out in the departments of </w:t>
      </w:r>
      <w:proofErr w:type="spellStart"/>
      <w:r w:rsidRPr="001814CF">
        <w:rPr>
          <w:rFonts w:ascii="Garamond" w:hAnsi="Garamond"/>
          <w:bCs/>
          <w:iCs/>
          <w:sz w:val="20"/>
          <w:szCs w:val="20"/>
        </w:rPr>
        <w:t>Haematology</w:t>
      </w:r>
      <w:proofErr w:type="spellEnd"/>
      <w:r w:rsidRPr="001814CF">
        <w:rPr>
          <w:rFonts w:ascii="Garamond" w:hAnsi="Garamond"/>
          <w:bCs/>
          <w:iCs/>
          <w:sz w:val="20"/>
          <w:szCs w:val="20"/>
        </w:rPr>
        <w:t xml:space="preserve"> and Chemical Pathology of the Federal Teaching Hospital, Ido-Ekiti (FETHI), over a period of four months. FETHI is a tertiary hospital situated within the jurisdiction of Ido-Osi Local Government Area in Ekiti State, Nigeria. It is a tertiary healthcare facility established to provide sophisticated medical services, function as a referral institution, and facilitate clinical research and medical education. The diagnostic laboratories within the hospital are equipped with state-of-the-art facilities for comprehensive </w:t>
      </w:r>
      <w:proofErr w:type="spellStart"/>
      <w:r w:rsidRPr="001814CF">
        <w:rPr>
          <w:rFonts w:ascii="Garamond" w:hAnsi="Garamond"/>
          <w:bCs/>
          <w:iCs/>
          <w:sz w:val="20"/>
          <w:szCs w:val="20"/>
        </w:rPr>
        <w:t>haematological</w:t>
      </w:r>
      <w:proofErr w:type="spellEnd"/>
      <w:r w:rsidRPr="001814CF">
        <w:rPr>
          <w:rFonts w:ascii="Garamond" w:hAnsi="Garamond"/>
          <w:bCs/>
          <w:iCs/>
          <w:sz w:val="20"/>
          <w:szCs w:val="20"/>
        </w:rPr>
        <w:t xml:space="preserve"> and biochemical evaluations and biomarker assessments. Given its capacity and access to a substantial cohort of patients suffering from sickle cell disease (SCD), FETHI represents an exemplary environment for conducting research aimed at evaluating haptoglobin levels, creatinine, and novel markers of acute kidney injury (AKI) in individuals diagnosed with sickle cell disease.</w:t>
      </w:r>
    </w:p>
    <w:p w14:paraId="51C2533F" w14:textId="743E087A" w:rsidR="001814CF" w:rsidRPr="001814CF" w:rsidRDefault="001814CF" w:rsidP="001814CF">
      <w:pPr>
        <w:spacing w:line="259" w:lineRule="auto"/>
        <w:jc w:val="both"/>
        <w:rPr>
          <w:rFonts w:ascii="Garamond" w:hAnsi="Garamond"/>
          <w:bCs/>
          <w:iCs/>
          <w:sz w:val="20"/>
          <w:szCs w:val="20"/>
        </w:rPr>
      </w:pPr>
      <w:r w:rsidRPr="00223458">
        <w:rPr>
          <w:rFonts w:ascii="Garamond" w:hAnsi="Garamond"/>
          <w:b/>
          <w:bCs/>
          <w:i/>
          <w:sz w:val="20"/>
          <w:szCs w:val="20"/>
        </w:rPr>
        <w:t>Sample Size</w:t>
      </w:r>
      <w:r w:rsidR="00223458" w:rsidRPr="00223458">
        <w:rPr>
          <w:rFonts w:ascii="Garamond" w:hAnsi="Garamond"/>
          <w:b/>
          <w:bCs/>
          <w:i/>
          <w:sz w:val="20"/>
          <w:szCs w:val="20"/>
        </w:rPr>
        <w:t>:</w:t>
      </w:r>
      <w:r w:rsidR="00223458">
        <w:rPr>
          <w:rFonts w:ascii="Garamond" w:hAnsi="Garamond"/>
          <w:b/>
          <w:bCs/>
          <w:iCs/>
          <w:sz w:val="20"/>
          <w:szCs w:val="20"/>
        </w:rPr>
        <w:t xml:space="preserve"> </w:t>
      </w:r>
      <w:r w:rsidRPr="001814CF">
        <w:rPr>
          <w:rFonts w:ascii="Garamond" w:hAnsi="Garamond"/>
          <w:bCs/>
          <w:iCs/>
          <w:sz w:val="20"/>
          <w:szCs w:val="20"/>
        </w:rPr>
        <w:t xml:space="preserve">The sample size was calculated using Fisher’s formula for a cross-sectional study. </w:t>
      </w:r>
    </w:p>
    <w:p w14:paraId="270074E0" w14:textId="77777777"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N = </w:t>
      </w:r>
      <w:r w:rsidRPr="001814CF">
        <w:rPr>
          <w:rFonts w:ascii="Garamond" w:hAnsi="Garamond"/>
          <w:bCs/>
          <w:iCs/>
          <w:sz w:val="20"/>
          <w:szCs w:val="20"/>
          <w:u w:val="single"/>
        </w:rPr>
        <w:t>Z</w:t>
      </w:r>
      <w:r w:rsidRPr="001814CF">
        <w:rPr>
          <w:rFonts w:ascii="Garamond" w:hAnsi="Garamond"/>
          <w:bCs/>
          <w:iCs/>
          <w:sz w:val="20"/>
          <w:szCs w:val="20"/>
          <w:u w:val="single"/>
          <w:vertAlign w:val="superscript"/>
        </w:rPr>
        <w:t>2</w:t>
      </w:r>
      <w:r w:rsidRPr="001814CF">
        <w:rPr>
          <w:rFonts w:ascii="Garamond" w:hAnsi="Garamond"/>
          <w:bCs/>
          <w:iCs/>
          <w:sz w:val="20"/>
          <w:szCs w:val="20"/>
          <w:u w:val="single"/>
        </w:rPr>
        <w:t>P(1-P)</w:t>
      </w:r>
      <w:r w:rsidRPr="001814CF">
        <w:rPr>
          <w:rFonts w:ascii="Garamond" w:hAnsi="Garamond"/>
          <w:bCs/>
          <w:iCs/>
          <w:sz w:val="20"/>
          <w:szCs w:val="20"/>
        </w:rPr>
        <w:t xml:space="preserve">, </w:t>
      </w:r>
    </w:p>
    <w:p w14:paraId="579078CF" w14:textId="77777777"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             d</w:t>
      </w:r>
      <w:r w:rsidRPr="001814CF">
        <w:rPr>
          <w:rFonts w:ascii="Garamond" w:hAnsi="Garamond"/>
          <w:bCs/>
          <w:iCs/>
          <w:sz w:val="20"/>
          <w:szCs w:val="20"/>
          <w:vertAlign w:val="superscript"/>
        </w:rPr>
        <w:t>2</w:t>
      </w:r>
    </w:p>
    <w:p w14:paraId="5C778952" w14:textId="77777777"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where N = Minimum sample size, </w:t>
      </w:r>
    </w:p>
    <w:p w14:paraId="70DBECBF" w14:textId="77777777"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Z = Normal standard deviation at 95% confidence interval = 1.96, </w:t>
      </w:r>
    </w:p>
    <w:p w14:paraId="4016530C" w14:textId="77777777"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 xml:space="preserve">d = degree of precision = 5%, and </w:t>
      </w:r>
    </w:p>
    <w:p w14:paraId="337CD059" w14:textId="77777777" w:rsidR="001814CF" w:rsidRPr="001814CF" w:rsidRDefault="001814CF" w:rsidP="001814CF">
      <w:pPr>
        <w:spacing w:line="259" w:lineRule="auto"/>
        <w:jc w:val="both"/>
        <w:rPr>
          <w:rFonts w:ascii="Garamond" w:hAnsi="Garamond"/>
          <w:bCs/>
          <w:iCs/>
          <w:sz w:val="20"/>
          <w:szCs w:val="20"/>
        </w:rPr>
      </w:pPr>
      <w:r w:rsidRPr="001814CF">
        <w:rPr>
          <w:rFonts w:ascii="Garamond" w:hAnsi="Garamond"/>
          <w:bCs/>
          <w:iCs/>
          <w:sz w:val="20"/>
          <w:szCs w:val="20"/>
        </w:rPr>
        <w:t>P = proportion of the SCD patient, which was 3.0% from a previous study</w:t>
      </w:r>
      <w:r w:rsidRPr="001814CF">
        <w:rPr>
          <w:rFonts w:ascii="Garamond" w:hAnsi="Garamond"/>
          <w:bCs/>
          <w:iCs/>
          <w:sz w:val="20"/>
          <w:szCs w:val="20"/>
          <w:vertAlign w:val="superscript"/>
        </w:rPr>
        <w:t>24</w:t>
      </w:r>
      <w:r w:rsidRPr="001814CF">
        <w:rPr>
          <w:rFonts w:ascii="Garamond" w:hAnsi="Garamond"/>
          <w:bCs/>
          <w:iCs/>
          <w:sz w:val="20"/>
          <w:szCs w:val="20"/>
        </w:rPr>
        <w:t xml:space="preserve">. </w:t>
      </w:r>
    </w:p>
    <w:p w14:paraId="74B39A87" w14:textId="0AD8139B" w:rsidR="001814CF" w:rsidRPr="00223458" w:rsidRDefault="001814CF" w:rsidP="001814CF">
      <w:pPr>
        <w:spacing w:line="259" w:lineRule="auto"/>
        <w:jc w:val="both"/>
        <w:rPr>
          <w:rFonts w:ascii="Garamond" w:hAnsi="Garamond"/>
          <w:bCs/>
          <w:iCs/>
          <w:sz w:val="20"/>
          <w:szCs w:val="20"/>
        </w:rPr>
      </w:pPr>
      <w:r w:rsidRPr="001814CF">
        <w:rPr>
          <w:rFonts w:ascii="Garamond" w:hAnsi="Garamond"/>
          <w:bCs/>
          <w:iCs/>
          <w:sz w:val="20"/>
          <w:szCs w:val="20"/>
        </w:rPr>
        <w:t>This formula gave a minimum sample size of 50 after including a 10% attrition rate.</w:t>
      </w:r>
    </w:p>
    <w:p w14:paraId="22690EA1" w14:textId="5EE169DE" w:rsidR="001814CF" w:rsidRPr="00223458" w:rsidRDefault="001814CF" w:rsidP="001814CF">
      <w:pPr>
        <w:spacing w:line="259" w:lineRule="auto"/>
        <w:jc w:val="both"/>
        <w:rPr>
          <w:rFonts w:ascii="Garamond" w:hAnsi="Garamond"/>
          <w:bCs/>
          <w:iCs/>
          <w:sz w:val="20"/>
          <w:szCs w:val="20"/>
        </w:rPr>
      </w:pPr>
      <w:r w:rsidRPr="00223458">
        <w:rPr>
          <w:rFonts w:ascii="Garamond" w:hAnsi="Garamond"/>
          <w:b/>
          <w:bCs/>
          <w:i/>
          <w:sz w:val="20"/>
          <w:szCs w:val="20"/>
        </w:rPr>
        <w:t>Study Participants</w:t>
      </w:r>
      <w:r w:rsidR="00223458" w:rsidRPr="00223458">
        <w:rPr>
          <w:rFonts w:ascii="Garamond" w:hAnsi="Garamond"/>
          <w:b/>
          <w:bCs/>
          <w:i/>
          <w:sz w:val="20"/>
          <w:szCs w:val="20"/>
        </w:rPr>
        <w:t>:</w:t>
      </w:r>
      <w:r w:rsidR="00223458">
        <w:rPr>
          <w:rFonts w:ascii="Garamond" w:hAnsi="Garamond"/>
          <w:b/>
          <w:bCs/>
          <w:iCs/>
          <w:sz w:val="20"/>
          <w:szCs w:val="20"/>
        </w:rPr>
        <w:t xml:space="preserve"> </w:t>
      </w:r>
      <w:bookmarkStart w:id="8" w:name="_Hlk199782623"/>
      <w:r w:rsidRPr="001814CF">
        <w:rPr>
          <w:rFonts w:ascii="Garamond" w:hAnsi="Garamond"/>
          <w:bCs/>
          <w:iCs/>
          <w:sz w:val="20"/>
          <w:szCs w:val="20"/>
        </w:rPr>
        <w:t>A total of sixty-six (66) subjects, comprising thirty-seven (37) sickle cell disease and twenty-nine (29) control subjects, made up of a mix of other genotypes, were recruited for this study.</w:t>
      </w:r>
      <w:bookmarkEnd w:id="8"/>
      <w:r w:rsidRPr="001814CF">
        <w:rPr>
          <w:rFonts w:ascii="Garamond" w:hAnsi="Garamond"/>
          <w:bCs/>
          <w:iCs/>
          <w:sz w:val="20"/>
          <w:szCs w:val="20"/>
        </w:rPr>
        <w:t xml:space="preserve"> However, the test group comprised twenty-eight (28) homozygous SCD subjects and nine (9) heterozygous SCD subjects. The homozygous SCD subjects comprised two groups of twelve (12) subjects who were in </w:t>
      </w:r>
      <w:proofErr w:type="spellStart"/>
      <w:r w:rsidRPr="001814CF">
        <w:rPr>
          <w:rFonts w:ascii="Garamond" w:hAnsi="Garamond"/>
          <w:bCs/>
          <w:iCs/>
          <w:sz w:val="20"/>
          <w:szCs w:val="20"/>
        </w:rPr>
        <w:t>vaso</w:t>
      </w:r>
      <w:proofErr w:type="spellEnd"/>
      <w:r w:rsidRPr="001814CF">
        <w:rPr>
          <w:rFonts w:ascii="Garamond" w:hAnsi="Garamond"/>
          <w:bCs/>
          <w:iCs/>
          <w:sz w:val="20"/>
          <w:szCs w:val="20"/>
        </w:rPr>
        <w:t>-occlusive crisis and sixteen (16) who were at steady state. The heterozygous SCD subjects comprised two groups of five (5) subjects who were in crisis and four (4) who were at steady state.</w:t>
      </w:r>
    </w:p>
    <w:p w14:paraId="62594DAD" w14:textId="41EAD3BB" w:rsidR="001814CF" w:rsidRPr="00223458" w:rsidRDefault="001814CF" w:rsidP="001814CF">
      <w:pPr>
        <w:spacing w:line="259" w:lineRule="auto"/>
        <w:jc w:val="both"/>
        <w:rPr>
          <w:rFonts w:ascii="Garamond" w:hAnsi="Garamond"/>
          <w:bCs/>
          <w:iCs/>
          <w:sz w:val="20"/>
          <w:szCs w:val="20"/>
        </w:rPr>
      </w:pPr>
      <w:r w:rsidRPr="00223458">
        <w:rPr>
          <w:rFonts w:ascii="Garamond" w:hAnsi="Garamond"/>
          <w:b/>
          <w:bCs/>
          <w:i/>
          <w:sz w:val="20"/>
          <w:szCs w:val="20"/>
        </w:rPr>
        <w:t>Data Collection</w:t>
      </w:r>
      <w:r w:rsidR="00223458" w:rsidRPr="00223458">
        <w:rPr>
          <w:rFonts w:ascii="Garamond" w:hAnsi="Garamond"/>
          <w:b/>
          <w:bCs/>
          <w:i/>
          <w:sz w:val="20"/>
          <w:szCs w:val="20"/>
        </w:rPr>
        <w:t>:</w:t>
      </w:r>
      <w:r w:rsidR="00223458">
        <w:rPr>
          <w:rFonts w:ascii="Garamond" w:hAnsi="Garamond"/>
          <w:b/>
          <w:bCs/>
          <w:iCs/>
          <w:sz w:val="20"/>
          <w:szCs w:val="20"/>
        </w:rPr>
        <w:t xml:space="preserve"> </w:t>
      </w:r>
      <w:r w:rsidRPr="001814CF">
        <w:rPr>
          <w:rFonts w:ascii="Garamond" w:hAnsi="Garamond"/>
          <w:bCs/>
          <w:iCs/>
          <w:sz w:val="20"/>
          <w:szCs w:val="20"/>
        </w:rPr>
        <w:t xml:space="preserve">A self-administered questionnaire was used to obtain information on demography and medical history. Five (5) mL of venous blood was collected from the antecubital fossa of each subject, and 2.5 mL of blood was dispensed into serum separator bottles. The samples were allowed to clot, and then spun at 5,000 rpm for 5 minutes. The serum was separated and then kept frozen at -20°C until analysis.  2.5 </w:t>
      </w:r>
      <w:proofErr w:type="spellStart"/>
      <w:r w:rsidRPr="001814CF">
        <w:rPr>
          <w:rFonts w:ascii="Garamond" w:hAnsi="Garamond"/>
          <w:bCs/>
          <w:iCs/>
          <w:sz w:val="20"/>
          <w:szCs w:val="20"/>
        </w:rPr>
        <w:t>millilitres</w:t>
      </w:r>
      <w:proofErr w:type="spellEnd"/>
      <w:r w:rsidRPr="001814CF">
        <w:rPr>
          <w:rFonts w:ascii="Garamond" w:hAnsi="Garamond"/>
          <w:bCs/>
          <w:iCs/>
          <w:sz w:val="20"/>
          <w:szCs w:val="20"/>
        </w:rPr>
        <w:t xml:space="preserve"> of blood were dispensed into EDTA anticoagulant bottles. It was mixed gently by inversion and then immediately taken to the laboratory for a full blood count. Human haptoglobin (HP), Kidney Injury Molecule -1 (KIM-1), Neutrophil Gelatinase-Associated Lipocalin (NGAL) and Interleukin-18 (IL-18) were assayed using the ELISA technique (</w:t>
      </w:r>
      <w:proofErr w:type="spellStart"/>
      <w:r w:rsidRPr="001814CF">
        <w:rPr>
          <w:rFonts w:ascii="Garamond" w:hAnsi="Garamond"/>
          <w:bCs/>
          <w:iCs/>
          <w:sz w:val="20"/>
          <w:szCs w:val="20"/>
        </w:rPr>
        <w:t>ElabScience</w:t>
      </w:r>
      <w:proofErr w:type="spellEnd"/>
      <w:r w:rsidRPr="001814CF">
        <w:rPr>
          <w:rFonts w:ascii="Garamond" w:hAnsi="Garamond"/>
          <w:bCs/>
          <w:iCs/>
          <w:sz w:val="20"/>
          <w:szCs w:val="20"/>
        </w:rPr>
        <w:t xml:space="preserve"> kit), and creatinine (Cr) was assayed using Jaffe’s alkaline picrate method (</w:t>
      </w:r>
      <w:proofErr w:type="spellStart"/>
      <w:r w:rsidRPr="001814CF">
        <w:rPr>
          <w:rFonts w:ascii="Garamond" w:hAnsi="Garamond"/>
          <w:bCs/>
          <w:iCs/>
          <w:sz w:val="20"/>
          <w:szCs w:val="20"/>
        </w:rPr>
        <w:t>Agappe</w:t>
      </w:r>
      <w:proofErr w:type="spellEnd"/>
      <w:r w:rsidRPr="001814CF">
        <w:rPr>
          <w:rFonts w:ascii="Garamond" w:hAnsi="Garamond"/>
          <w:bCs/>
          <w:iCs/>
          <w:sz w:val="20"/>
          <w:szCs w:val="20"/>
        </w:rPr>
        <w:t xml:space="preserve"> kit). </w:t>
      </w:r>
      <w:proofErr w:type="spellStart"/>
      <w:r w:rsidRPr="001814CF">
        <w:rPr>
          <w:rFonts w:ascii="Garamond" w:hAnsi="Garamond"/>
          <w:bCs/>
          <w:iCs/>
          <w:sz w:val="20"/>
          <w:szCs w:val="20"/>
        </w:rPr>
        <w:t>Haematological</w:t>
      </w:r>
      <w:proofErr w:type="spellEnd"/>
      <w:r w:rsidRPr="001814CF">
        <w:rPr>
          <w:rFonts w:ascii="Garamond" w:hAnsi="Garamond"/>
          <w:bCs/>
          <w:iCs/>
          <w:sz w:val="20"/>
          <w:szCs w:val="20"/>
        </w:rPr>
        <w:t xml:space="preserve"> parameters were determined through a full blood count on a Mindray BC-5000 </w:t>
      </w:r>
      <w:proofErr w:type="spellStart"/>
      <w:r w:rsidRPr="001814CF">
        <w:rPr>
          <w:rFonts w:ascii="Garamond" w:hAnsi="Garamond"/>
          <w:bCs/>
          <w:iCs/>
          <w:sz w:val="20"/>
          <w:szCs w:val="20"/>
        </w:rPr>
        <w:t>haematology</w:t>
      </w:r>
      <w:proofErr w:type="spellEnd"/>
      <w:r w:rsidRPr="001814CF">
        <w:rPr>
          <w:rFonts w:ascii="Garamond" w:hAnsi="Garamond"/>
          <w:bCs/>
          <w:iCs/>
          <w:sz w:val="20"/>
          <w:szCs w:val="20"/>
        </w:rPr>
        <w:t xml:space="preserve"> </w:t>
      </w:r>
      <w:proofErr w:type="spellStart"/>
      <w:r w:rsidRPr="001814CF">
        <w:rPr>
          <w:rFonts w:ascii="Garamond" w:hAnsi="Garamond"/>
          <w:bCs/>
          <w:iCs/>
          <w:sz w:val="20"/>
          <w:szCs w:val="20"/>
        </w:rPr>
        <w:t>analyser</w:t>
      </w:r>
      <w:proofErr w:type="spellEnd"/>
      <w:r w:rsidRPr="001814CF">
        <w:rPr>
          <w:rFonts w:ascii="Garamond" w:hAnsi="Garamond"/>
          <w:bCs/>
          <w:iCs/>
          <w:sz w:val="20"/>
          <w:szCs w:val="20"/>
        </w:rPr>
        <w:t>.</w:t>
      </w:r>
    </w:p>
    <w:p w14:paraId="53B147EF" w14:textId="16624483" w:rsidR="001814CF" w:rsidRPr="00223458" w:rsidRDefault="001814CF" w:rsidP="001814CF">
      <w:pPr>
        <w:spacing w:line="259" w:lineRule="auto"/>
        <w:jc w:val="both"/>
        <w:rPr>
          <w:rFonts w:ascii="Garamond" w:hAnsi="Garamond"/>
          <w:bCs/>
          <w:iCs/>
          <w:sz w:val="20"/>
          <w:szCs w:val="20"/>
          <w:lang w:val="en-GB"/>
        </w:rPr>
      </w:pPr>
      <w:r w:rsidRPr="00223458">
        <w:rPr>
          <w:rFonts w:ascii="Garamond" w:hAnsi="Garamond"/>
          <w:b/>
          <w:bCs/>
          <w:i/>
          <w:sz w:val="20"/>
          <w:szCs w:val="20"/>
        </w:rPr>
        <w:t>Statistical Analysis</w:t>
      </w:r>
      <w:r w:rsidR="00223458" w:rsidRPr="00223458">
        <w:rPr>
          <w:rFonts w:ascii="Garamond" w:hAnsi="Garamond"/>
          <w:b/>
          <w:bCs/>
          <w:i/>
          <w:sz w:val="20"/>
          <w:szCs w:val="20"/>
        </w:rPr>
        <w:t xml:space="preserve">: </w:t>
      </w:r>
      <w:r w:rsidRPr="001814CF">
        <w:rPr>
          <w:rFonts w:ascii="Garamond" w:hAnsi="Garamond"/>
          <w:bCs/>
          <w:iCs/>
          <w:sz w:val="20"/>
          <w:szCs w:val="20"/>
        </w:rPr>
        <w:t xml:space="preserve">The Statistical Package for Social Sciences (SPSS </w:t>
      </w:r>
      <w:r w:rsidRPr="001814CF">
        <w:rPr>
          <w:rFonts w:ascii="Garamond" w:hAnsi="Garamond"/>
          <w:bCs/>
          <w:iCs/>
          <w:sz w:val="20"/>
          <w:szCs w:val="20"/>
          <w:lang w:val="en-GB"/>
        </w:rPr>
        <w:t xml:space="preserve">version 25.0 software by SPSS Inc., Chicago, Illinois, USA) </w:t>
      </w:r>
      <w:r w:rsidRPr="001814CF">
        <w:rPr>
          <w:rFonts w:ascii="Garamond" w:hAnsi="Garamond"/>
          <w:bCs/>
          <w:iCs/>
          <w:sz w:val="20"/>
          <w:szCs w:val="20"/>
        </w:rPr>
        <w:t xml:space="preserve">was used to </w:t>
      </w:r>
      <w:proofErr w:type="spellStart"/>
      <w:r w:rsidRPr="001814CF">
        <w:rPr>
          <w:rFonts w:ascii="Garamond" w:hAnsi="Garamond"/>
          <w:bCs/>
          <w:iCs/>
          <w:sz w:val="20"/>
          <w:szCs w:val="20"/>
        </w:rPr>
        <w:t>analyse</w:t>
      </w:r>
      <w:proofErr w:type="spellEnd"/>
      <w:r w:rsidRPr="001814CF">
        <w:rPr>
          <w:rFonts w:ascii="Garamond" w:hAnsi="Garamond"/>
          <w:bCs/>
          <w:iCs/>
          <w:sz w:val="20"/>
          <w:szCs w:val="20"/>
        </w:rPr>
        <w:t xml:space="preserve"> the data generated from this study.</w:t>
      </w:r>
      <w:r w:rsidRPr="001814CF">
        <w:rPr>
          <w:rFonts w:ascii="Garamond" w:hAnsi="Garamond"/>
          <w:bCs/>
          <w:iCs/>
          <w:sz w:val="20"/>
          <w:szCs w:val="20"/>
          <w:lang w:val="en-GB"/>
        </w:rPr>
        <w:t xml:space="preserve">  All data were expressed as mean ± SD. </w:t>
      </w:r>
      <w:r w:rsidRPr="001814CF">
        <w:rPr>
          <w:rFonts w:ascii="Garamond" w:hAnsi="Garamond"/>
          <w:bCs/>
          <w:iCs/>
          <w:sz w:val="20"/>
          <w:szCs w:val="20"/>
        </w:rPr>
        <w:t>Student’s t-test was used to compare biomarker levels.</w:t>
      </w:r>
      <w:r w:rsidRPr="001814CF">
        <w:rPr>
          <w:rFonts w:ascii="Garamond" w:hAnsi="Garamond"/>
          <w:bCs/>
          <w:iCs/>
          <w:sz w:val="20"/>
          <w:szCs w:val="20"/>
          <w:lang w:val="en-GB"/>
        </w:rPr>
        <w:t xml:space="preserve"> One-way analysis of Variance </w:t>
      </w:r>
      <w:r w:rsidRPr="001814CF">
        <w:rPr>
          <w:rFonts w:ascii="Garamond" w:hAnsi="Garamond"/>
          <w:bCs/>
          <w:iCs/>
          <w:sz w:val="20"/>
          <w:szCs w:val="20"/>
          <w:lang w:val="en-GB"/>
        </w:rPr>
        <w:lastRenderedPageBreak/>
        <w:t xml:space="preserve">(ANOVA) and post-hoc Tukey’s test were used to assess group differences, and </w:t>
      </w:r>
      <w:r w:rsidRPr="001814CF">
        <w:rPr>
          <w:rFonts w:ascii="Garamond" w:hAnsi="Garamond"/>
          <w:bCs/>
          <w:iCs/>
          <w:sz w:val="20"/>
          <w:szCs w:val="20"/>
        </w:rPr>
        <w:t xml:space="preserve">Pearson’s correlation test was used to test the association between continuous variables. </w:t>
      </w:r>
      <w:r w:rsidRPr="001814CF">
        <w:rPr>
          <w:rFonts w:ascii="Garamond" w:hAnsi="Garamond"/>
          <w:bCs/>
          <w:iCs/>
          <w:sz w:val="20"/>
          <w:szCs w:val="20"/>
          <w:lang w:val="en-GB"/>
        </w:rPr>
        <w:t>The threshold for acceptable significance was set at p &lt; 0.05. All results were presented in tables and charts.</w:t>
      </w:r>
    </w:p>
    <w:p w14:paraId="4EABC46F" w14:textId="53807261" w:rsidR="001814CF" w:rsidRPr="001814CF" w:rsidRDefault="001814CF" w:rsidP="001814CF">
      <w:pPr>
        <w:spacing w:line="259" w:lineRule="auto"/>
        <w:jc w:val="both"/>
        <w:rPr>
          <w:rFonts w:ascii="Garamond" w:hAnsi="Garamond"/>
          <w:bCs/>
          <w:iCs/>
          <w:sz w:val="20"/>
          <w:szCs w:val="20"/>
        </w:rPr>
      </w:pPr>
      <w:r w:rsidRPr="00223458">
        <w:rPr>
          <w:rFonts w:ascii="Garamond" w:hAnsi="Garamond"/>
          <w:b/>
          <w:bCs/>
          <w:i/>
          <w:sz w:val="20"/>
          <w:szCs w:val="20"/>
          <w:lang w:val="en-GB"/>
        </w:rPr>
        <w:t>Ethical Approval</w:t>
      </w:r>
      <w:r w:rsidR="00223458" w:rsidRPr="00223458">
        <w:rPr>
          <w:rFonts w:ascii="Garamond" w:hAnsi="Garamond"/>
          <w:b/>
          <w:bCs/>
          <w:i/>
          <w:sz w:val="20"/>
          <w:szCs w:val="20"/>
          <w:lang w:val="en-GB"/>
        </w:rPr>
        <w:t>:</w:t>
      </w:r>
      <w:r w:rsidR="00223458">
        <w:rPr>
          <w:rFonts w:ascii="Garamond" w:hAnsi="Garamond"/>
          <w:b/>
          <w:bCs/>
          <w:iCs/>
          <w:sz w:val="20"/>
          <w:szCs w:val="20"/>
          <w:lang w:val="en-GB"/>
        </w:rPr>
        <w:t xml:space="preserve"> </w:t>
      </w:r>
      <w:r w:rsidRPr="001814CF">
        <w:rPr>
          <w:rFonts w:ascii="Garamond" w:hAnsi="Garamond"/>
          <w:bCs/>
          <w:iCs/>
          <w:sz w:val="20"/>
          <w:szCs w:val="20"/>
          <w:lang w:val="en-GB"/>
        </w:rPr>
        <w:t xml:space="preserve">Ethical approval was obtained from the Ethics and Research Committee, College of Medicine and Health Sciences, Afe Babalola University, Ado-Ekiti, Ekiti State (ABUADHREC/27/03/2025/626) and the Human Research and Ethics Committee, Federal Teaching Hospital, Ido Ekiti (ERC/2025/03/24/1227B). </w:t>
      </w:r>
      <w:r w:rsidRPr="001814CF">
        <w:rPr>
          <w:rFonts w:ascii="Garamond" w:hAnsi="Garamond"/>
          <w:bCs/>
          <w:iCs/>
          <w:sz w:val="20"/>
          <w:szCs w:val="20"/>
        </w:rPr>
        <w:t>Informed consent was obtained from all participants, and the confidentiality of the provided information was ensured throughout the study.</w:t>
      </w:r>
    </w:p>
    <w:p w14:paraId="2E9BC837" w14:textId="77777777" w:rsidR="001814CF" w:rsidRPr="001814CF" w:rsidRDefault="001814CF" w:rsidP="001814CF">
      <w:pPr>
        <w:spacing w:line="259" w:lineRule="auto"/>
        <w:jc w:val="both"/>
        <w:rPr>
          <w:rFonts w:ascii="Garamond" w:hAnsi="Garamond"/>
          <w:b/>
          <w:bCs/>
          <w:iCs/>
          <w:sz w:val="20"/>
          <w:szCs w:val="20"/>
        </w:rPr>
      </w:pPr>
    </w:p>
    <w:p w14:paraId="256691C2" w14:textId="2BAE4514" w:rsidR="001814CF" w:rsidRPr="001814CF" w:rsidRDefault="00501798" w:rsidP="001814CF">
      <w:pPr>
        <w:spacing w:line="259" w:lineRule="auto"/>
        <w:jc w:val="both"/>
        <w:rPr>
          <w:rFonts w:ascii="Garamond" w:hAnsi="Garamond"/>
          <w:b/>
          <w:bCs/>
          <w:iCs/>
          <w:sz w:val="22"/>
          <w:szCs w:val="22"/>
        </w:rPr>
      </w:pPr>
      <w:r w:rsidRPr="001814CF">
        <w:rPr>
          <w:rFonts w:ascii="Garamond" w:hAnsi="Garamond"/>
          <w:b/>
          <w:bCs/>
          <w:iCs/>
          <w:sz w:val="22"/>
          <w:szCs w:val="22"/>
        </w:rPr>
        <w:t>RESULTS</w:t>
      </w:r>
    </w:p>
    <w:p w14:paraId="56B0EABE" w14:textId="43455FBC" w:rsidR="001814CF" w:rsidRPr="00223458" w:rsidRDefault="001814CF" w:rsidP="001814CF">
      <w:pPr>
        <w:spacing w:line="259" w:lineRule="auto"/>
        <w:jc w:val="both"/>
        <w:rPr>
          <w:rFonts w:ascii="Garamond" w:hAnsi="Garamond"/>
          <w:bCs/>
          <w:iCs/>
          <w:sz w:val="20"/>
          <w:szCs w:val="20"/>
          <w:lang w:val="en-GB"/>
        </w:rPr>
      </w:pPr>
      <w:r w:rsidRPr="00223458">
        <w:rPr>
          <w:rFonts w:ascii="Garamond" w:hAnsi="Garamond"/>
          <w:b/>
          <w:bCs/>
          <w:i/>
          <w:sz w:val="20"/>
          <w:szCs w:val="20"/>
          <w:lang w:val="en-GB"/>
        </w:rPr>
        <w:t>Demographic characteristics of the SCD subjects</w:t>
      </w:r>
      <w:r w:rsidR="00223458" w:rsidRPr="00223458">
        <w:rPr>
          <w:rFonts w:ascii="Garamond" w:hAnsi="Garamond"/>
          <w:b/>
          <w:bCs/>
          <w:i/>
          <w:sz w:val="20"/>
          <w:szCs w:val="20"/>
          <w:lang w:val="en-GB"/>
        </w:rPr>
        <w:t>:</w:t>
      </w:r>
      <w:r w:rsidR="00223458">
        <w:rPr>
          <w:rFonts w:ascii="Garamond" w:hAnsi="Garamond"/>
          <w:b/>
          <w:bCs/>
          <w:iCs/>
          <w:sz w:val="20"/>
          <w:szCs w:val="20"/>
          <w:lang w:val="en-GB"/>
        </w:rPr>
        <w:t xml:space="preserve"> </w:t>
      </w:r>
      <w:r w:rsidRPr="001814CF">
        <w:rPr>
          <w:rFonts w:ascii="Garamond" w:hAnsi="Garamond"/>
          <w:bCs/>
          <w:iCs/>
          <w:sz w:val="20"/>
          <w:szCs w:val="20"/>
          <w:lang w:val="en-GB"/>
        </w:rPr>
        <w:t xml:space="preserve">Table 1 outlines the demographic characteristics of the study participants. Findings reveal that within the age classifications, 18 participants (48.65%) are in the 5 – 10 years category, 14 (37.84%) are in the 11 – 20 years category, 4 (10.81%) fall within the 21 – 30 years category, and 1 (2.70%) belongs to the 31 – 40 years category. In terms of gender classification, 18 participants (48.65%) were identified as male, whereas 19 (51.35%) were classified as female. Regarding genotype classification, 28 participants (75.68%) were identified as homozygous SCD, while 9 participants (24.32%) were categorised as heterozygous SCD. At the time of the study, 17 participants (45.95%) were suffering from a </w:t>
      </w:r>
      <w:proofErr w:type="spellStart"/>
      <w:r w:rsidRPr="001814CF">
        <w:rPr>
          <w:rFonts w:ascii="Garamond" w:hAnsi="Garamond"/>
          <w:bCs/>
          <w:iCs/>
          <w:sz w:val="20"/>
          <w:szCs w:val="20"/>
          <w:lang w:val="en-GB"/>
        </w:rPr>
        <w:t>vaso</w:t>
      </w:r>
      <w:proofErr w:type="spellEnd"/>
      <w:r w:rsidRPr="001814CF">
        <w:rPr>
          <w:rFonts w:ascii="Garamond" w:hAnsi="Garamond"/>
          <w:bCs/>
          <w:iCs/>
          <w:sz w:val="20"/>
          <w:szCs w:val="20"/>
          <w:lang w:val="en-GB"/>
        </w:rPr>
        <w:t>-occlusive crisis, while 20 participants (51.3%) were in a stable condition.</w:t>
      </w:r>
    </w:p>
    <w:p w14:paraId="0F657999" w14:textId="360BDF47" w:rsidR="001814CF" w:rsidRPr="001814CF" w:rsidRDefault="001814CF" w:rsidP="001814CF">
      <w:pPr>
        <w:spacing w:line="259" w:lineRule="auto"/>
        <w:jc w:val="both"/>
        <w:rPr>
          <w:rFonts w:ascii="Garamond" w:hAnsi="Garamond"/>
          <w:bCs/>
          <w:iCs/>
          <w:sz w:val="20"/>
          <w:szCs w:val="20"/>
        </w:rPr>
      </w:pPr>
      <w:r w:rsidRPr="00223458">
        <w:rPr>
          <w:rFonts w:ascii="Garamond" w:hAnsi="Garamond"/>
          <w:b/>
          <w:bCs/>
          <w:i/>
          <w:sz w:val="20"/>
          <w:szCs w:val="20"/>
        </w:rPr>
        <w:t xml:space="preserve">Haptoglobin, creatinine, AKI markers and </w:t>
      </w:r>
      <w:proofErr w:type="spellStart"/>
      <w:r w:rsidRPr="00223458">
        <w:rPr>
          <w:rFonts w:ascii="Garamond" w:hAnsi="Garamond"/>
          <w:b/>
          <w:bCs/>
          <w:i/>
          <w:sz w:val="20"/>
          <w:szCs w:val="20"/>
        </w:rPr>
        <w:t>haematological</w:t>
      </w:r>
      <w:proofErr w:type="spellEnd"/>
      <w:r w:rsidRPr="00223458">
        <w:rPr>
          <w:rFonts w:ascii="Garamond" w:hAnsi="Garamond"/>
          <w:b/>
          <w:bCs/>
          <w:i/>
          <w:sz w:val="20"/>
          <w:szCs w:val="20"/>
        </w:rPr>
        <w:t xml:space="preserve"> parameters of SCD subjects and controls</w:t>
      </w:r>
      <w:r w:rsidR="00223458" w:rsidRPr="00223458">
        <w:rPr>
          <w:rFonts w:ascii="Garamond" w:hAnsi="Garamond"/>
          <w:b/>
          <w:bCs/>
          <w:i/>
          <w:sz w:val="20"/>
          <w:szCs w:val="20"/>
        </w:rPr>
        <w:t>:</w:t>
      </w:r>
      <w:r w:rsidR="00223458">
        <w:rPr>
          <w:rFonts w:ascii="Garamond" w:hAnsi="Garamond"/>
          <w:b/>
          <w:bCs/>
          <w:iCs/>
          <w:sz w:val="20"/>
          <w:szCs w:val="20"/>
        </w:rPr>
        <w:t xml:space="preserve"> </w:t>
      </w:r>
      <w:r w:rsidRPr="001814CF">
        <w:rPr>
          <w:rFonts w:ascii="Garamond" w:hAnsi="Garamond"/>
          <w:bCs/>
          <w:iCs/>
          <w:sz w:val="20"/>
          <w:szCs w:val="20"/>
        </w:rPr>
        <w:t xml:space="preserve">Table 2 shows the haptoglobin, creatinine, </w:t>
      </w:r>
      <w:proofErr w:type="spellStart"/>
      <w:r w:rsidRPr="001814CF">
        <w:rPr>
          <w:rFonts w:ascii="Garamond" w:hAnsi="Garamond"/>
          <w:bCs/>
          <w:iCs/>
          <w:sz w:val="20"/>
          <w:szCs w:val="20"/>
        </w:rPr>
        <w:t>haematological</w:t>
      </w:r>
      <w:proofErr w:type="spellEnd"/>
      <w:r w:rsidRPr="001814CF">
        <w:rPr>
          <w:rFonts w:ascii="Garamond" w:hAnsi="Garamond"/>
          <w:bCs/>
          <w:iCs/>
          <w:sz w:val="20"/>
          <w:szCs w:val="20"/>
        </w:rPr>
        <w:t xml:space="preserve"> parameters and AKI markers of SCD subjects and the controls. The results obtained showed that the creatinine concentration for SCD subjects and controls was 194.3 </w:t>
      </w:r>
      <w:r w:rsidRPr="001814CF">
        <w:rPr>
          <w:rFonts w:ascii="Garamond" w:hAnsi="Garamond"/>
          <w:bCs/>
          <w:iCs/>
          <w:sz w:val="20"/>
          <w:szCs w:val="20"/>
          <w:lang w:val="en-GB"/>
        </w:rPr>
        <w:t>±</w:t>
      </w:r>
      <w:r w:rsidRPr="001814CF">
        <w:rPr>
          <w:rFonts w:ascii="Garamond" w:hAnsi="Garamond"/>
          <w:b/>
          <w:bCs/>
          <w:iCs/>
          <w:sz w:val="20"/>
          <w:szCs w:val="20"/>
          <w:lang w:val="en-GB"/>
        </w:rPr>
        <w:t xml:space="preserve"> </w:t>
      </w:r>
      <w:r w:rsidRPr="001814CF">
        <w:rPr>
          <w:rFonts w:ascii="Garamond" w:hAnsi="Garamond"/>
          <w:bCs/>
          <w:iCs/>
          <w:sz w:val="20"/>
          <w:szCs w:val="20"/>
          <w:lang w:val="en-GB"/>
        </w:rPr>
        <w:t>180.0 and</w:t>
      </w:r>
      <w:r w:rsidRPr="001814CF">
        <w:rPr>
          <w:rFonts w:ascii="Garamond" w:hAnsi="Garamond"/>
          <w:b/>
          <w:bCs/>
          <w:iCs/>
          <w:sz w:val="20"/>
          <w:szCs w:val="20"/>
          <w:lang w:val="en-GB"/>
        </w:rPr>
        <w:t xml:space="preserve"> </w:t>
      </w:r>
      <w:r w:rsidRPr="001814CF">
        <w:rPr>
          <w:rFonts w:ascii="Garamond" w:hAnsi="Garamond"/>
          <w:bCs/>
          <w:iCs/>
          <w:sz w:val="20"/>
          <w:szCs w:val="20"/>
          <w:lang w:val="en-GB"/>
        </w:rPr>
        <w:t xml:space="preserve">73.5 ± 33.1, KIM-1 was 5.4 ± 4.9 and 0.7 ± 0.4, NGAL was 73.4 ± 20.2 and 48.7 ± 4.8, IL-18 was 165.7 ± 92.7 and 58.4 ± 18.0, HP was 80.7 ± 47.1 and 140.6 ± 32.4, PCV was 30.2 ± 8.7 and 37.8 ± 2.9, Hb was 10.5 ± 3.7 and 13.7 ± 1.9, WBC was 12.8 ± 8.6 and 7.5 ± 2.3, while PLT was 435.9 ± 8.6 and 279.2 ± 83.3 respectively. </w:t>
      </w:r>
      <w:r w:rsidRPr="001814CF">
        <w:rPr>
          <w:rFonts w:ascii="Garamond" w:hAnsi="Garamond"/>
          <w:bCs/>
          <w:iCs/>
          <w:sz w:val="20"/>
          <w:szCs w:val="20"/>
        </w:rPr>
        <w:t xml:space="preserve">Creatinine, KIM-1, NGAL, IL-18, WBC, and PLT levels were significantly (p&lt;0.05) high in the SCD subjects compared to the controls, </w:t>
      </w:r>
      <w:r w:rsidRPr="001814CF">
        <w:rPr>
          <w:rFonts w:ascii="Garamond" w:hAnsi="Garamond"/>
          <w:bCs/>
          <w:iCs/>
          <w:sz w:val="20"/>
          <w:szCs w:val="20"/>
        </w:rPr>
        <w:t>while PCV, Hb, and HP levels were notably reduced in the SCD participants in contrast to the controls.</w:t>
      </w:r>
    </w:p>
    <w:p w14:paraId="46CD586B" w14:textId="77777777" w:rsidR="0049362C" w:rsidRDefault="0049362C" w:rsidP="008B0BAA">
      <w:pPr>
        <w:spacing w:line="259" w:lineRule="auto"/>
        <w:jc w:val="both"/>
        <w:rPr>
          <w:rFonts w:ascii="Garamond" w:hAnsi="Garamond"/>
          <w:b/>
          <w:bCs/>
          <w:iCs/>
          <w:sz w:val="20"/>
          <w:szCs w:val="20"/>
        </w:rPr>
      </w:pPr>
    </w:p>
    <w:p w14:paraId="55F928F5"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b/>
          <w:bCs/>
          <w:iCs/>
          <w:sz w:val="20"/>
          <w:szCs w:val="20"/>
          <w:lang w:val="en-GB"/>
        </w:rPr>
        <w:t>Table 1: Demographic characteristics of the SCD subjects</w:t>
      </w:r>
    </w:p>
    <w:tbl>
      <w:tblPr>
        <w:tblStyle w:val="TableGrid"/>
        <w:tblW w:w="4815" w:type="dxa"/>
        <w:tblInd w:w="5" w:type="dxa"/>
        <w:tblLook w:val="04A0" w:firstRow="1" w:lastRow="0" w:firstColumn="1" w:lastColumn="0" w:noHBand="0" w:noVBand="1"/>
      </w:tblPr>
      <w:tblGrid>
        <w:gridCol w:w="1696"/>
        <w:gridCol w:w="1560"/>
        <w:gridCol w:w="1559"/>
      </w:tblGrid>
      <w:tr w:rsidR="00FE1747" w:rsidRPr="00FE1747" w14:paraId="513B239E" w14:textId="77777777" w:rsidTr="00FE1747">
        <w:tc>
          <w:tcPr>
            <w:tcW w:w="1696" w:type="dxa"/>
            <w:tcBorders>
              <w:top w:val="single" w:sz="8" w:space="0" w:color="auto"/>
              <w:left w:val="nil"/>
              <w:bottom w:val="single" w:sz="8" w:space="0" w:color="auto"/>
              <w:right w:val="nil"/>
            </w:tcBorders>
          </w:tcPr>
          <w:p w14:paraId="52A52907"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b/>
                <w:bCs/>
                <w:iCs/>
                <w:sz w:val="20"/>
                <w:szCs w:val="20"/>
                <w:lang w:val="en-GB"/>
              </w:rPr>
              <w:t>Variables</w:t>
            </w:r>
          </w:p>
        </w:tc>
        <w:tc>
          <w:tcPr>
            <w:tcW w:w="1560" w:type="dxa"/>
            <w:tcBorders>
              <w:top w:val="single" w:sz="8" w:space="0" w:color="auto"/>
              <w:left w:val="nil"/>
              <w:bottom w:val="single" w:sz="8" w:space="0" w:color="auto"/>
              <w:right w:val="nil"/>
            </w:tcBorders>
          </w:tcPr>
          <w:p w14:paraId="2523CC35"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b/>
                <w:bCs/>
                <w:iCs/>
                <w:sz w:val="20"/>
                <w:szCs w:val="20"/>
                <w:lang w:val="en-GB"/>
              </w:rPr>
              <w:t>Number Observed</w:t>
            </w:r>
          </w:p>
        </w:tc>
        <w:tc>
          <w:tcPr>
            <w:tcW w:w="1559" w:type="dxa"/>
            <w:tcBorders>
              <w:top w:val="single" w:sz="8" w:space="0" w:color="auto"/>
              <w:left w:val="nil"/>
              <w:bottom w:val="single" w:sz="8" w:space="0" w:color="auto"/>
              <w:right w:val="nil"/>
            </w:tcBorders>
          </w:tcPr>
          <w:p w14:paraId="695DDED9"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b/>
                <w:bCs/>
                <w:iCs/>
                <w:sz w:val="20"/>
                <w:szCs w:val="20"/>
                <w:lang w:val="en-GB"/>
              </w:rPr>
              <w:t>Frequency (%)</w:t>
            </w:r>
          </w:p>
        </w:tc>
      </w:tr>
      <w:tr w:rsidR="00FE1747" w:rsidRPr="00FE1747" w14:paraId="6F8B08C3" w14:textId="77777777" w:rsidTr="00FE1747">
        <w:tc>
          <w:tcPr>
            <w:tcW w:w="4815" w:type="dxa"/>
            <w:gridSpan w:val="3"/>
            <w:tcBorders>
              <w:top w:val="single" w:sz="8" w:space="0" w:color="auto"/>
              <w:left w:val="nil"/>
              <w:bottom w:val="nil"/>
              <w:right w:val="nil"/>
            </w:tcBorders>
          </w:tcPr>
          <w:p w14:paraId="64D236BE"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b/>
                <w:bCs/>
                <w:iCs/>
                <w:sz w:val="20"/>
                <w:szCs w:val="20"/>
                <w:lang w:val="en-GB"/>
              </w:rPr>
              <w:t>Age (years)</w:t>
            </w:r>
          </w:p>
        </w:tc>
      </w:tr>
      <w:tr w:rsidR="00FE1747" w:rsidRPr="00FE1747" w14:paraId="0A7EA6BA" w14:textId="77777777" w:rsidTr="00FE1747">
        <w:tc>
          <w:tcPr>
            <w:tcW w:w="1696" w:type="dxa"/>
            <w:tcBorders>
              <w:top w:val="nil"/>
              <w:left w:val="nil"/>
              <w:bottom w:val="nil"/>
              <w:right w:val="nil"/>
            </w:tcBorders>
          </w:tcPr>
          <w:p w14:paraId="43DC16B4"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5 – 10</w:t>
            </w:r>
          </w:p>
        </w:tc>
        <w:tc>
          <w:tcPr>
            <w:tcW w:w="1560" w:type="dxa"/>
            <w:tcBorders>
              <w:top w:val="nil"/>
              <w:left w:val="nil"/>
              <w:bottom w:val="nil"/>
              <w:right w:val="nil"/>
            </w:tcBorders>
          </w:tcPr>
          <w:p w14:paraId="6D5FC696"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18</w:t>
            </w:r>
          </w:p>
        </w:tc>
        <w:tc>
          <w:tcPr>
            <w:tcW w:w="1559" w:type="dxa"/>
            <w:tcBorders>
              <w:top w:val="nil"/>
              <w:left w:val="nil"/>
              <w:bottom w:val="nil"/>
              <w:right w:val="nil"/>
            </w:tcBorders>
          </w:tcPr>
          <w:p w14:paraId="0E526879"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48.65</w:t>
            </w:r>
          </w:p>
        </w:tc>
      </w:tr>
      <w:tr w:rsidR="00FE1747" w:rsidRPr="00FE1747" w14:paraId="2652D114" w14:textId="77777777" w:rsidTr="00FE1747">
        <w:tc>
          <w:tcPr>
            <w:tcW w:w="1696" w:type="dxa"/>
            <w:tcBorders>
              <w:top w:val="nil"/>
              <w:left w:val="nil"/>
              <w:bottom w:val="nil"/>
              <w:right w:val="nil"/>
            </w:tcBorders>
          </w:tcPr>
          <w:p w14:paraId="37CEECF6"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11 – 20</w:t>
            </w:r>
          </w:p>
        </w:tc>
        <w:tc>
          <w:tcPr>
            <w:tcW w:w="1560" w:type="dxa"/>
            <w:tcBorders>
              <w:top w:val="nil"/>
              <w:left w:val="nil"/>
              <w:bottom w:val="nil"/>
              <w:right w:val="nil"/>
            </w:tcBorders>
          </w:tcPr>
          <w:p w14:paraId="18656679"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14</w:t>
            </w:r>
          </w:p>
        </w:tc>
        <w:tc>
          <w:tcPr>
            <w:tcW w:w="1559" w:type="dxa"/>
            <w:tcBorders>
              <w:top w:val="nil"/>
              <w:left w:val="nil"/>
              <w:bottom w:val="nil"/>
              <w:right w:val="nil"/>
            </w:tcBorders>
          </w:tcPr>
          <w:p w14:paraId="0518DFEA"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37.84</w:t>
            </w:r>
          </w:p>
        </w:tc>
      </w:tr>
      <w:tr w:rsidR="00FE1747" w:rsidRPr="00FE1747" w14:paraId="5617BE2A" w14:textId="77777777" w:rsidTr="00FE1747">
        <w:tc>
          <w:tcPr>
            <w:tcW w:w="1696" w:type="dxa"/>
            <w:tcBorders>
              <w:top w:val="nil"/>
              <w:left w:val="nil"/>
              <w:bottom w:val="nil"/>
              <w:right w:val="nil"/>
            </w:tcBorders>
          </w:tcPr>
          <w:p w14:paraId="522BA12A"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21 – 30</w:t>
            </w:r>
          </w:p>
        </w:tc>
        <w:tc>
          <w:tcPr>
            <w:tcW w:w="1560" w:type="dxa"/>
            <w:tcBorders>
              <w:top w:val="nil"/>
              <w:left w:val="nil"/>
              <w:bottom w:val="nil"/>
              <w:right w:val="nil"/>
            </w:tcBorders>
          </w:tcPr>
          <w:p w14:paraId="6ED2AB3C"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4</w:t>
            </w:r>
          </w:p>
        </w:tc>
        <w:tc>
          <w:tcPr>
            <w:tcW w:w="1559" w:type="dxa"/>
            <w:tcBorders>
              <w:top w:val="nil"/>
              <w:left w:val="nil"/>
              <w:bottom w:val="nil"/>
              <w:right w:val="nil"/>
            </w:tcBorders>
          </w:tcPr>
          <w:p w14:paraId="23001AFA"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10.81</w:t>
            </w:r>
          </w:p>
        </w:tc>
      </w:tr>
      <w:tr w:rsidR="00FE1747" w:rsidRPr="00FE1747" w14:paraId="6CF9BF87" w14:textId="77777777" w:rsidTr="00FE1747">
        <w:tc>
          <w:tcPr>
            <w:tcW w:w="1696" w:type="dxa"/>
            <w:tcBorders>
              <w:top w:val="nil"/>
              <w:left w:val="nil"/>
              <w:bottom w:val="nil"/>
              <w:right w:val="nil"/>
            </w:tcBorders>
          </w:tcPr>
          <w:p w14:paraId="67E726D3"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31 – 40</w:t>
            </w:r>
          </w:p>
        </w:tc>
        <w:tc>
          <w:tcPr>
            <w:tcW w:w="1560" w:type="dxa"/>
            <w:tcBorders>
              <w:top w:val="nil"/>
              <w:left w:val="nil"/>
              <w:bottom w:val="nil"/>
              <w:right w:val="nil"/>
            </w:tcBorders>
          </w:tcPr>
          <w:p w14:paraId="29C95721"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w:t>
            </w:r>
          </w:p>
        </w:tc>
        <w:tc>
          <w:tcPr>
            <w:tcW w:w="1559" w:type="dxa"/>
            <w:tcBorders>
              <w:top w:val="nil"/>
              <w:left w:val="nil"/>
              <w:bottom w:val="nil"/>
              <w:right w:val="nil"/>
            </w:tcBorders>
          </w:tcPr>
          <w:p w14:paraId="2C2044BD"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2.70</w:t>
            </w:r>
          </w:p>
        </w:tc>
      </w:tr>
      <w:tr w:rsidR="00FE1747" w:rsidRPr="00FE1747" w14:paraId="573E51A1" w14:textId="77777777" w:rsidTr="00FE1747">
        <w:tc>
          <w:tcPr>
            <w:tcW w:w="4815" w:type="dxa"/>
            <w:gridSpan w:val="3"/>
            <w:tcBorders>
              <w:top w:val="nil"/>
              <w:left w:val="nil"/>
              <w:bottom w:val="nil"/>
              <w:right w:val="nil"/>
            </w:tcBorders>
          </w:tcPr>
          <w:p w14:paraId="44359913"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b/>
                <w:bCs/>
                <w:iCs/>
                <w:sz w:val="20"/>
                <w:szCs w:val="20"/>
                <w:lang w:val="en-GB"/>
              </w:rPr>
              <w:t xml:space="preserve">Gender </w:t>
            </w:r>
          </w:p>
        </w:tc>
      </w:tr>
      <w:tr w:rsidR="00FE1747" w:rsidRPr="00FE1747" w14:paraId="7AB95F85" w14:textId="77777777" w:rsidTr="00FE1747">
        <w:tc>
          <w:tcPr>
            <w:tcW w:w="1696" w:type="dxa"/>
            <w:tcBorders>
              <w:top w:val="nil"/>
              <w:left w:val="nil"/>
              <w:bottom w:val="nil"/>
              <w:right w:val="nil"/>
            </w:tcBorders>
          </w:tcPr>
          <w:p w14:paraId="0CCE84A1"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Male</w:t>
            </w:r>
          </w:p>
        </w:tc>
        <w:tc>
          <w:tcPr>
            <w:tcW w:w="1560" w:type="dxa"/>
            <w:tcBorders>
              <w:top w:val="nil"/>
              <w:left w:val="nil"/>
              <w:bottom w:val="nil"/>
              <w:right w:val="nil"/>
            </w:tcBorders>
          </w:tcPr>
          <w:p w14:paraId="69C2C09E"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18</w:t>
            </w:r>
          </w:p>
        </w:tc>
        <w:tc>
          <w:tcPr>
            <w:tcW w:w="1559" w:type="dxa"/>
            <w:tcBorders>
              <w:top w:val="nil"/>
              <w:left w:val="nil"/>
              <w:bottom w:val="nil"/>
              <w:right w:val="nil"/>
            </w:tcBorders>
          </w:tcPr>
          <w:p w14:paraId="6F646D13"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48.65</w:t>
            </w:r>
          </w:p>
        </w:tc>
      </w:tr>
      <w:tr w:rsidR="00FE1747" w:rsidRPr="00FE1747" w14:paraId="4D456A79" w14:textId="77777777" w:rsidTr="00FE1747">
        <w:tc>
          <w:tcPr>
            <w:tcW w:w="1696" w:type="dxa"/>
            <w:tcBorders>
              <w:top w:val="nil"/>
              <w:left w:val="nil"/>
              <w:bottom w:val="nil"/>
              <w:right w:val="nil"/>
            </w:tcBorders>
          </w:tcPr>
          <w:p w14:paraId="349267A1"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Female</w:t>
            </w:r>
          </w:p>
        </w:tc>
        <w:tc>
          <w:tcPr>
            <w:tcW w:w="1560" w:type="dxa"/>
            <w:tcBorders>
              <w:top w:val="nil"/>
              <w:left w:val="nil"/>
              <w:bottom w:val="nil"/>
              <w:right w:val="nil"/>
            </w:tcBorders>
          </w:tcPr>
          <w:p w14:paraId="6F9E5E22"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19</w:t>
            </w:r>
          </w:p>
        </w:tc>
        <w:tc>
          <w:tcPr>
            <w:tcW w:w="1559" w:type="dxa"/>
            <w:tcBorders>
              <w:top w:val="nil"/>
              <w:left w:val="nil"/>
              <w:bottom w:val="nil"/>
              <w:right w:val="nil"/>
            </w:tcBorders>
          </w:tcPr>
          <w:p w14:paraId="298E259B"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51.35</w:t>
            </w:r>
          </w:p>
        </w:tc>
      </w:tr>
      <w:tr w:rsidR="00FE1747" w:rsidRPr="00FE1747" w14:paraId="1025E4A3" w14:textId="77777777" w:rsidTr="00FE1747">
        <w:tc>
          <w:tcPr>
            <w:tcW w:w="4815" w:type="dxa"/>
            <w:gridSpan w:val="3"/>
            <w:tcBorders>
              <w:top w:val="nil"/>
              <w:left w:val="nil"/>
              <w:bottom w:val="nil"/>
              <w:right w:val="nil"/>
            </w:tcBorders>
          </w:tcPr>
          <w:p w14:paraId="7B128283"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b/>
                <w:bCs/>
                <w:iCs/>
                <w:sz w:val="20"/>
                <w:szCs w:val="20"/>
                <w:lang w:val="en-GB"/>
              </w:rPr>
              <w:t>Status</w:t>
            </w:r>
          </w:p>
        </w:tc>
      </w:tr>
      <w:tr w:rsidR="00FE1747" w:rsidRPr="00FE1747" w14:paraId="02FB022D" w14:textId="77777777" w:rsidTr="00FE1747">
        <w:tc>
          <w:tcPr>
            <w:tcW w:w="1696" w:type="dxa"/>
            <w:tcBorders>
              <w:top w:val="nil"/>
              <w:left w:val="nil"/>
              <w:bottom w:val="nil"/>
              <w:right w:val="nil"/>
            </w:tcBorders>
          </w:tcPr>
          <w:p w14:paraId="18C0FD3C"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Homozygous</w:t>
            </w:r>
          </w:p>
        </w:tc>
        <w:tc>
          <w:tcPr>
            <w:tcW w:w="1560" w:type="dxa"/>
            <w:tcBorders>
              <w:top w:val="nil"/>
              <w:left w:val="nil"/>
              <w:bottom w:val="nil"/>
              <w:right w:val="nil"/>
            </w:tcBorders>
          </w:tcPr>
          <w:p w14:paraId="3EBFAD3B"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28</w:t>
            </w:r>
          </w:p>
        </w:tc>
        <w:tc>
          <w:tcPr>
            <w:tcW w:w="1559" w:type="dxa"/>
            <w:tcBorders>
              <w:top w:val="nil"/>
              <w:left w:val="nil"/>
              <w:bottom w:val="nil"/>
              <w:right w:val="nil"/>
            </w:tcBorders>
          </w:tcPr>
          <w:p w14:paraId="5A658061"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75.68</w:t>
            </w:r>
          </w:p>
        </w:tc>
      </w:tr>
      <w:tr w:rsidR="00FE1747" w:rsidRPr="00FE1747" w14:paraId="0F373868" w14:textId="77777777" w:rsidTr="00FE1747">
        <w:tc>
          <w:tcPr>
            <w:tcW w:w="1696" w:type="dxa"/>
            <w:tcBorders>
              <w:top w:val="nil"/>
              <w:left w:val="nil"/>
              <w:bottom w:val="nil"/>
              <w:right w:val="nil"/>
            </w:tcBorders>
          </w:tcPr>
          <w:p w14:paraId="728F3244"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Heterozygous</w:t>
            </w:r>
          </w:p>
        </w:tc>
        <w:tc>
          <w:tcPr>
            <w:tcW w:w="1560" w:type="dxa"/>
            <w:tcBorders>
              <w:top w:val="nil"/>
              <w:left w:val="nil"/>
              <w:bottom w:val="nil"/>
              <w:right w:val="nil"/>
            </w:tcBorders>
          </w:tcPr>
          <w:p w14:paraId="7A884434"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9</w:t>
            </w:r>
          </w:p>
        </w:tc>
        <w:tc>
          <w:tcPr>
            <w:tcW w:w="1559" w:type="dxa"/>
            <w:tcBorders>
              <w:top w:val="nil"/>
              <w:left w:val="nil"/>
              <w:bottom w:val="nil"/>
              <w:right w:val="nil"/>
            </w:tcBorders>
          </w:tcPr>
          <w:p w14:paraId="58AD6637"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24.32</w:t>
            </w:r>
          </w:p>
        </w:tc>
      </w:tr>
      <w:tr w:rsidR="00FE1747" w:rsidRPr="00FE1747" w14:paraId="24F1DDA5" w14:textId="77777777" w:rsidTr="00FE1747">
        <w:tc>
          <w:tcPr>
            <w:tcW w:w="4815" w:type="dxa"/>
            <w:gridSpan w:val="3"/>
            <w:tcBorders>
              <w:top w:val="nil"/>
              <w:left w:val="nil"/>
              <w:bottom w:val="nil"/>
              <w:right w:val="nil"/>
            </w:tcBorders>
          </w:tcPr>
          <w:p w14:paraId="547B9AE3"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b/>
                <w:bCs/>
                <w:iCs/>
                <w:sz w:val="20"/>
                <w:szCs w:val="20"/>
                <w:lang w:val="en-GB"/>
              </w:rPr>
              <w:t>Health Condition</w:t>
            </w:r>
          </w:p>
        </w:tc>
      </w:tr>
      <w:tr w:rsidR="00FE1747" w:rsidRPr="00FE1747" w14:paraId="60E1B9B0" w14:textId="77777777" w:rsidTr="00FE1747">
        <w:trPr>
          <w:trHeight w:val="469"/>
        </w:trPr>
        <w:tc>
          <w:tcPr>
            <w:tcW w:w="1696" w:type="dxa"/>
            <w:tcBorders>
              <w:top w:val="nil"/>
              <w:left w:val="nil"/>
              <w:bottom w:val="single" w:sz="12" w:space="0" w:color="auto"/>
              <w:right w:val="nil"/>
            </w:tcBorders>
          </w:tcPr>
          <w:p w14:paraId="6DD0BAFC"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Crisis</w:t>
            </w:r>
          </w:p>
          <w:p w14:paraId="7BA250A7" w14:textId="77777777" w:rsidR="00FE1747" w:rsidRPr="00FE1747" w:rsidRDefault="00FE1747" w:rsidP="00FE1747">
            <w:pPr>
              <w:spacing w:line="259" w:lineRule="auto"/>
              <w:jc w:val="both"/>
              <w:rPr>
                <w:rFonts w:ascii="Garamond" w:hAnsi="Garamond"/>
                <w:b/>
                <w:bCs/>
                <w:iCs/>
                <w:sz w:val="20"/>
                <w:szCs w:val="20"/>
                <w:lang w:val="en-GB"/>
              </w:rPr>
            </w:pPr>
            <w:r w:rsidRPr="00FE1747">
              <w:rPr>
                <w:rFonts w:ascii="Garamond" w:hAnsi="Garamond"/>
                <w:iCs/>
                <w:sz w:val="20"/>
                <w:szCs w:val="20"/>
                <w:lang w:val="en-GB"/>
              </w:rPr>
              <w:t>Steady</w:t>
            </w:r>
          </w:p>
        </w:tc>
        <w:tc>
          <w:tcPr>
            <w:tcW w:w="1560" w:type="dxa"/>
            <w:tcBorders>
              <w:top w:val="nil"/>
              <w:left w:val="nil"/>
              <w:bottom w:val="single" w:sz="8" w:space="0" w:color="auto"/>
              <w:right w:val="nil"/>
            </w:tcBorders>
          </w:tcPr>
          <w:p w14:paraId="1CFD014B"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17</w:t>
            </w:r>
          </w:p>
          <w:p w14:paraId="31276001"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20</w:t>
            </w:r>
          </w:p>
        </w:tc>
        <w:tc>
          <w:tcPr>
            <w:tcW w:w="1559" w:type="dxa"/>
            <w:tcBorders>
              <w:top w:val="nil"/>
              <w:left w:val="nil"/>
              <w:bottom w:val="single" w:sz="8" w:space="0" w:color="auto"/>
              <w:right w:val="nil"/>
            </w:tcBorders>
          </w:tcPr>
          <w:p w14:paraId="4E9AE453"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45.95</w:t>
            </w:r>
          </w:p>
          <w:p w14:paraId="27361574" w14:textId="77777777" w:rsidR="00FE1747" w:rsidRPr="00FE1747" w:rsidRDefault="00FE1747" w:rsidP="00FE1747">
            <w:pPr>
              <w:spacing w:line="259" w:lineRule="auto"/>
              <w:jc w:val="both"/>
              <w:rPr>
                <w:rFonts w:ascii="Garamond" w:hAnsi="Garamond"/>
                <w:iCs/>
                <w:sz w:val="20"/>
                <w:szCs w:val="20"/>
                <w:lang w:val="en-GB"/>
              </w:rPr>
            </w:pPr>
            <w:r w:rsidRPr="00FE1747">
              <w:rPr>
                <w:rFonts w:ascii="Garamond" w:hAnsi="Garamond"/>
                <w:iCs/>
                <w:sz w:val="20"/>
                <w:szCs w:val="20"/>
                <w:lang w:val="en-GB"/>
              </w:rPr>
              <w:t>24.32</w:t>
            </w:r>
          </w:p>
        </w:tc>
      </w:tr>
    </w:tbl>
    <w:p w14:paraId="4E9D77C4" w14:textId="77777777" w:rsidR="00FE1747" w:rsidRPr="00FE1747" w:rsidRDefault="00FE1747" w:rsidP="00FE1747">
      <w:pPr>
        <w:spacing w:line="259" w:lineRule="auto"/>
        <w:jc w:val="both"/>
        <w:rPr>
          <w:rFonts w:ascii="Garamond" w:hAnsi="Garamond"/>
          <w:iCs/>
          <w:sz w:val="20"/>
          <w:szCs w:val="20"/>
          <w:lang w:val="en-GB"/>
        </w:rPr>
      </w:pPr>
    </w:p>
    <w:p w14:paraId="0A088A73" w14:textId="77777777" w:rsidR="00FE1747" w:rsidRPr="00FE1747" w:rsidRDefault="00FE1747" w:rsidP="00FE1747">
      <w:pPr>
        <w:spacing w:line="259" w:lineRule="auto"/>
        <w:jc w:val="both"/>
        <w:rPr>
          <w:rFonts w:ascii="Garamond" w:hAnsi="Garamond"/>
          <w:iCs/>
          <w:sz w:val="20"/>
          <w:szCs w:val="20"/>
        </w:rPr>
      </w:pPr>
    </w:p>
    <w:p w14:paraId="17C8E544" w14:textId="77777777" w:rsidR="0049362C" w:rsidRPr="00FE1747" w:rsidRDefault="0049362C" w:rsidP="008B0BAA">
      <w:pPr>
        <w:spacing w:line="259" w:lineRule="auto"/>
        <w:jc w:val="both"/>
        <w:rPr>
          <w:rFonts w:ascii="Garamond" w:hAnsi="Garamond"/>
          <w:iCs/>
          <w:sz w:val="20"/>
          <w:szCs w:val="20"/>
        </w:rPr>
      </w:pPr>
    </w:p>
    <w:p w14:paraId="3259A841" w14:textId="77777777" w:rsidR="0049362C" w:rsidRDefault="0049362C" w:rsidP="008B0BAA">
      <w:pPr>
        <w:spacing w:line="259" w:lineRule="auto"/>
        <w:jc w:val="both"/>
        <w:rPr>
          <w:rFonts w:ascii="Garamond" w:hAnsi="Garamond"/>
          <w:iCs/>
          <w:sz w:val="20"/>
          <w:szCs w:val="20"/>
        </w:rPr>
      </w:pPr>
    </w:p>
    <w:p w14:paraId="01E95C9E" w14:textId="77777777" w:rsidR="00716D19" w:rsidRDefault="00716D19" w:rsidP="008B0BAA">
      <w:pPr>
        <w:spacing w:line="259" w:lineRule="auto"/>
        <w:jc w:val="both"/>
        <w:rPr>
          <w:rFonts w:ascii="Garamond" w:hAnsi="Garamond"/>
          <w:iCs/>
          <w:sz w:val="20"/>
          <w:szCs w:val="20"/>
        </w:rPr>
      </w:pPr>
    </w:p>
    <w:p w14:paraId="47F33FC5" w14:textId="77777777" w:rsidR="00716D19" w:rsidRDefault="00716D19" w:rsidP="008B0BAA">
      <w:pPr>
        <w:spacing w:line="259" w:lineRule="auto"/>
        <w:jc w:val="both"/>
        <w:rPr>
          <w:rFonts w:ascii="Garamond" w:hAnsi="Garamond"/>
          <w:iCs/>
          <w:sz w:val="20"/>
          <w:szCs w:val="20"/>
        </w:rPr>
      </w:pPr>
    </w:p>
    <w:p w14:paraId="56C170F9" w14:textId="77777777" w:rsidR="00716D19" w:rsidRDefault="00716D19" w:rsidP="008B0BAA">
      <w:pPr>
        <w:spacing w:line="259" w:lineRule="auto"/>
        <w:jc w:val="both"/>
        <w:rPr>
          <w:rFonts w:ascii="Garamond" w:hAnsi="Garamond"/>
          <w:iCs/>
          <w:sz w:val="20"/>
          <w:szCs w:val="20"/>
        </w:rPr>
      </w:pPr>
    </w:p>
    <w:p w14:paraId="305F6953" w14:textId="77777777" w:rsidR="00716D19" w:rsidRDefault="00716D19" w:rsidP="008B0BAA">
      <w:pPr>
        <w:spacing w:line="259" w:lineRule="auto"/>
        <w:jc w:val="both"/>
        <w:rPr>
          <w:rFonts w:ascii="Garamond" w:hAnsi="Garamond"/>
          <w:iCs/>
          <w:sz w:val="20"/>
          <w:szCs w:val="20"/>
        </w:rPr>
        <w:sectPr w:rsidR="00716D19" w:rsidSect="003D02D5">
          <w:type w:val="continuous"/>
          <w:pgSz w:w="12240" w:h="15840"/>
          <w:pgMar w:top="1440" w:right="1440" w:bottom="1440" w:left="1440" w:header="720" w:footer="720" w:gutter="0"/>
          <w:cols w:num="2" w:space="720"/>
          <w:titlePg/>
          <w:docGrid w:linePitch="360"/>
        </w:sectPr>
      </w:pPr>
    </w:p>
    <w:p w14:paraId="39555A77" w14:textId="77777777" w:rsidR="00716D19" w:rsidRPr="00716D19" w:rsidRDefault="00716D19" w:rsidP="00716D19">
      <w:pPr>
        <w:spacing w:line="259" w:lineRule="auto"/>
        <w:jc w:val="both"/>
        <w:rPr>
          <w:rFonts w:ascii="Garamond" w:hAnsi="Garamond"/>
          <w:b/>
          <w:bCs/>
          <w:iCs/>
          <w:sz w:val="20"/>
          <w:szCs w:val="20"/>
        </w:rPr>
      </w:pPr>
      <w:r w:rsidRPr="00716D19">
        <w:rPr>
          <w:rFonts w:ascii="Garamond" w:hAnsi="Garamond"/>
          <w:b/>
          <w:bCs/>
          <w:iCs/>
          <w:sz w:val="20"/>
          <w:szCs w:val="20"/>
        </w:rPr>
        <w:lastRenderedPageBreak/>
        <w:t xml:space="preserve">Table 2: </w:t>
      </w:r>
      <w:bookmarkStart w:id="9" w:name="_Hlk204360831"/>
      <w:r w:rsidRPr="00716D19">
        <w:rPr>
          <w:rFonts w:ascii="Garamond" w:hAnsi="Garamond"/>
          <w:iCs/>
          <w:sz w:val="20"/>
          <w:szCs w:val="20"/>
        </w:rPr>
        <w:t xml:space="preserve">Haptoglobin, creatinine, AKI markers and </w:t>
      </w:r>
      <w:proofErr w:type="spellStart"/>
      <w:r w:rsidRPr="00716D19">
        <w:rPr>
          <w:rFonts w:ascii="Garamond" w:hAnsi="Garamond"/>
          <w:iCs/>
          <w:sz w:val="20"/>
          <w:szCs w:val="20"/>
        </w:rPr>
        <w:t>haematological</w:t>
      </w:r>
      <w:proofErr w:type="spellEnd"/>
      <w:r w:rsidRPr="00716D19">
        <w:rPr>
          <w:rFonts w:ascii="Garamond" w:hAnsi="Garamond"/>
          <w:iCs/>
          <w:sz w:val="20"/>
          <w:szCs w:val="20"/>
        </w:rPr>
        <w:t xml:space="preserve"> parameters of SCD subjects and controls.</w:t>
      </w:r>
      <w:bookmarkEnd w:id="9"/>
    </w:p>
    <w:tbl>
      <w:tblPr>
        <w:tblStyle w:val="TableGrid"/>
        <w:tblW w:w="0" w:type="auto"/>
        <w:tblBorders>
          <w:bottom w:val="single" w:sz="12" w:space="0" w:color="auto"/>
        </w:tblBorders>
        <w:tblLook w:val="04A0" w:firstRow="1" w:lastRow="0" w:firstColumn="1" w:lastColumn="0" w:noHBand="0" w:noVBand="1"/>
      </w:tblPr>
      <w:tblGrid>
        <w:gridCol w:w="2335"/>
        <w:gridCol w:w="1710"/>
        <w:gridCol w:w="1710"/>
        <w:gridCol w:w="1530"/>
        <w:gridCol w:w="1446"/>
      </w:tblGrid>
      <w:tr w:rsidR="00716D19" w:rsidRPr="00716D19" w14:paraId="470D55C7" w14:textId="77777777" w:rsidTr="001E4C7C">
        <w:tc>
          <w:tcPr>
            <w:tcW w:w="2335" w:type="dxa"/>
            <w:tcBorders>
              <w:top w:val="single" w:sz="12" w:space="0" w:color="auto"/>
              <w:left w:val="nil"/>
              <w:bottom w:val="single" w:sz="12" w:space="0" w:color="auto"/>
              <w:right w:val="nil"/>
            </w:tcBorders>
            <w:hideMark/>
          </w:tcPr>
          <w:p w14:paraId="1A7C5A07"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Variables</w:t>
            </w:r>
          </w:p>
        </w:tc>
        <w:tc>
          <w:tcPr>
            <w:tcW w:w="1710" w:type="dxa"/>
            <w:tcBorders>
              <w:top w:val="single" w:sz="12" w:space="0" w:color="auto"/>
              <w:left w:val="nil"/>
              <w:bottom w:val="single" w:sz="12" w:space="0" w:color="auto"/>
              <w:right w:val="nil"/>
            </w:tcBorders>
            <w:hideMark/>
          </w:tcPr>
          <w:p w14:paraId="2F968D5E"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SCD Subjects</w:t>
            </w:r>
          </w:p>
          <w:p w14:paraId="3DBA2C49"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Mean ± SD</w:t>
            </w:r>
          </w:p>
          <w:p w14:paraId="2A41BDE5"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N = 37</w:t>
            </w:r>
          </w:p>
        </w:tc>
        <w:tc>
          <w:tcPr>
            <w:tcW w:w="1710" w:type="dxa"/>
            <w:tcBorders>
              <w:top w:val="single" w:sz="12" w:space="0" w:color="auto"/>
              <w:left w:val="nil"/>
              <w:bottom w:val="single" w:sz="12" w:space="0" w:color="auto"/>
              <w:right w:val="nil"/>
            </w:tcBorders>
            <w:hideMark/>
          </w:tcPr>
          <w:p w14:paraId="371EB7B5"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Controls</w:t>
            </w:r>
          </w:p>
          <w:p w14:paraId="307A7977"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Mean ± SD</w:t>
            </w:r>
          </w:p>
          <w:p w14:paraId="6592947C"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N = 30</w:t>
            </w:r>
          </w:p>
        </w:tc>
        <w:tc>
          <w:tcPr>
            <w:tcW w:w="1530" w:type="dxa"/>
            <w:tcBorders>
              <w:top w:val="single" w:sz="12" w:space="0" w:color="auto"/>
              <w:left w:val="nil"/>
              <w:bottom w:val="single" w:sz="12" w:space="0" w:color="auto"/>
              <w:right w:val="nil"/>
            </w:tcBorders>
          </w:tcPr>
          <w:p w14:paraId="4357331C"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t-value</w:t>
            </w:r>
          </w:p>
        </w:tc>
        <w:tc>
          <w:tcPr>
            <w:tcW w:w="1446" w:type="dxa"/>
            <w:tcBorders>
              <w:top w:val="single" w:sz="12" w:space="0" w:color="auto"/>
              <w:left w:val="nil"/>
              <w:bottom w:val="single" w:sz="12" w:space="0" w:color="auto"/>
              <w:right w:val="nil"/>
            </w:tcBorders>
          </w:tcPr>
          <w:p w14:paraId="03509FC1"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p-value</w:t>
            </w:r>
          </w:p>
        </w:tc>
      </w:tr>
      <w:tr w:rsidR="00716D19" w:rsidRPr="00716D19" w14:paraId="44B544DC" w14:textId="77777777" w:rsidTr="001E4C7C">
        <w:tc>
          <w:tcPr>
            <w:tcW w:w="2335" w:type="dxa"/>
            <w:tcBorders>
              <w:top w:val="single" w:sz="12" w:space="0" w:color="auto"/>
              <w:left w:val="nil"/>
              <w:bottom w:val="nil"/>
              <w:right w:val="nil"/>
            </w:tcBorders>
            <w:hideMark/>
          </w:tcPr>
          <w:p w14:paraId="65A082A4"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Creatinine (µmol/L)</w:t>
            </w:r>
          </w:p>
        </w:tc>
        <w:tc>
          <w:tcPr>
            <w:tcW w:w="1710" w:type="dxa"/>
            <w:tcBorders>
              <w:top w:val="single" w:sz="12" w:space="0" w:color="auto"/>
              <w:left w:val="nil"/>
              <w:bottom w:val="nil"/>
              <w:right w:val="nil"/>
            </w:tcBorders>
            <w:hideMark/>
          </w:tcPr>
          <w:p w14:paraId="59C0CC21"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iCs/>
                <w:sz w:val="20"/>
                <w:szCs w:val="20"/>
              </w:rPr>
              <w:t>194.3</w:t>
            </w:r>
            <w:r w:rsidRPr="00716D19">
              <w:rPr>
                <w:rFonts w:ascii="Garamond" w:hAnsi="Garamond"/>
                <w:b/>
                <w:bCs/>
                <w:iCs/>
                <w:sz w:val="20"/>
                <w:szCs w:val="20"/>
                <w:lang w:val="en-GB"/>
              </w:rPr>
              <w:t xml:space="preserve"> ± </w:t>
            </w:r>
            <w:r w:rsidRPr="00716D19">
              <w:rPr>
                <w:rFonts w:ascii="Garamond" w:hAnsi="Garamond"/>
                <w:iCs/>
                <w:sz w:val="20"/>
                <w:szCs w:val="20"/>
              </w:rPr>
              <w:t>180.0</w:t>
            </w:r>
          </w:p>
        </w:tc>
        <w:tc>
          <w:tcPr>
            <w:tcW w:w="1710" w:type="dxa"/>
            <w:tcBorders>
              <w:top w:val="single" w:sz="12" w:space="0" w:color="auto"/>
              <w:left w:val="nil"/>
              <w:bottom w:val="nil"/>
              <w:right w:val="nil"/>
            </w:tcBorders>
            <w:hideMark/>
          </w:tcPr>
          <w:p w14:paraId="5464062C"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73.5 ± 33.1</w:t>
            </w:r>
          </w:p>
        </w:tc>
        <w:tc>
          <w:tcPr>
            <w:tcW w:w="1530" w:type="dxa"/>
            <w:tcBorders>
              <w:top w:val="single" w:sz="12" w:space="0" w:color="auto"/>
              <w:left w:val="nil"/>
              <w:bottom w:val="nil"/>
              <w:right w:val="nil"/>
            </w:tcBorders>
          </w:tcPr>
          <w:p w14:paraId="1C4DAD50"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2.096</w:t>
            </w:r>
          </w:p>
        </w:tc>
        <w:tc>
          <w:tcPr>
            <w:tcW w:w="1446" w:type="dxa"/>
            <w:tcBorders>
              <w:top w:val="single" w:sz="12" w:space="0" w:color="auto"/>
              <w:left w:val="nil"/>
              <w:bottom w:val="nil"/>
              <w:right w:val="nil"/>
            </w:tcBorders>
          </w:tcPr>
          <w:p w14:paraId="6AFE9C0B"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0.042*</w:t>
            </w:r>
          </w:p>
        </w:tc>
      </w:tr>
      <w:tr w:rsidR="00716D19" w:rsidRPr="00716D19" w14:paraId="40C926A4" w14:textId="77777777" w:rsidTr="001E4C7C">
        <w:tc>
          <w:tcPr>
            <w:tcW w:w="2335" w:type="dxa"/>
            <w:tcBorders>
              <w:top w:val="nil"/>
              <w:left w:val="nil"/>
              <w:bottom w:val="nil"/>
              <w:right w:val="nil"/>
            </w:tcBorders>
            <w:hideMark/>
          </w:tcPr>
          <w:p w14:paraId="791F974A"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KIM-1 (</w:t>
            </w:r>
            <w:proofErr w:type="spellStart"/>
            <w:r w:rsidRPr="00716D19">
              <w:rPr>
                <w:rFonts w:ascii="Garamond" w:hAnsi="Garamond"/>
                <w:b/>
                <w:bCs/>
                <w:iCs/>
                <w:sz w:val="20"/>
                <w:szCs w:val="20"/>
                <w:lang w:val="en-GB"/>
              </w:rPr>
              <w:t>pg</w:t>
            </w:r>
            <w:proofErr w:type="spellEnd"/>
            <w:r w:rsidRPr="00716D19">
              <w:rPr>
                <w:rFonts w:ascii="Garamond" w:hAnsi="Garamond"/>
                <w:b/>
                <w:bCs/>
                <w:iCs/>
                <w:sz w:val="20"/>
                <w:szCs w:val="20"/>
                <w:lang w:val="en-GB"/>
              </w:rPr>
              <w:t>/mL)</w:t>
            </w:r>
          </w:p>
        </w:tc>
        <w:tc>
          <w:tcPr>
            <w:tcW w:w="1710" w:type="dxa"/>
            <w:tcBorders>
              <w:top w:val="nil"/>
              <w:left w:val="nil"/>
              <w:bottom w:val="nil"/>
              <w:right w:val="nil"/>
            </w:tcBorders>
            <w:hideMark/>
          </w:tcPr>
          <w:p w14:paraId="4BFBFD40"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5.4 ± 4.9</w:t>
            </w:r>
          </w:p>
        </w:tc>
        <w:tc>
          <w:tcPr>
            <w:tcW w:w="1710" w:type="dxa"/>
            <w:tcBorders>
              <w:top w:val="nil"/>
              <w:left w:val="nil"/>
              <w:bottom w:val="nil"/>
              <w:right w:val="nil"/>
            </w:tcBorders>
            <w:hideMark/>
          </w:tcPr>
          <w:p w14:paraId="1D2F5466"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0.7 ± 0.4</w:t>
            </w:r>
          </w:p>
        </w:tc>
        <w:tc>
          <w:tcPr>
            <w:tcW w:w="1530" w:type="dxa"/>
            <w:tcBorders>
              <w:top w:val="nil"/>
              <w:left w:val="nil"/>
              <w:bottom w:val="nil"/>
              <w:right w:val="nil"/>
            </w:tcBorders>
          </w:tcPr>
          <w:p w14:paraId="3BC57FDB"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4.027</w:t>
            </w:r>
          </w:p>
        </w:tc>
        <w:tc>
          <w:tcPr>
            <w:tcW w:w="1446" w:type="dxa"/>
            <w:tcBorders>
              <w:top w:val="nil"/>
              <w:left w:val="nil"/>
              <w:bottom w:val="nil"/>
              <w:right w:val="nil"/>
            </w:tcBorders>
          </w:tcPr>
          <w:p w14:paraId="22C6D43E"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r w:rsidR="00716D19" w:rsidRPr="00716D19" w14:paraId="7C4FE62D" w14:textId="77777777" w:rsidTr="001E4C7C">
        <w:tc>
          <w:tcPr>
            <w:tcW w:w="2335" w:type="dxa"/>
            <w:tcBorders>
              <w:top w:val="nil"/>
              <w:left w:val="nil"/>
              <w:bottom w:val="nil"/>
              <w:right w:val="nil"/>
            </w:tcBorders>
            <w:hideMark/>
          </w:tcPr>
          <w:p w14:paraId="7FDC2C6E"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NGAL (</w:t>
            </w:r>
            <w:proofErr w:type="spellStart"/>
            <w:r w:rsidRPr="00716D19">
              <w:rPr>
                <w:rFonts w:ascii="Garamond" w:hAnsi="Garamond"/>
                <w:b/>
                <w:bCs/>
                <w:iCs/>
                <w:sz w:val="20"/>
                <w:szCs w:val="20"/>
                <w:lang w:val="en-GB"/>
              </w:rPr>
              <w:t>pg</w:t>
            </w:r>
            <w:proofErr w:type="spellEnd"/>
            <w:r w:rsidRPr="00716D19">
              <w:rPr>
                <w:rFonts w:ascii="Garamond" w:hAnsi="Garamond"/>
                <w:b/>
                <w:bCs/>
                <w:iCs/>
                <w:sz w:val="20"/>
                <w:szCs w:val="20"/>
                <w:lang w:val="en-GB"/>
              </w:rPr>
              <w:t>/mL)</w:t>
            </w:r>
          </w:p>
        </w:tc>
        <w:tc>
          <w:tcPr>
            <w:tcW w:w="1710" w:type="dxa"/>
            <w:tcBorders>
              <w:top w:val="nil"/>
              <w:left w:val="nil"/>
              <w:bottom w:val="nil"/>
              <w:right w:val="nil"/>
            </w:tcBorders>
            <w:hideMark/>
          </w:tcPr>
          <w:p w14:paraId="3CA16369"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73.4 ± 20.2</w:t>
            </w:r>
          </w:p>
        </w:tc>
        <w:tc>
          <w:tcPr>
            <w:tcW w:w="1710" w:type="dxa"/>
            <w:tcBorders>
              <w:top w:val="nil"/>
              <w:left w:val="nil"/>
              <w:bottom w:val="nil"/>
              <w:right w:val="nil"/>
            </w:tcBorders>
            <w:hideMark/>
          </w:tcPr>
          <w:p w14:paraId="166F78E8"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48.7 ± 4.8</w:t>
            </w:r>
          </w:p>
        </w:tc>
        <w:tc>
          <w:tcPr>
            <w:tcW w:w="1530" w:type="dxa"/>
            <w:tcBorders>
              <w:top w:val="nil"/>
              <w:left w:val="nil"/>
              <w:bottom w:val="nil"/>
              <w:right w:val="nil"/>
            </w:tcBorders>
          </w:tcPr>
          <w:p w14:paraId="4D7E13E1"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6.068</w:t>
            </w:r>
          </w:p>
        </w:tc>
        <w:tc>
          <w:tcPr>
            <w:tcW w:w="1446" w:type="dxa"/>
            <w:tcBorders>
              <w:top w:val="nil"/>
              <w:left w:val="nil"/>
              <w:bottom w:val="nil"/>
              <w:right w:val="nil"/>
            </w:tcBorders>
          </w:tcPr>
          <w:p w14:paraId="78CD7008"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r w:rsidR="00716D19" w:rsidRPr="00716D19" w14:paraId="42A693AF" w14:textId="77777777" w:rsidTr="001E4C7C">
        <w:tc>
          <w:tcPr>
            <w:tcW w:w="2335" w:type="dxa"/>
            <w:tcBorders>
              <w:top w:val="nil"/>
              <w:left w:val="nil"/>
              <w:bottom w:val="nil"/>
              <w:right w:val="nil"/>
            </w:tcBorders>
            <w:hideMark/>
          </w:tcPr>
          <w:p w14:paraId="203E558B"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IL-18 (</w:t>
            </w:r>
            <w:proofErr w:type="spellStart"/>
            <w:r w:rsidRPr="00716D19">
              <w:rPr>
                <w:rFonts w:ascii="Garamond" w:hAnsi="Garamond"/>
                <w:b/>
                <w:bCs/>
                <w:iCs/>
                <w:sz w:val="20"/>
                <w:szCs w:val="20"/>
                <w:lang w:val="en-GB"/>
              </w:rPr>
              <w:t>pg</w:t>
            </w:r>
            <w:proofErr w:type="spellEnd"/>
            <w:r w:rsidRPr="00716D19">
              <w:rPr>
                <w:rFonts w:ascii="Garamond" w:hAnsi="Garamond"/>
                <w:b/>
                <w:bCs/>
                <w:iCs/>
                <w:sz w:val="20"/>
                <w:szCs w:val="20"/>
                <w:lang w:val="en-GB"/>
              </w:rPr>
              <w:t>/mL)</w:t>
            </w:r>
          </w:p>
        </w:tc>
        <w:tc>
          <w:tcPr>
            <w:tcW w:w="1710" w:type="dxa"/>
            <w:tcBorders>
              <w:top w:val="nil"/>
              <w:left w:val="nil"/>
              <w:bottom w:val="nil"/>
              <w:right w:val="nil"/>
            </w:tcBorders>
            <w:hideMark/>
          </w:tcPr>
          <w:p w14:paraId="12647F74"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165.7 ± 92.7</w:t>
            </w:r>
          </w:p>
        </w:tc>
        <w:tc>
          <w:tcPr>
            <w:tcW w:w="1710" w:type="dxa"/>
            <w:tcBorders>
              <w:top w:val="nil"/>
              <w:left w:val="nil"/>
              <w:bottom w:val="nil"/>
              <w:right w:val="nil"/>
            </w:tcBorders>
            <w:hideMark/>
          </w:tcPr>
          <w:p w14:paraId="347A4355"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58.4 ± 18.0</w:t>
            </w:r>
          </w:p>
        </w:tc>
        <w:tc>
          <w:tcPr>
            <w:tcW w:w="1530" w:type="dxa"/>
            <w:tcBorders>
              <w:top w:val="nil"/>
              <w:left w:val="nil"/>
              <w:bottom w:val="nil"/>
              <w:right w:val="nil"/>
            </w:tcBorders>
          </w:tcPr>
          <w:p w14:paraId="5175E493"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5.455</w:t>
            </w:r>
          </w:p>
        </w:tc>
        <w:tc>
          <w:tcPr>
            <w:tcW w:w="1446" w:type="dxa"/>
            <w:tcBorders>
              <w:top w:val="nil"/>
              <w:left w:val="nil"/>
              <w:bottom w:val="nil"/>
              <w:right w:val="nil"/>
            </w:tcBorders>
          </w:tcPr>
          <w:p w14:paraId="32CECD4B"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r w:rsidR="00716D19" w:rsidRPr="00716D19" w14:paraId="7A7B01CE" w14:textId="77777777" w:rsidTr="001E4C7C">
        <w:tc>
          <w:tcPr>
            <w:tcW w:w="2335" w:type="dxa"/>
            <w:tcBorders>
              <w:top w:val="nil"/>
              <w:left w:val="nil"/>
              <w:bottom w:val="nil"/>
              <w:right w:val="nil"/>
            </w:tcBorders>
            <w:hideMark/>
          </w:tcPr>
          <w:p w14:paraId="0B7C6776"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HP (ng/mL)</w:t>
            </w:r>
          </w:p>
        </w:tc>
        <w:tc>
          <w:tcPr>
            <w:tcW w:w="1710" w:type="dxa"/>
            <w:tcBorders>
              <w:top w:val="nil"/>
              <w:left w:val="nil"/>
              <w:bottom w:val="nil"/>
              <w:right w:val="nil"/>
            </w:tcBorders>
            <w:hideMark/>
          </w:tcPr>
          <w:p w14:paraId="3E99C6E6"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80.7 ± 47.1</w:t>
            </w:r>
          </w:p>
        </w:tc>
        <w:tc>
          <w:tcPr>
            <w:tcW w:w="1710" w:type="dxa"/>
            <w:tcBorders>
              <w:top w:val="nil"/>
              <w:left w:val="nil"/>
              <w:bottom w:val="nil"/>
              <w:right w:val="nil"/>
            </w:tcBorders>
            <w:hideMark/>
          </w:tcPr>
          <w:p w14:paraId="2C7045C4"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140.6 ± 32.4</w:t>
            </w:r>
          </w:p>
        </w:tc>
        <w:tc>
          <w:tcPr>
            <w:tcW w:w="1530" w:type="dxa"/>
            <w:tcBorders>
              <w:top w:val="nil"/>
              <w:left w:val="nil"/>
              <w:bottom w:val="nil"/>
              <w:right w:val="nil"/>
            </w:tcBorders>
          </w:tcPr>
          <w:p w14:paraId="6A312C5E"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6.770</w:t>
            </w:r>
          </w:p>
        </w:tc>
        <w:tc>
          <w:tcPr>
            <w:tcW w:w="1446" w:type="dxa"/>
            <w:tcBorders>
              <w:top w:val="nil"/>
              <w:left w:val="nil"/>
              <w:bottom w:val="nil"/>
              <w:right w:val="nil"/>
            </w:tcBorders>
          </w:tcPr>
          <w:p w14:paraId="7B800CE1"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r w:rsidR="00716D19" w:rsidRPr="00716D19" w14:paraId="7FAD1F8B" w14:textId="77777777" w:rsidTr="001E4C7C">
        <w:tc>
          <w:tcPr>
            <w:tcW w:w="2335" w:type="dxa"/>
            <w:tcBorders>
              <w:top w:val="nil"/>
              <w:left w:val="nil"/>
              <w:bottom w:val="nil"/>
              <w:right w:val="nil"/>
            </w:tcBorders>
            <w:hideMark/>
          </w:tcPr>
          <w:p w14:paraId="5C013598"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PCV (%)</w:t>
            </w:r>
          </w:p>
        </w:tc>
        <w:tc>
          <w:tcPr>
            <w:tcW w:w="1710" w:type="dxa"/>
            <w:tcBorders>
              <w:top w:val="nil"/>
              <w:left w:val="nil"/>
              <w:bottom w:val="nil"/>
              <w:right w:val="nil"/>
            </w:tcBorders>
            <w:hideMark/>
          </w:tcPr>
          <w:p w14:paraId="3571E881"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30.2 ± 8.7</w:t>
            </w:r>
          </w:p>
        </w:tc>
        <w:tc>
          <w:tcPr>
            <w:tcW w:w="1710" w:type="dxa"/>
            <w:tcBorders>
              <w:top w:val="nil"/>
              <w:left w:val="nil"/>
              <w:bottom w:val="nil"/>
              <w:right w:val="nil"/>
            </w:tcBorders>
            <w:hideMark/>
          </w:tcPr>
          <w:p w14:paraId="6DF15FFF"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37.8 ± 2.9</w:t>
            </w:r>
          </w:p>
        </w:tc>
        <w:tc>
          <w:tcPr>
            <w:tcW w:w="1530" w:type="dxa"/>
            <w:tcBorders>
              <w:top w:val="nil"/>
              <w:left w:val="nil"/>
              <w:bottom w:val="nil"/>
              <w:right w:val="nil"/>
            </w:tcBorders>
          </w:tcPr>
          <w:p w14:paraId="5FFCB03F"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8.908</w:t>
            </w:r>
          </w:p>
        </w:tc>
        <w:tc>
          <w:tcPr>
            <w:tcW w:w="1446" w:type="dxa"/>
            <w:tcBorders>
              <w:top w:val="nil"/>
              <w:left w:val="nil"/>
              <w:bottom w:val="nil"/>
              <w:right w:val="nil"/>
            </w:tcBorders>
          </w:tcPr>
          <w:p w14:paraId="7C024F67"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r w:rsidR="00716D19" w:rsidRPr="00716D19" w14:paraId="6192309F" w14:textId="77777777" w:rsidTr="001E4C7C">
        <w:tc>
          <w:tcPr>
            <w:tcW w:w="2335" w:type="dxa"/>
            <w:tcBorders>
              <w:top w:val="nil"/>
              <w:left w:val="nil"/>
              <w:bottom w:val="nil"/>
              <w:right w:val="nil"/>
            </w:tcBorders>
            <w:hideMark/>
          </w:tcPr>
          <w:p w14:paraId="2FA024E3"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Hb (g/dL)</w:t>
            </w:r>
          </w:p>
        </w:tc>
        <w:tc>
          <w:tcPr>
            <w:tcW w:w="1710" w:type="dxa"/>
            <w:tcBorders>
              <w:top w:val="nil"/>
              <w:left w:val="nil"/>
              <w:bottom w:val="nil"/>
              <w:right w:val="nil"/>
            </w:tcBorders>
            <w:hideMark/>
          </w:tcPr>
          <w:p w14:paraId="2DB3E904"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10.5 ± 3.7</w:t>
            </w:r>
          </w:p>
        </w:tc>
        <w:tc>
          <w:tcPr>
            <w:tcW w:w="1710" w:type="dxa"/>
            <w:tcBorders>
              <w:top w:val="nil"/>
              <w:left w:val="nil"/>
              <w:bottom w:val="nil"/>
              <w:right w:val="nil"/>
            </w:tcBorders>
            <w:hideMark/>
          </w:tcPr>
          <w:p w14:paraId="69FEFC0B"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13.7 ± 1.9</w:t>
            </w:r>
          </w:p>
        </w:tc>
        <w:tc>
          <w:tcPr>
            <w:tcW w:w="1530" w:type="dxa"/>
            <w:tcBorders>
              <w:top w:val="nil"/>
              <w:left w:val="nil"/>
              <w:bottom w:val="nil"/>
              <w:right w:val="nil"/>
            </w:tcBorders>
          </w:tcPr>
          <w:p w14:paraId="761817AC"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9.272</w:t>
            </w:r>
          </w:p>
        </w:tc>
        <w:tc>
          <w:tcPr>
            <w:tcW w:w="1446" w:type="dxa"/>
            <w:tcBorders>
              <w:top w:val="nil"/>
              <w:left w:val="nil"/>
              <w:bottom w:val="nil"/>
              <w:right w:val="nil"/>
            </w:tcBorders>
          </w:tcPr>
          <w:p w14:paraId="15510DFC"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r w:rsidR="00716D19" w:rsidRPr="00716D19" w14:paraId="0DE579F1" w14:textId="77777777" w:rsidTr="001E4C7C">
        <w:tc>
          <w:tcPr>
            <w:tcW w:w="2335" w:type="dxa"/>
            <w:tcBorders>
              <w:top w:val="nil"/>
              <w:left w:val="nil"/>
              <w:bottom w:val="nil"/>
              <w:right w:val="nil"/>
            </w:tcBorders>
            <w:hideMark/>
          </w:tcPr>
          <w:p w14:paraId="406026D1"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WBC (x10</w:t>
            </w:r>
            <w:r w:rsidRPr="00716D19">
              <w:rPr>
                <w:rFonts w:ascii="Garamond" w:hAnsi="Garamond"/>
                <w:b/>
                <w:bCs/>
                <w:iCs/>
                <w:sz w:val="20"/>
                <w:szCs w:val="20"/>
                <w:vertAlign w:val="superscript"/>
                <w:lang w:val="en-GB"/>
              </w:rPr>
              <w:t>9</w:t>
            </w:r>
            <w:r w:rsidRPr="00716D19">
              <w:rPr>
                <w:rFonts w:ascii="Garamond" w:hAnsi="Garamond"/>
                <w:b/>
                <w:bCs/>
                <w:iCs/>
                <w:sz w:val="20"/>
                <w:szCs w:val="20"/>
                <w:lang w:val="en-GB"/>
              </w:rPr>
              <w:t xml:space="preserve"> cells/L)</w:t>
            </w:r>
          </w:p>
        </w:tc>
        <w:tc>
          <w:tcPr>
            <w:tcW w:w="1710" w:type="dxa"/>
            <w:tcBorders>
              <w:top w:val="nil"/>
              <w:left w:val="nil"/>
              <w:bottom w:val="nil"/>
              <w:right w:val="nil"/>
            </w:tcBorders>
            <w:hideMark/>
          </w:tcPr>
          <w:p w14:paraId="43BDFEB6"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12.8 ± 8.6</w:t>
            </w:r>
          </w:p>
        </w:tc>
        <w:tc>
          <w:tcPr>
            <w:tcW w:w="1710" w:type="dxa"/>
            <w:tcBorders>
              <w:top w:val="nil"/>
              <w:left w:val="nil"/>
              <w:bottom w:val="nil"/>
              <w:right w:val="nil"/>
            </w:tcBorders>
            <w:hideMark/>
          </w:tcPr>
          <w:p w14:paraId="6AE15D56"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7.5 ± 2.3</w:t>
            </w:r>
          </w:p>
        </w:tc>
        <w:tc>
          <w:tcPr>
            <w:tcW w:w="1530" w:type="dxa"/>
            <w:tcBorders>
              <w:top w:val="nil"/>
              <w:left w:val="nil"/>
              <w:bottom w:val="nil"/>
              <w:right w:val="nil"/>
            </w:tcBorders>
          </w:tcPr>
          <w:p w14:paraId="62C6A88C"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5.541</w:t>
            </w:r>
          </w:p>
        </w:tc>
        <w:tc>
          <w:tcPr>
            <w:tcW w:w="1446" w:type="dxa"/>
            <w:tcBorders>
              <w:top w:val="nil"/>
              <w:left w:val="nil"/>
              <w:bottom w:val="nil"/>
              <w:right w:val="nil"/>
            </w:tcBorders>
          </w:tcPr>
          <w:p w14:paraId="7A3CE9E2"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r w:rsidR="00716D19" w:rsidRPr="00716D19" w14:paraId="591CED71" w14:textId="77777777" w:rsidTr="001E4C7C">
        <w:tc>
          <w:tcPr>
            <w:tcW w:w="2335" w:type="dxa"/>
            <w:tcBorders>
              <w:top w:val="nil"/>
              <w:left w:val="nil"/>
              <w:bottom w:val="single" w:sz="12" w:space="0" w:color="auto"/>
              <w:right w:val="nil"/>
            </w:tcBorders>
            <w:hideMark/>
          </w:tcPr>
          <w:p w14:paraId="3783C953" w14:textId="77777777" w:rsidR="00716D19" w:rsidRPr="00716D19" w:rsidRDefault="00716D19" w:rsidP="00716D19">
            <w:pPr>
              <w:spacing w:line="259" w:lineRule="auto"/>
              <w:jc w:val="both"/>
              <w:rPr>
                <w:rFonts w:ascii="Garamond" w:hAnsi="Garamond"/>
                <w:b/>
                <w:bCs/>
                <w:iCs/>
                <w:sz w:val="20"/>
                <w:szCs w:val="20"/>
                <w:lang w:val="en-GB"/>
              </w:rPr>
            </w:pPr>
            <w:r w:rsidRPr="00716D19">
              <w:rPr>
                <w:rFonts w:ascii="Garamond" w:hAnsi="Garamond"/>
                <w:b/>
                <w:bCs/>
                <w:iCs/>
                <w:sz w:val="20"/>
                <w:szCs w:val="20"/>
                <w:lang w:val="en-GB"/>
              </w:rPr>
              <w:t>PLTs (x10</w:t>
            </w:r>
            <w:r w:rsidRPr="00716D19">
              <w:rPr>
                <w:rFonts w:ascii="Garamond" w:hAnsi="Garamond"/>
                <w:b/>
                <w:bCs/>
                <w:iCs/>
                <w:sz w:val="20"/>
                <w:szCs w:val="20"/>
                <w:vertAlign w:val="superscript"/>
                <w:lang w:val="en-GB"/>
              </w:rPr>
              <w:t>9</w:t>
            </w:r>
            <w:r w:rsidRPr="00716D19">
              <w:rPr>
                <w:rFonts w:ascii="Garamond" w:hAnsi="Garamond"/>
                <w:b/>
                <w:bCs/>
                <w:iCs/>
                <w:sz w:val="20"/>
                <w:szCs w:val="20"/>
                <w:lang w:val="en-GB"/>
              </w:rPr>
              <w:t xml:space="preserve"> cells/L)</w:t>
            </w:r>
          </w:p>
        </w:tc>
        <w:tc>
          <w:tcPr>
            <w:tcW w:w="1710" w:type="dxa"/>
            <w:tcBorders>
              <w:top w:val="nil"/>
              <w:left w:val="nil"/>
              <w:bottom w:val="single" w:sz="12" w:space="0" w:color="auto"/>
              <w:right w:val="nil"/>
            </w:tcBorders>
            <w:hideMark/>
          </w:tcPr>
          <w:p w14:paraId="55CF4686"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435.9 ± 225.7</w:t>
            </w:r>
          </w:p>
        </w:tc>
        <w:tc>
          <w:tcPr>
            <w:tcW w:w="1710" w:type="dxa"/>
            <w:tcBorders>
              <w:top w:val="nil"/>
              <w:left w:val="nil"/>
              <w:bottom w:val="single" w:sz="12" w:space="0" w:color="auto"/>
              <w:right w:val="nil"/>
            </w:tcBorders>
            <w:hideMark/>
          </w:tcPr>
          <w:p w14:paraId="0BD16690"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lang w:val="en-GB"/>
              </w:rPr>
              <w:t>279.2 ± 83.3</w:t>
            </w:r>
          </w:p>
        </w:tc>
        <w:tc>
          <w:tcPr>
            <w:tcW w:w="1530" w:type="dxa"/>
            <w:tcBorders>
              <w:top w:val="nil"/>
              <w:left w:val="nil"/>
              <w:bottom w:val="single" w:sz="12" w:space="0" w:color="auto"/>
              <w:right w:val="nil"/>
            </w:tcBorders>
          </w:tcPr>
          <w:p w14:paraId="7B585AA8"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5.192</w:t>
            </w:r>
          </w:p>
        </w:tc>
        <w:tc>
          <w:tcPr>
            <w:tcW w:w="1446" w:type="dxa"/>
            <w:tcBorders>
              <w:top w:val="nil"/>
              <w:left w:val="nil"/>
              <w:bottom w:val="single" w:sz="12" w:space="0" w:color="auto"/>
              <w:right w:val="nil"/>
            </w:tcBorders>
          </w:tcPr>
          <w:p w14:paraId="079ACFA7"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0.000*</w:t>
            </w:r>
          </w:p>
        </w:tc>
      </w:tr>
    </w:tbl>
    <w:p w14:paraId="45CDF599" w14:textId="77777777" w:rsidR="00716D19" w:rsidRPr="00501798" w:rsidRDefault="00716D19" w:rsidP="00716D19">
      <w:pPr>
        <w:spacing w:line="259" w:lineRule="auto"/>
        <w:jc w:val="both"/>
        <w:rPr>
          <w:rFonts w:ascii="Garamond" w:hAnsi="Garamond"/>
          <w:iCs/>
          <w:sz w:val="16"/>
          <w:szCs w:val="16"/>
        </w:rPr>
      </w:pPr>
      <w:r w:rsidRPr="00716D19">
        <w:rPr>
          <w:rFonts w:ascii="Garamond" w:hAnsi="Garamond"/>
          <w:iCs/>
          <w:sz w:val="20"/>
          <w:szCs w:val="20"/>
        </w:rPr>
        <w:t>*</w:t>
      </w:r>
      <w:r w:rsidRPr="00501798">
        <w:rPr>
          <w:rFonts w:ascii="Garamond" w:hAnsi="Garamond"/>
          <w:iCs/>
          <w:sz w:val="16"/>
          <w:szCs w:val="16"/>
        </w:rPr>
        <w:t>Values are significantly different at p&lt;0.05</w:t>
      </w:r>
    </w:p>
    <w:p w14:paraId="0953B77E" w14:textId="77777777" w:rsidR="00716D19" w:rsidRPr="00501798" w:rsidRDefault="00716D19" w:rsidP="00716D19">
      <w:pPr>
        <w:spacing w:line="259" w:lineRule="auto"/>
        <w:jc w:val="both"/>
        <w:rPr>
          <w:rFonts w:ascii="Garamond" w:hAnsi="Garamond"/>
          <w:iCs/>
          <w:sz w:val="16"/>
          <w:szCs w:val="16"/>
        </w:rPr>
      </w:pPr>
      <w:r w:rsidRPr="00501798">
        <w:rPr>
          <w:rFonts w:ascii="Garamond" w:hAnsi="Garamond"/>
          <w:b/>
          <w:bCs/>
          <w:iCs/>
          <w:sz w:val="16"/>
          <w:szCs w:val="16"/>
        </w:rPr>
        <w:t>Keys:</w:t>
      </w:r>
      <w:r w:rsidRPr="00501798">
        <w:rPr>
          <w:rFonts w:ascii="Garamond" w:hAnsi="Garamond"/>
          <w:iCs/>
          <w:sz w:val="16"/>
          <w:szCs w:val="16"/>
        </w:rPr>
        <w:t xml:space="preserve"> </w:t>
      </w:r>
      <w:r w:rsidRPr="00501798">
        <w:rPr>
          <w:rFonts w:ascii="Garamond" w:hAnsi="Garamond"/>
          <w:b/>
          <w:bCs/>
          <w:iCs/>
          <w:sz w:val="16"/>
          <w:szCs w:val="16"/>
        </w:rPr>
        <w:t>KIM-1</w:t>
      </w:r>
      <w:r w:rsidRPr="00501798">
        <w:rPr>
          <w:rFonts w:ascii="Garamond" w:hAnsi="Garamond"/>
          <w:iCs/>
          <w:sz w:val="16"/>
          <w:szCs w:val="16"/>
        </w:rPr>
        <w:t xml:space="preserve">: Kidney Injury Molecule-1, </w:t>
      </w:r>
      <w:r w:rsidRPr="00501798">
        <w:rPr>
          <w:rFonts w:ascii="Garamond" w:hAnsi="Garamond"/>
          <w:b/>
          <w:bCs/>
          <w:iCs/>
          <w:sz w:val="16"/>
          <w:szCs w:val="16"/>
        </w:rPr>
        <w:t>NGAL</w:t>
      </w:r>
      <w:r w:rsidRPr="00501798">
        <w:rPr>
          <w:rFonts w:ascii="Garamond" w:hAnsi="Garamond"/>
          <w:iCs/>
          <w:sz w:val="16"/>
          <w:szCs w:val="16"/>
        </w:rPr>
        <w:t xml:space="preserve">: Neutrophil Gelatinase-associated Lipocalin, </w:t>
      </w:r>
      <w:r w:rsidRPr="00501798">
        <w:rPr>
          <w:rFonts w:ascii="Garamond" w:hAnsi="Garamond"/>
          <w:b/>
          <w:bCs/>
          <w:iCs/>
          <w:sz w:val="16"/>
          <w:szCs w:val="16"/>
        </w:rPr>
        <w:t>HP</w:t>
      </w:r>
      <w:r w:rsidRPr="00501798">
        <w:rPr>
          <w:rFonts w:ascii="Garamond" w:hAnsi="Garamond"/>
          <w:iCs/>
          <w:sz w:val="16"/>
          <w:szCs w:val="16"/>
        </w:rPr>
        <w:t xml:space="preserve">: Haptoglobin, </w:t>
      </w:r>
      <w:r w:rsidRPr="00501798">
        <w:rPr>
          <w:rFonts w:ascii="Garamond" w:hAnsi="Garamond"/>
          <w:b/>
          <w:bCs/>
          <w:iCs/>
          <w:sz w:val="16"/>
          <w:szCs w:val="16"/>
        </w:rPr>
        <w:t>PCV</w:t>
      </w:r>
      <w:r w:rsidRPr="00501798">
        <w:rPr>
          <w:rFonts w:ascii="Garamond" w:hAnsi="Garamond"/>
          <w:iCs/>
          <w:sz w:val="16"/>
          <w:szCs w:val="16"/>
        </w:rPr>
        <w:t xml:space="preserve">: Packed Cells Volume, </w:t>
      </w:r>
      <w:r w:rsidRPr="00501798">
        <w:rPr>
          <w:rFonts w:ascii="Garamond" w:hAnsi="Garamond"/>
          <w:b/>
          <w:bCs/>
          <w:iCs/>
          <w:sz w:val="16"/>
          <w:szCs w:val="16"/>
        </w:rPr>
        <w:t>Hb</w:t>
      </w:r>
      <w:r w:rsidRPr="00501798">
        <w:rPr>
          <w:rFonts w:ascii="Garamond" w:hAnsi="Garamond"/>
          <w:iCs/>
          <w:sz w:val="16"/>
          <w:szCs w:val="16"/>
        </w:rPr>
        <w:t xml:space="preserve">: </w:t>
      </w:r>
      <w:proofErr w:type="spellStart"/>
      <w:r w:rsidRPr="00501798">
        <w:rPr>
          <w:rFonts w:ascii="Garamond" w:hAnsi="Garamond"/>
          <w:iCs/>
          <w:sz w:val="16"/>
          <w:szCs w:val="16"/>
        </w:rPr>
        <w:t>Haemoglobin</w:t>
      </w:r>
      <w:proofErr w:type="spellEnd"/>
      <w:r w:rsidRPr="00501798">
        <w:rPr>
          <w:rFonts w:ascii="Garamond" w:hAnsi="Garamond"/>
          <w:iCs/>
          <w:sz w:val="16"/>
          <w:szCs w:val="16"/>
        </w:rPr>
        <w:t xml:space="preserve"> concentration, </w:t>
      </w:r>
      <w:r w:rsidRPr="00501798">
        <w:rPr>
          <w:rFonts w:ascii="Garamond" w:hAnsi="Garamond"/>
          <w:b/>
          <w:bCs/>
          <w:iCs/>
          <w:sz w:val="16"/>
          <w:szCs w:val="16"/>
        </w:rPr>
        <w:t>WBC</w:t>
      </w:r>
      <w:r w:rsidRPr="00501798">
        <w:rPr>
          <w:rFonts w:ascii="Garamond" w:hAnsi="Garamond"/>
          <w:iCs/>
          <w:sz w:val="16"/>
          <w:szCs w:val="16"/>
        </w:rPr>
        <w:t xml:space="preserve">: White Blood Cells Count, </w:t>
      </w:r>
      <w:r w:rsidRPr="00501798">
        <w:rPr>
          <w:rFonts w:ascii="Garamond" w:hAnsi="Garamond"/>
          <w:b/>
          <w:bCs/>
          <w:iCs/>
          <w:sz w:val="16"/>
          <w:szCs w:val="16"/>
        </w:rPr>
        <w:t>PLTs</w:t>
      </w:r>
      <w:r w:rsidRPr="00501798">
        <w:rPr>
          <w:rFonts w:ascii="Garamond" w:hAnsi="Garamond"/>
          <w:iCs/>
          <w:sz w:val="16"/>
          <w:szCs w:val="16"/>
        </w:rPr>
        <w:t>: Platelets count.</w:t>
      </w:r>
    </w:p>
    <w:p w14:paraId="6BB30622" w14:textId="77777777" w:rsidR="00716D19" w:rsidRPr="00716D19" w:rsidRDefault="00716D19" w:rsidP="00716D19">
      <w:pPr>
        <w:spacing w:line="259" w:lineRule="auto"/>
        <w:jc w:val="both"/>
        <w:rPr>
          <w:rFonts w:ascii="Garamond" w:hAnsi="Garamond"/>
          <w:iCs/>
          <w:sz w:val="20"/>
          <w:szCs w:val="20"/>
        </w:rPr>
      </w:pPr>
    </w:p>
    <w:p w14:paraId="1C36ADB5" w14:textId="77777777" w:rsidR="00716D19" w:rsidRPr="00716D19" w:rsidRDefault="00716D19" w:rsidP="00716D19">
      <w:pPr>
        <w:spacing w:line="259" w:lineRule="auto"/>
        <w:jc w:val="both"/>
        <w:rPr>
          <w:rFonts w:ascii="Garamond" w:hAnsi="Garamond"/>
          <w:iCs/>
          <w:sz w:val="20"/>
          <w:szCs w:val="20"/>
        </w:rPr>
      </w:pPr>
      <w:bookmarkStart w:id="10" w:name="_Hlk204360943"/>
      <w:r w:rsidRPr="00716D19">
        <w:rPr>
          <w:rFonts w:ascii="Garamond" w:hAnsi="Garamond"/>
          <w:b/>
          <w:bCs/>
          <w:iCs/>
          <w:sz w:val="20"/>
          <w:szCs w:val="20"/>
        </w:rPr>
        <w:t xml:space="preserve">Haptoglobin, creatinine, AKI markers and </w:t>
      </w:r>
      <w:proofErr w:type="spellStart"/>
      <w:r w:rsidRPr="00716D19">
        <w:rPr>
          <w:rFonts w:ascii="Garamond" w:hAnsi="Garamond"/>
          <w:b/>
          <w:bCs/>
          <w:iCs/>
          <w:sz w:val="20"/>
          <w:szCs w:val="20"/>
        </w:rPr>
        <w:t>haematological</w:t>
      </w:r>
      <w:proofErr w:type="spellEnd"/>
      <w:r w:rsidRPr="00716D19">
        <w:rPr>
          <w:rFonts w:ascii="Garamond" w:hAnsi="Garamond"/>
          <w:b/>
          <w:bCs/>
          <w:iCs/>
          <w:sz w:val="20"/>
          <w:szCs w:val="20"/>
        </w:rPr>
        <w:t xml:space="preserve"> parameters of homozygous SCD subjects and controls.</w:t>
      </w:r>
      <w:bookmarkEnd w:id="10"/>
    </w:p>
    <w:p w14:paraId="78B2AB2D"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 xml:space="preserve">Table 3 shows the haptoglobin, creatinine, novel AKI markers and </w:t>
      </w:r>
      <w:proofErr w:type="spellStart"/>
      <w:r w:rsidRPr="00716D19">
        <w:rPr>
          <w:rFonts w:ascii="Garamond" w:hAnsi="Garamond"/>
          <w:iCs/>
          <w:sz w:val="20"/>
          <w:szCs w:val="20"/>
        </w:rPr>
        <w:t>haematological</w:t>
      </w:r>
      <w:proofErr w:type="spellEnd"/>
      <w:r w:rsidRPr="00716D19">
        <w:rPr>
          <w:rFonts w:ascii="Garamond" w:hAnsi="Garamond"/>
          <w:iCs/>
          <w:sz w:val="20"/>
          <w:szCs w:val="20"/>
        </w:rPr>
        <w:t xml:space="preserve"> parameters of homozygous SCD (</w:t>
      </w:r>
      <w:proofErr w:type="spellStart"/>
      <w:r w:rsidRPr="00716D19">
        <w:rPr>
          <w:rFonts w:ascii="Garamond" w:hAnsi="Garamond"/>
          <w:iCs/>
          <w:sz w:val="20"/>
          <w:szCs w:val="20"/>
        </w:rPr>
        <w:t>HbSS</w:t>
      </w:r>
      <w:proofErr w:type="spellEnd"/>
      <w:r w:rsidRPr="00716D19">
        <w:rPr>
          <w:rFonts w:ascii="Garamond" w:hAnsi="Garamond"/>
          <w:iCs/>
          <w:sz w:val="20"/>
          <w:szCs w:val="20"/>
        </w:rPr>
        <w:t xml:space="preserve">) subjects and controls. </w:t>
      </w:r>
      <w:bookmarkStart w:id="11" w:name="_Hlk202091913"/>
      <w:r w:rsidRPr="00716D19">
        <w:rPr>
          <w:rFonts w:ascii="Garamond" w:hAnsi="Garamond"/>
          <w:iCs/>
          <w:sz w:val="20"/>
          <w:szCs w:val="20"/>
        </w:rPr>
        <w:t xml:space="preserve">The results obtained showed that the creatinine concentration for homozygous SCD subjects and controls was 200.1 ± 197.7 </w:t>
      </w:r>
      <w:r w:rsidRPr="00716D19">
        <w:rPr>
          <w:rFonts w:ascii="Garamond" w:hAnsi="Garamond"/>
          <w:iCs/>
          <w:sz w:val="20"/>
          <w:szCs w:val="20"/>
          <w:lang w:val="en-GB"/>
        </w:rPr>
        <w:t>and</w:t>
      </w:r>
      <w:r w:rsidRPr="00716D19">
        <w:rPr>
          <w:rFonts w:ascii="Garamond" w:hAnsi="Garamond"/>
          <w:b/>
          <w:bCs/>
          <w:iCs/>
          <w:sz w:val="20"/>
          <w:szCs w:val="20"/>
          <w:lang w:val="en-GB"/>
        </w:rPr>
        <w:t xml:space="preserve"> </w:t>
      </w:r>
      <w:r w:rsidRPr="00716D19">
        <w:rPr>
          <w:rFonts w:ascii="Garamond" w:hAnsi="Garamond"/>
          <w:iCs/>
          <w:sz w:val="20"/>
          <w:szCs w:val="20"/>
          <w:lang w:val="en-GB"/>
        </w:rPr>
        <w:t xml:space="preserve">73.5 ± 33.1, KIM-1 was </w:t>
      </w:r>
      <w:r w:rsidRPr="00716D19">
        <w:rPr>
          <w:rFonts w:ascii="Garamond" w:hAnsi="Garamond"/>
          <w:iCs/>
          <w:sz w:val="20"/>
          <w:szCs w:val="20"/>
        </w:rPr>
        <w:t xml:space="preserve">7.9 ± 5.1 </w:t>
      </w:r>
      <w:r w:rsidRPr="00716D19">
        <w:rPr>
          <w:rFonts w:ascii="Garamond" w:hAnsi="Garamond"/>
          <w:iCs/>
          <w:sz w:val="20"/>
          <w:szCs w:val="20"/>
          <w:lang w:val="en-GB"/>
        </w:rPr>
        <w:t xml:space="preserve">and 0.7 ± 0.4, NGAL was </w:t>
      </w:r>
      <w:r w:rsidRPr="00716D19">
        <w:rPr>
          <w:rFonts w:ascii="Garamond" w:hAnsi="Garamond"/>
          <w:iCs/>
          <w:sz w:val="20"/>
          <w:szCs w:val="20"/>
        </w:rPr>
        <w:t xml:space="preserve">84.5 ±14.7 </w:t>
      </w:r>
      <w:r w:rsidRPr="00716D19">
        <w:rPr>
          <w:rFonts w:ascii="Garamond" w:hAnsi="Garamond"/>
          <w:iCs/>
          <w:sz w:val="20"/>
          <w:szCs w:val="20"/>
          <w:lang w:val="en-GB"/>
        </w:rPr>
        <w:t xml:space="preserve">and 48.7 ± 4.8, IL-18 was </w:t>
      </w:r>
      <w:r w:rsidRPr="00716D19">
        <w:rPr>
          <w:rFonts w:ascii="Garamond" w:hAnsi="Garamond"/>
          <w:iCs/>
          <w:sz w:val="20"/>
          <w:szCs w:val="20"/>
        </w:rPr>
        <w:t>209.2 ± 70.4</w:t>
      </w:r>
      <w:r w:rsidRPr="00716D19">
        <w:rPr>
          <w:rFonts w:ascii="Garamond" w:hAnsi="Garamond"/>
          <w:iCs/>
          <w:sz w:val="20"/>
          <w:szCs w:val="20"/>
          <w:lang w:val="en-GB"/>
        </w:rPr>
        <w:t xml:space="preserve"> and 58.4 ± 18.0, HP was </w:t>
      </w:r>
      <w:r w:rsidRPr="00716D19">
        <w:rPr>
          <w:rFonts w:ascii="Garamond" w:hAnsi="Garamond"/>
          <w:iCs/>
          <w:sz w:val="20"/>
          <w:szCs w:val="20"/>
        </w:rPr>
        <w:t xml:space="preserve">55.6 ± 25.0 </w:t>
      </w:r>
      <w:r w:rsidRPr="00716D19">
        <w:rPr>
          <w:rFonts w:ascii="Garamond" w:hAnsi="Garamond"/>
          <w:iCs/>
          <w:sz w:val="20"/>
          <w:szCs w:val="20"/>
          <w:lang w:val="en-GB"/>
        </w:rPr>
        <w:t xml:space="preserve">and 140.6 ± 32.4, PCV was </w:t>
      </w:r>
      <w:r w:rsidRPr="00716D19">
        <w:rPr>
          <w:rFonts w:ascii="Garamond" w:hAnsi="Garamond"/>
          <w:iCs/>
          <w:sz w:val="20"/>
          <w:szCs w:val="20"/>
        </w:rPr>
        <w:t xml:space="preserve">22.0 ± 3.8 </w:t>
      </w:r>
      <w:r w:rsidRPr="00716D19">
        <w:rPr>
          <w:rFonts w:ascii="Garamond" w:hAnsi="Garamond"/>
          <w:iCs/>
          <w:sz w:val="20"/>
          <w:szCs w:val="20"/>
          <w:lang w:val="en-GB"/>
        </w:rPr>
        <w:t xml:space="preserve">and 37.8 ± 2.9, Hb was </w:t>
      </w:r>
      <w:r w:rsidRPr="00716D19">
        <w:rPr>
          <w:rFonts w:ascii="Garamond" w:hAnsi="Garamond"/>
          <w:iCs/>
          <w:sz w:val="20"/>
          <w:szCs w:val="20"/>
        </w:rPr>
        <w:t xml:space="preserve">7.1 ± 1.0 </w:t>
      </w:r>
      <w:r w:rsidRPr="00716D19">
        <w:rPr>
          <w:rFonts w:ascii="Garamond" w:hAnsi="Garamond"/>
          <w:iCs/>
          <w:sz w:val="20"/>
          <w:szCs w:val="20"/>
          <w:lang w:val="en-GB"/>
        </w:rPr>
        <w:t xml:space="preserve">and 13.7 ± 1.9, WBC was </w:t>
      </w:r>
      <w:r w:rsidRPr="00716D19">
        <w:rPr>
          <w:rFonts w:ascii="Garamond" w:hAnsi="Garamond"/>
          <w:iCs/>
          <w:sz w:val="20"/>
          <w:szCs w:val="20"/>
        </w:rPr>
        <w:t xml:space="preserve">18.5 ± 9.2 </w:t>
      </w:r>
      <w:r w:rsidRPr="00716D19">
        <w:rPr>
          <w:rFonts w:ascii="Garamond" w:hAnsi="Garamond"/>
          <w:iCs/>
          <w:sz w:val="20"/>
          <w:szCs w:val="20"/>
          <w:lang w:val="en-GB"/>
        </w:rPr>
        <w:t xml:space="preserve">and 7.5 ± 2.3, while PLT was </w:t>
      </w:r>
      <w:r w:rsidRPr="00716D19">
        <w:rPr>
          <w:rFonts w:ascii="Garamond" w:hAnsi="Garamond"/>
          <w:iCs/>
          <w:sz w:val="20"/>
          <w:szCs w:val="20"/>
        </w:rPr>
        <w:t>603.7 ± 208.8</w:t>
      </w:r>
      <w:r w:rsidRPr="00716D19">
        <w:rPr>
          <w:rFonts w:ascii="Garamond" w:hAnsi="Garamond"/>
          <w:iCs/>
          <w:sz w:val="20"/>
          <w:szCs w:val="20"/>
          <w:lang w:val="en-GB"/>
        </w:rPr>
        <w:t xml:space="preserve"> and 279.2 ± 83.3 respectively. KIM-1, NGAL, IL-18, WBC, and PLT levels were notably elevated in subjects with SCD compared to the control group, whereas PCV, Hb, and HP values were significantly reduced in homozygous SCD subjects relative to the controls. Nonetheless, there was no statistically significant difference observed in the creatinine levels between homozygous individuals and the controls.</w:t>
      </w:r>
    </w:p>
    <w:p w14:paraId="795DE6EA" w14:textId="77777777" w:rsidR="00716D19" w:rsidRPr="00716D19" w:rsidRDefault="00716D19" w:rsidP="00716D19">
      <w:pPr>
        <w:spacing w:line="259" w:lineRule="auto"/>
        <w:jc w:val="both"/>
        <w:rPr>
          <w:rFonts w:ascii="Garamond" w:hAnsi="Garamond"/>
          <w:b/>
          <w:bCs/>
          <w:iCs/>
          <w:sz w:val="20"/>
          <w:szCs w:val="20"/>
        </w:rPr>
      </w:pPr>
      <w:bookmarkStart w:id="12" w:name="_Hlk204360990"/>
      <w:r w:rsidRPr="00716D19">
        <w:rPr>
          <w:rFonts w:ascii="Garamond" w:hAnsi="Garamond"/>
          <w:b/>
          <w:bCs/>
          <w:iCs/>
          <w:sz w:val="20"/>
          <w:szCs w:val="20"/>
        </w:rPr>
        <w:t xml:space="preserve">Haptoglobin, creatinine, novel AKI markers and </w:t>
      </w:r>
      <w:proofErr w:type="spellStart"/>
      <w:r w:rsidRPr="00716D19">
        <w:rPr>
          <w:rFonts w:ascii="Garamond" w:hAnsi="Garamond"/>
          <w:b/>
          <w:bCs/>
          <w:iCs/>
          <w:sz w:val="20"/>
          <w:szCs w:val="20"/>
        </w:rPr>
        <w:t>haematological</w:t>
      </w:r>
      <w:proofErr w:type="spellEnd"/>
      <w:r w:rsidRPr="00716D19">
        <w:rPr>
          <w:rFonts w:ascii="Garamond" w:hAnsi="Garamond"/>
          <w:b/>
          <w:bCs/>
          <w:iCs/>
          <w:sz w:val="20"/>
          <w:szCs w:val="20"/>
        </w:rPr>
        <w:t xml:space="preserve"> parameters of heterozygous SCD subjects and controls.</w:t>
      </w:r>
      <w:bookmarkEnd w:id="12"/>
    </w:p>
    <w:p w14:paraId="22708BBB" w14:textId="77777777" w:rsidR="00716D19" w:rsidRPr="00716D19" w:rsidRDefault="00716D19" w:rsidP="00716D19">
      <w:pPr>
        <w:spacing w:line="259" w:lineRule="auto"/>
        <w:jc w:val="both"/>
        <w:rPr>
          <w:rFonts w:ascii="Garamond" w:hAnsi="Garamond"/>
          <w:iCs/>
          <w:sz w:val="20"/>
          <w:szCs w:val="20"/>
          <w:lang w:val="en-GB"/>
        </w:rPr>
      </w:pPr>
      <w:r w:rsidRPr="00716D19">
        <w:rPr>
          <w:rFonts w:ascii="Garamond" w:hAnsi="Garamond"/>
          <w:iCs/>
          <w:sz w:val="20"/>
          <w:szCs w:val="20"/>
        </w:rPr>
        <w:t xml:space="preserve">Table 3 showed that the creatinine concentration for heterozygous SCD subjects and controls was 182.01 ± 65.13 </w:t>
      </w:r>
      <w:r w:rsidRPr="00716D19">
        <w:rPr>
          <w:rFonts w:ascii="Garamond" w:hAnsi="Garamond"/>
          <w:iCs/>
          <w:sz w:val="20"/>
          <w:szCs w:val="20"/>
          <w:lang w:val="en-GB"/>
        </w:rPr>
        <w:t>and</w:t>
      </w:r>
      <w:r w:rsidRPr="00716D19">
        <w:rPr>
          <w:rFonts w:ascii="Garamond" w:hAnsi="Garamond"/>
          <w:b/>
          <w:bCs/>
          <w:iCs/>
          <w:sz w:val="20"/>
          <w:szCs w:val="20"/>
          <w:lang w:val="en-GB"/>
        </w:rPr>
        <w:t xml:space="preserve"> </w:t>
      </w:r>
      <w:r w:rsidRPr="00716D19">
        <w:rPr>
          <w:rFonts w:ascii="Garamond" w:hAnsi="Garamond"/>
          <w:iCs/>
          <w:sz w:val="20"/>
          <w:szCs w:val="20"/>
          <w:lang w:val="en-GB"/>
        </w:rPr>
        <w:t xml:space="preserve">73.5 ± 33.1, KIM-1 was </w:t>
      </w:r>
      <w:r w:rsidRPr="00716D19">
        <w:rPr>
          <w:rFonts w:ascii="Garamond" w:hAnsi="Garamond"/>
          <w:iCs/>
          <w:sz w:val="20"/>
          <w:szCs w:val="20"/>
        </w:rPr>
        <w:t xml:space="preserve">3.48 ± 0.92 </w:t>
      </w:r>
      <w:r w:rsidRPr="00716D19">
        <w:rPr>
          <w:rFonts w:ascii="Garamond" w:hAnsi="Garamond"/>
          <w:iCs/>
          <w:sz w:val="20"/>
          <w:szCs w:val="20"/>
          <w:lang w:val="en-GB"/>
        </w:rPr>
        <w:t xml:space="preserve">and 0.7 ± 0.4, NGAL was </w:t>
      </w:r>
      <w:r w:rsidRPr="00716D19">
        <w:rPr>
          <w:rFonts w:ascii="Garamond" w:hAnsi="Garamond"/>
          <w:iCs/>
          <w:sz w:val="20"/>
          <w:szCs w:val="20"/>
        </w:rPr>
        <w:t xml:space="preserve">65.20 ± 6.28 </w:t>
      </w:r>
      <w:r w:rsidRPr="00716D19">
        <w:rPr>
          <w:rFonts w:ascii="Garamond" w:hAnsi="Garamond"/>
          <w:iCs/>
          <w:sz w:val="20"/>
          <w:szCs w:val="20"/>
          <w:lang w:val="en-GB"/>
        </w:rPr>
        <w:t xml:space="preserve">and 48.7 ± 4.8, IL-18 was </w:t>
      </w:r>
      <w:r w:rsidRPr="00716D19">
        <w:rPr>
          <w:rFonts w:ascii="Garamond" w:hAnsi="Garamond"/>
          <w:iCs/>
          <w:sz w:val="20"/>
          <w:szCs w:val="20"/>
        </w:rPr>
        <w:t>140.00 ± 58.40</w:t>
      </w:r>
      <w:r w:rsidRPr="00716D19">
        <w:rPr>
          <w:rFonts w:ascii="Garamond" w:hAnsi="Garamond"/>
          <w:iCs/>
          <w:sz w:val="20"/>
          <w:szCs w:val="20"/>
          <w:lang w:val="en-GB"/>
        </w:rPr>
        <w:t xml:space="preserve"> and 58.4 ± 18.0, HP was </w:t>
      </w:r>
      <w:r w:rsidRPr="00716D19">
        <w:rPr>
          <w:rFonts w:ascii="Garamond" w:hAnsi="Garamond"/>
          <w:iCs/>
          <w:sz w:val="20"/>
          <w:szCs w:val="20"/>
        </w:rPr>
        <w:t xml:space="preserve">90.78 ± 29.00 </w:t>
      </w:r>
      <w:r w:rsidRPr="00716D19">
        <w:rPr>
          <w:rFonts w:ascii="Garamond" w:hAnsi="Garamond"/>
          <w:iCs/>
          <w:sz w:val="20"/>
          <w:szCs w:val="20"/>
          <w:lang w:val="en-GB"/>
        </w:rPr>
        <w:t xml:space="preserve">and 140.6 ± 32.4, PCV was </w:t>
      </w:r>
      <w:r w:rsidRPr="00716D19">
        <w:rPr>
          <w:rFonts w:ascii="Garamond" w:hAnsi="Garamond"/>
          <w:iCs/>
          <w:sz w:val="20"/>
          <w:szCs w:val="20"/>
        </w:rPr>
        <w:t xml:space="preserve">35.22 ± 6.38 </w:t>
      </w:r>
      <w:r w:rsidRPr="00716D19">
        <w:rPr>
          <w:rFonts w:ascii="Garamond" w:hAnsi="Garamond"/>
          <w:iCs/>
          <w:sz w:val="20"/>
          <w:szCs w:val="20"/>
          <w:lang w:val="en-GB"/>
        </w:rPr>
        <w:t xml:space="preserve">and 37.8 ± 2.9, Hb was </w:t>
      </w:r>
      <w:r w:rsidRPr="00716D19">
        <w:rPr>
          <w:rFonts w:ascii="Garamond" w:hAnsi="Garamond"/>
          <w:iCs/>
          <w:sz w:val="20"/>
          <w:szCs w:val="20"/>
        </w:rPr>
        <w:t xml:space="preserve">12.47 ± 1.90 </w:t>
      </w:r>
      <w:r w:rsidRPr="00716D19">
        <w:rPr>
          <w:rFonts w:ascii="Garamond" w:hAnsi="Garamond"/>
          <w:iCs/>
          <w:sz w:val="20"/>
          <w:szCs w:val="20"/>
          <w:lang w:val="en-GB"/>
        </w:rPr>
        <w:t xml:space="preserve">and 13.7 ± 1.9, WBC was </w:t>
      </w:r>
      <w:r w:rsidRPr="00716D19">
        <w:rPr>
          <w:rFonts w:ascii="Garamond" w:hAnsi="Garamond"/>
          <w:iCs/>
          <w:sz w:val="20"/>
          <w:szCs w:val="20"/>
        </w:rPr>
        <w:t xml:space="preserve">11.47 ± 5.95 </w:t>
      </w:r>
      <w:r w:rsidRPr="00716D19">
        <w:rPr>
          <w:rFonts w:ascii="Garamond" w:hAnsi="Garamond"/>
          <w:iCs/>
          <w:sz w:val="20"/>
          <w:szCs w:val="20"/>
          <w:lang w:val="en-GB"/>
        </w:rPr>
        <w:t xml:space="preserve">and 7.5 ± 2.3, while PLT was </w:t>
      </w:r>
      <w:r w:rsidRPr="00716D19">
        <w:rPr>
          <w:rFonts w:ascii="Garamond" w:hAnsi="Garamond"/>
          <w:iCs/>
          <w:sz w:val="20"/>
          <w:szCs w:val="20"/>
        </w:rPr>
        <w:t>248.44 ± 55.51</w:t>
      </w:r>
      <w:r w:rsidRPr="00716D19">
        <w:rPr>
          <w:rFonts w:ascii="Garamond" w:hAnsi="Garamond"/>
          <w:iCs/>
          <w:sz w:val="20"/>
          <w:szCs w:val="20"/>
          <w:lang w:val="en-GB"/>
        </w:rPr>
        <w:t xml:space="preserve"> and 279.2 ± 83.3 respectively</w:t>
      </w:r>
      <w:bookmarkEnd w:id="11"/>
      <w:r w:rsidRPr="00716D19">
        <w:rPr>
          <w:rFonts w:ascii="Garamond" w:hAnsi="Garamond"/>
          <w:iCs/>
          <w:sz w:val="20"/>
          <w:szCs w:val="20"/>
          <w:lang w:val="en-GB"/>
        </w:rPr>
        <w:t>. The levels of creatinine, KIM-1, NGAL, IL-18, and WBC were notably elevated in the heterozygous SCD participants compared to the control group, while HP was significantly lower in the heterozygous SCD participants in relation to the controls. However, there were no statistically significant differences observed between the WBC, Hb, and PCV values of the heterozygous SCD participants and those in the control group.</w:t>
      </w:r>
    </w:p>
    <w:p w14:paraId="596EB530" w14:textId="77777777" w:rsidR="004D6951" w:rsidRDefault="004D6951" w:rsidP="008B0BAA">
      <w:pPr>
        <w:spacing w:line="259" w:lineRule="auto"/>
        <w:jc w:val="both"/>
        <w:rPr>
          <w:rFonts w:ascii="Garamond" w:hAnsi="Garamond"/>
          <w:b/>
          <w:bCs/>
          <w:iCs/>
          <w:sz w:val="20"/>
          <w:szCs w:val="20"/>
        </w:rPr>
      </w:pPr>
    </w:p>
    <w:p w14:paraId="69FEAC6B" w14:textId="77777777" w:rsidR="004D6951" w:rsidRDefault="004D6951" w:rsidP="008B0BAA">
      <w:pPr>
        <w:spacing w:line="259" w:lineRule="auto"/>
        <w:jc w:val="both"/>
        <w:rPr>
          <w:rFonts w:ascii="Garamond" w:hAnsi="Garamond"/>
          <w:b/>
          <w:bCs/>
          <w:iCs/>
          <w:sz w:val="20"/>
          <w:szCs w:val="20"/>
        </w:rPr>
      </w:pPr>
    </w:p>
    <w:p w14:paraId="5AD43D39" w14:textId="77777777" w:rsidR="0049362C" w:rsidRDefault="0049362C" w:rsidP="008B0BAA">
      <w:pPr>
        <w:spacing w:line="259" w:lineRule="auto"/>
        <w:jc w:val="both"/>
        <w:rPr>
          <w:rFonts w:ascii="Garamond" w:hAnsi="Garamond"/>
          <w:b/>
          <w:bCs/>
          <w:iCs/>
          <w:sz w:val="20"/>
          <w:szCs w:val="20"/>
        </w:rPr>
      </w:pPr>
    </w:p>
    <w:p w14:paraId="22CDECA5" w14:textId="77777777" w:rsidR="0049362C" w:rsidRDefault="0049362C" w:rsidP="008B0BAA">
      <w:pPr>
        <w:spacing w:line="259" w:lineRule="auto"/>
        <w:jc w:val="both"/>
        <w:rPr>
          <w:rFonts w:ascii="Garamond" w:hAnsi="Garamond"/>
          <w:b/>
          <w:bCs/>
          <w:iCs/>
          <w:sz w:val="20"/>
          <w:szCs w:val="20"/>
        </w:rPr>
      </w:pPr>
    </w:p>
    <w:p w14:paraId="2BB82D1C" w14:textId="77777777" w:rsidR="00154710" w:rsidRDefault="00154710" w:rsidP="008B0BAA">
      <w:pPr>
        <w:spacing w:line="259" w:lineRule="auto"/>
        <w:jc w:val="both"/>
        <w:rPr>
          <w:rFonts w:ascii="Garamond" w:hAnsi="Garamond"/>
          <w:b/>
          <w:bCs/>
          <w:iCs/>
          <w:sz w:val="20"/>
          <w:szCs w:val="20"/>
        </w:rPr>
      </w:pPr>
    </w:p>
    <w:p w14:paraId="54A4DABF" w14:textId="77777777" w:rsidR="00154710" w:rsidRDefault="00154710" w:rsidP="008B0BAA">
      <w:pPr>
        <w:spacing w:line="259" w:lineRule="auto"/>
        <w:jc w:val="both"/>
        <w:rPr>
          <w:rFonts w:ascii="Garamond" w:hAnsi="Garamond"/>
          <w:b/>
          <w:bCs/>
          <w:iCs/>
          <w:sz w:val="20"/>
          <w:szCs w:val="20"/>
        </w:rPr>
      </w:pPr>
    </w:p>
    <w:p w14:paraId="7593F2AA" w14:textId="77777777" w:rsidR="00154710" w:rsidRDefault="00154710" w:rsidP="008B0BAA">
      <w:pPr>
        <w:spacing w:line="259" w:lineRule="auto"/>
        <w:jc w:val="both"/>
        <w:rPr>
          <w:rFonts w:ascii="Garamond" w:hAnsi="Garamond"/>
          <w:b/>
          <w:bCs/>
          <w:iCs/>
          <w:sz w:val="20"/>
          <w:szCs w:val="20"/>
        </w:rPr>
      </w:pPr>
    </w:p>
    <w:p w14:paraId="464DED9D" w14:textId="77777777" w:rsidR="00154710" w:rsidRDefault="00154710" w:rsidP="008B0BAA">
      <w:pPr>
        <w:spacing w:line="259" w:lineRule="auto"/>
        <w:jc w:val="both"/>
        <w:rPr>
          <w:rFonts w:ascii="Garamond" w:hAnsi="Garamond"/>
          <w:b/>
          <w:bCs/>
          <w:iCs/>
          <w:sz w:val="20"/>
          <w:szCs w:val="20"/>
        </w:rPr>
      </w:pPr>
    </w:p>
    <w:p w14:paraId="6E1A9D88" w14:textId="77777777" w:rsidR="00154710" w:rsidRDefault="00154710" w:rsidP="008B0BAA">
      <w:pPr>
        <w:spacing w:line="259" w:lineRule="auto"/>
        <w:jc w:val="both"/>
        <w:rPr>
          <w:rFonts w:ascii="Garamond" w:hAnsi="Garamond"/>
          <w:b/>
          <w:bCs/>
          <w:iCs/>
          <w:sz w:val="20"/>
          <w:szCs w:val="20"/>
        </w:rPr>
      </w:pPr>
    </w:p>
    <w:p w14:paraId="2647D6B2" w14:textId="77777777" w:rsidR="00154710" w:rsidRDefault="00154710" w:rsidP="008B0BAA">
      <w:pPr>
        <w:spacing w:line="259" w:lineRule="auto"/>
        <w:jc w:val="both"/>
        <w:rPr>
          <w:rFonts w:ascii="Garamond" w:hAnsi="Garamond"/>
          <w:b/>
          <w:bCs/>
          <w:iCs/>
          <w:sz w:val="20"/>
          <w:szCs w:val="20"/>
        </w:rPr>
      </w:pPr>
    </w:p>
    <w:p w14:paraId="130AB0FC" w14:textId="77777777" w:rsidR="00154710" w:rsidRDefault="00154710" w:rsidP="008B0BAA">
      <w:pPr>
        <w:spacing w:line="259" w:lineRule="auto"/>
        <w:jc w:val="both"/>
        <w:rPr>
          <w:rFonts w:ascii="Garamond" w:hAnsi="Garamond"/>
          <w:b/>
          <w:bCs/>
          <w:iCs/>
          <w:sz w:val="20"/>
          <w:szCs w:val="20"/>
        </w:rPr>
      </w:pPr>
    </w:p>
    <w:p w14:paraId="7AA6C974" w14:textId="77777777" w:rsidR="00154710" w:rsidRPr="00154710" w:rsidRDefault="00154710" w:rsidP="00154710">
      <w:pPr>
        <w:spacing w:line="259" w:lineRule="auto"/>
        <w:jc w:val="both"/>
        <w:rPr>
          <w:rFonts w:ascii="Garamond" w:hAnsi="Garamond"/>
          <w:b/>
          <w:bCs/>
          <w:iCs/>
          <w:sz w:val="20"/>
          <w:szCs w:val="20"/>
        </w:rPr>
      </w:pPr>
      <w:r w:rsidRPr="00154710">
        <w:rPr>
          <w:rFonts w:ascii="Garamond" w:hAnsi="Garamond"/>
          <w:b/>
          <w:bCs/>
          <w:iCs/>
          <w:sz w:val="20"/>
          <w:szCs w:val="20"/>
        </w:rPr>
        <w:lastRenderedPageBreak/>
        <w:t xml:space="preserve">Table 3: Haptoglobin, creatinine, AKI markers and </w:t>
      </w:r>
      <w:proofErr w:type="spellStart"/>
      <w:r w:rsidRPr="00154710">
        <w:rPr>
          <w:rFonts w:ascii="Garamond" w:hAnsi="Garamond"/>
          <w:b/>
          <w:bCs/>
          <w:iCs/>
          <w:sz w:val="20"/>
          <w:szCs w:val="20"/>
        </w:rPr>
        <w:t>haematological</w:t>
      </w:r>
      <w:proofErr w:type="spellEnd"/>
      <w:r w:rsidRPr="00154710">
        <w:rPr>
          <w:rFonts w:ascii="Garamond" w:hAnsi="Garamond"/>
          <w:b/>
          <w:bCs/>
          <w:iCs/>
          <w:sz w:val="20"/>
          <w:szCs w:val="20"/>
        </w:rPr>
        <w:t xml:space="preserve"> parameters of homozygous SCD (</w:t>
      </w:r>
      <w:proofErr w:type="spellStart"/>
      <w:r w:rsidRPr="00154710">
        <w:rPr>
          <w:rFonts w:ascii="Garamond" w:hAnsi="Garamond"/>
          <w:b/>
          <w:bCs/>
          <w:iCs/>
          <w:sz w:val="20"/>
          <w:szCs w:val="20"/>
        </w:rPr>
        <w:t>HbSS</w:t>
      </w:r>
      <w:proofErr w:type="spellEnd"/>
      <w:r w:rsidRPr="00154710">
        <w:rPr>
          <w:rFonts w:ascii="Garamond" w:hAnsi="Garamond"/>
          <w:b/>
          <w:bCs/>
          <w:iCs/>
          <w:sz w:val="20"/>
          <w:szCs w:val="20"/>
        </w:rPr>
        <w:t>) subjects, Heterozygous SCD (</w:t>
      </w:r>
      <w:proofErr w:type="spellStart"/>
      <w:r w:rsidRPr="00154710">
        <w:rPr>
          <w:rFonts w:ascii="Garamond" w:hAnsi="Garamond"/>
          <w:b/>
          <w:bCs/>
          <w:iCs/>
          <w:sz w:val="20"/>
          <w:szCs w:val="20"/>
        </w:rPr>
        <w:t>HbSC</w:t>
      </w:r>
      <w:proofErr w:type="spellEnd"/>
      <w:r w:rsidRPr="00154710">
        <w:rPr>
          <w:rFonts w:ascii="Garamond" w:hAnsi="Garamond"/>
          <w:b/>
          <w:bCs/>
          <w:iCs/>
          <w:sz w:val="20"/>
          <w:szCs w:val="20"/>
        </w:rPr>
        <w:t>) and controls.</w:t>
      </w:r>
    </w:p>
    <w:tbl>
      <w:tblPr>
        <w:tblStyle w:val="TableGrid"/>
        <w:tblW w:w="5649"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371"/>
        <w:gridCol w:w="1267"/>
        <w:gridCol w:w="734"/>
        <w:gridCol w:w="721"/>
        <w:gridCol w:w="1500"/>
        <w:gridCol w:w="1277"/>
        <w:gridCol w:w="827"/>
        <w:gridCol w:w="893"/>
      </w:tblGrid>
      <w:tr w:rsidR="00154710" w:rsidRPr="00154710" w14:paraId="3720C689" w14:textId="77777777" w:rsidTr="00154710">
        <w:trPr>
          <w:trHeight w:val="767"/>
        </w:trPr>
        <w:tc>
          <w:tcPr>
            <w:tcW w:w="939" w:type="pct"/>
            <w:tcBorders>
              <w:top w:val="single" w:sz="12" w:space="0" w:color="auto"/>
              <w:bottom w:val="single" w:sz="12" w:space="0" w:color="auto"/>
            </w:tcBorders>
            <w:hideMark/>
          </w:tcPr>
          <w:p w14:paraId="6B8B5210"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Variables</w:t>
            </w:r>
          </w:p>
        </w:tc>
        <w:tc>
          <w:tcPr>
            <w:tcW w:w="648" w:type="pct"/>
            <w:tcBorders>
              <w:top w:val="single" w:sz="12" w:space="0" w:color="auto"/>
              <w:bottom w:val="single" w:sz="12" w:space="0" w:color="auto"/>
            </w:tcBorders>
            <w:hideMark/>
          </w:tcPr>
          <w:p w14:paraId="5AD81171" w14:textId="77777777" w:rsidR="00154710" w:rsidRPr="00154710" w:rsidRDefault="00154710" w:rsidP="00154710">
            <w:pPr>
              <w:spacing w:line="259" w:lineRule="auto"/>
              <w:jc w:val="both"/>
              <w:rPr>
                <w:rFonts w:ascii="Garamond" w:hAnsi="Garamond"/>
                <w:b/>
                <w:bCs/>
                <w:iCs/>
                <w:sz w:val="20"/>
                <w:szCs w:val="20"/>
                <w:lang w:val="en-GB"/>
              </w:rPr>
            </w:pPr>
            <w:proofErr w:type="spellStart"/>
            <w:r w:rsidRPr="00154710">
              <w:rPr>
                <w:rFonts w:ascii="Garamond" w:hAnsi="Garamond"/>
                <w:b/>
                <w:bCs/>
                <w:iCs/>
                <w:sz w:val="20"/>
                <w:szCs w:val="20"/>
                <w:lang w:val="en-GB"/>
              </w:rPr>
              <w:t>HbSS</w:t>
            </w:r>
            <w:proofErr w:type="spellEnd"/>
            <w:r w:rsidRPr="00154710">
              <w:rPr>
                <w:rFonts w:ascii="Garamond" w:hAnsi="Garamond"/>
                <w:b/>
                <w:bCs/>
                <w:iCs/>
                <w:sz w:val="20"/>
                <w:szCs w:val="20"/>
                <w:lang w:val="en-GB"/>
              </w:rPr>
              <w:t xml:space="preserve"> Subjects</w:t>
            </w:r>
          </w:p>
          <w:p w14:paraId="2E220FF7"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Mean ± SD</w:t>
            </w:r>
          </w:p>
          <w:p w14:paraId="6BCB507E"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N = 28</w:t>
            </w:r>
          </w:p>
        </w:tc>
        <w:tc>
          <w:tcPr>
            <w:tcW w:w="599" w:type="pct"/>
            <w:tcBorders>
              <w:top w:val="single" w:sz="12" w:space="0" w:color="auto"/>
              <w:bottom w:val="single" w:sz="12" w:space="0" w:color="auto"/>
            </w:tcBorders>
            <w:hideMark/>
          </w:tcPr>
          <w:p w14:paraId="71DBE2D6"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Controls</w:t>
            </w:r>
          </w:p>
          <w:p w14:paraId="1B9A2FB2"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Mean ± SD</w:t>
            </w:r>
          </w:p>
          <w:p w14:paraId="05246E33"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N = 30</w:t>
            </w:r>
          </w:p>
        </w:tc>
        <w:tc>
          <w:tcPr>
            <w:tcW w:w="347" w:type="pct"/>
            <w:tcBorders>
              <w:top w:val="single" w:sz="12" w:space="0" w:color="auto"/>
              <w:bottom w:val="single" w:sz="12" w:space="0" w:color="auto"/>
            </w:tcBorders>
          </w:tcPr>
          <w:p w14:paraId="61A44649"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t-value</w:t>
            </w:r>
          </w:p>
        </w:tc>
        <w:tc>
          <w:tcPr>
            <w:tcW w:w="341" w:type="pct"/>
            <w:tcBorders>
              <w:top w:val="single" w:sz="12" w:space="0" w:color="auto"/>
              <w:bottom w:val="single" w:sz="12" w:space="0" w:color="auto"/>
              <w:right w:val="single" w:sz="4" w:space="0" w:color="auto"/>
            </w:tcBorders>
          </w:tcPr>
          <w:p w14:paraId="76293B5A"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p-value</w:t>
            </w:r>
          </w:p>
        </w:tc>
        <w:tc>
          <w:tcPr>
            <w:tcW w:w="709" w:type="pct"/>
            <w:tcBorders>
              <w:top w:val="single" w:sz="12" w:space="0" w:color="auto"/>
              <w:left w:val="single" w:sz="4" w:space="0" w:color="auto"/>
              <w:bottom w:val="single" w:sz="12" w:space="0" w:color="auto"/>
            </w:tcBorders>
          </w:tcPr>
          <w:p w14:paraId="26D6EDEC" w14:textId="77777777" w:rsidR="00154710" w:rsidRPr="00154710" w:rsidRDefault="00154710" w:rsidP="00154710">
            <w:pPr>
              <w:spacing w:line="259" w:lineRule="auto"/>
              <w:jc w:val="both"/>
              <w:rPr>
                <w:rFonts w:ascii="Garamond" w:hAnsi="Garamond"/>
                <w:b/>
                <w:bCs/>
                <w:iCs/>
                <w:sz w:val="20"/>
                <w:szCs w:val="20"/>
                <w:lang w:val="en-GB"/>
              </w:rPr>
            </w:pPr>
            <w:proofErr w:type="spellStart"/>
            <w:r w:rsidRPr="00154710">
              <w:rPr>
                <w:rFonts w:ascii="Garamond" w:hAnsi="Garamond"/>
                <w:b/>
                <w:bCs/>
                <w:iCs/>
                <w:sz w:val="20"/>
                <w:szCs w:val="20"/>
                <w:lang w:val="en-GB"/>
              </w:rPr>
              <w:t>HbSC</w:t>
            </w:r>
            <w:proofErr w:type="spellEnd"/>
            <w:r w:rsidRPr="00154710">
              <w:rPr>
                <w:rFonts w:ascii="Garamond" w:hAnsi="Garamond"/>
                <w:b/>
                <w:bCs/>
                <w:iCs/>
                <w:sz w:val="20"/>
                <w:szCs w:val="20"/>
                <w:lang w:val="en-GB"/>
              </w:rPr>
              <w:t xml:space="preserve"> Subjects</w:t>
            </w:r>
          </w:p>
          <w:p w14:paraId="1E7244E3"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Mean ± SD</w:t>
            </w:r>
          </w:p>
          <w:p w14:paraId="20C97D40"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N = 9</w:t>
            </w:r>
          </w:p>
        </w:tc>
        <w:tc>
          <w:tcPr>
            <w:tcW w:w="604" w:type="pct"/>
            <w:tcBorders>
              <w:top w:val="single" w:sz="12" w:space="0" w:color="auto"/>
              <w:bottom w:val="single" w:sz="12" w:space="0" w:color="auto"/>
            </w:tcBorders>
          </w:tcPr>
          <w:p w14:paraId="6CD6D059"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Controls</w:t>
            </w:r>
          </w:p>
          <w:p w14:paraId="0803C6D8"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Mean ± SD</w:t>
            </w:r>
          </w:p>
          <w:p w14:paraId="13EFFE26"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N = 30</w:t>
            </w:r>
          </w:p>
        </w:tc>
        <w:tc>
          <w:tcPr>
            <w:tcW w:w="391" w:type="pct"/>
            <w:tcBorders>
              <w:top w:val="single" w:sz="12" w:space="0" w:color="auto"/>
              <w:bottom w:val="single" w:sz="12" w:space="0" w:color="auto"/>
            </w:tcBorders>
          </w:tcPr>
          <w:p w14:paraId="78F5BBB0"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t-value</w:t>
            </w:r>
          </w:p>
        </w:tc>
        <w:tc>
          <w:tcPr>
            <w:tcW w:w="422" w:type="pct"/>
            <w:tcBorders>
              <w:top w:val="single" w:sz="12" w:space="0" w:color="auto"/>
              <w:bottom w:val="single" w:sz="12" w:space="0" w:color="auto"/>
            </w:tcBorders>
          </w:tcPr>
          <w:p w14:paraId="062E3E82"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p-value</w:t>
            </w:r>
          </w:p>
        </w:tc>
      </w:tr>
      <w:tr w:rsidR="00154710" w:rsidRPr="00154710" w14:paraId="384670CB" w14:textId="77777777" w:rsidTr="00154710">
        <w:trPr>
          <w:trHeight w:val="245"/>
        </w:trPr>
        <w:tc>
          <w:tcPr>
            <w:tcW w:w="939" w:type="pct"/>
            <w:tcBorders>
              <w:top w:val="single" w:sz="12" w:space="0" w:color="auto"/>
            </w:tcBorders>
            <w:hideMark/>
          </w:tcPr>
          <w:p w14:paraId="7F6D5048"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Creatinine (µmol/L)</w:t>
            </w:r>
          </w:p>
        </w:tc>
        <w:tc>
          <w:tcPr>
            <w:tcW w:w="648" w:type="pct"/>
            <w:tcBorders>
              <w:top w:val="single" w:sz="12" w:space="0" w:color="auto"/>
            </w:tcBorders>
          </w:tcPr>
          <w:p w14:paraId="1FADC42F"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iCs/>
                <w:sz w:val="20"/>
                <w:szCs w:val="20"/>
              </w:rPr>
              <w:t>200.1 ± 197.7</w:t>
            </w:r>
          </w:p>
        </w:tc>
        <w:tc>
          <w:tcPr>
            <w:tcW w:w="599" w:type="pct"/>
            <w:tcBorders>
              <w:top w:val="single" w:sz="12" w:space="0" w:color="auto"/>
            </w:tcBorders>
          </w:tcPr>
          <w:p w14:paraId="684BF372"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73.5 ± 33.1</w:t>
            </w:r>
          </w:p>
        </w:tc>
        <w:tc>
          <w:tcPr>
            <w:tcW w:w="347" w:type="pct"/>
            <w:tcBorders>
              <w:top w:val="single" w:sz="12" w:space="0" w:color="auto"/>
            </w:tcBorders>
          </w:tcPr>
          <w:p w14:paraId="44C75B5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1.883</w:t>
            </w:r>
          </w:p>
        </w:tc>
        <w:tc>
          <w:tcPr>
            <w:tcW w:w="341" w:type="pct"/>
            <w:tcBorders>
              <w:top w:val="single" w:sz="12" w:space="0" w:color="auto"/>
              <w:right w:val="single" w:sz="4" w:space="0" w:color="auto"/>
            </w:tcBorders>
          </w:tcPr>
          <w:p w14:paraId="2F080D45"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0.068</w:t>
            </w:r>
          </w:p>
        </w:tc>
        <w:tc>
          <w:tcPr>
            <w:tcW w:w="709" w:type="pct"/>
            <w:tcBorders>
              <w:top w:val="single" w:sz="12" w:space="0" w:color="auto"/>
              <w:left w:val="single" w:sz="4" w:space="0" w:color="auto"/>
            </w:tcBorders>
          </w:tcPr>
          <w:p w14:paraId="62F1E2C9"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iCs/>
                <w:sz w:val="20"/>
                <w:szCs w:val="20"/>
              </w:rPr>
              <w:t>182.01 ± 65.13</w:t>
            </w:r>
          </w:p>
        </w:tc>
        <w:tc>
          <w:tcPr>
            <w:tcW w:w="604" w:type="pct"/>
            <w:tcBorders>
              <w:top w:val="single" w:sz="12" w:space="0" w:color="auto"/>
            </w:tcBorders>
          </w:tcPr>
          <w:p w14:paraId="7496273C"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73.5 ± 33.1</w:t>
            </w:r>
          </w:p>
        </w:tc>
        <w:tc>
          <w:tcPr>
            <w:tcW w:w="391" w:type="pct"/>
            <w:tcBorders>
              <w:top w:val="single" w:sz="12" w:space="0" w:color="auto"/>
            </w:tcBorders>
          </w:tcPr>
          <w:p w14:paraId="3F6C306B"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4.655</w:t>
            </w:r>
          </w:p>
        </w:tc>
        <w:tc>
          <w:tcPr>
            <w:tcW w:w="422" w:type="pct"/>
            <w:tcBorders>
              <w:top w:val="single" w:sz="12" w:space="0" w:color="auto"/>
            </w:tcBorders>
          </w:tcPr>
          <w:p w14:paraId="348A4A05"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r>
      <w:tr w:rsidR="00154710" w:rsidRPr="00154710" w14:paraId="0801D3E9" w14:textId="77777777" w:rsidTr="00154710">
        <w:trPr>
          <w:trHeight w:val="235"/>
        </w:trPr>
        <w:tc>
          <w:tcPr>
            <w:tcW w:w="939" w:type="pct"/>
            <w:hideMark/>
          </w:tcPr>
          <w:p w14:paraId="0161E076"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KIM-1 (</w:t>
            </w:r>
            <w:proofErr w:type="spellStart"/>
            <w:r w:rsidRPr="00154710">
              <w:rPr>
                <w:rFonts w:ascii="Garamond" w:hAnsi="Garamond"/>
                <w:b/>
                <w:bCs/>
                <w:iCs/>
                <w:sz w:val="20"/>
                <w:szCs w:val="20"/>
                <w:lang w:val="en-GB"/>
              </w:rPr>
              <w:t>pg</w:t>
            </w:r>
            <w:proofErr w:type="spellEnd"/>
            <w:r w:rsidRPr="00154710">
              <w:rPr>
                <w:rFonts w:ascii="Garamond" w:hAnsi="Garamond"/>
                <w:b/>
                <w:bCs/>
                <w:iCs/>
                <w:sz w:val="20"/>
                <w:szCs w:val="20"/>
                <w:lang w:val="en-GB"/>
              </w:rPr>
              <w:t>/mL)</w:t>
            </w:r>
          </w:p>
        </w:tc>
        <w:tc>
          <w:tcPr>
            <w:tcW w:w="648" w:type="pct"/>
          </w:tcPr>
          <w:p w14:paraId="22ECB1A3"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7.9 ± 5.1</w:t>
            </w:r>
          </w:p>
        </w:tc>
        <w:tc>
          <w:tcPr>
            <w:tcW w:w="599" w:type="pct"/>
          </w:tcPr>
          <w:p w14:paraId="6D67787B"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0.7 ± 0.4</w:t>
            </w:r>
          </w:p>
        </w:tc>
        <w:tc>
          <w:tcPr>
            <w:tcW w:w="347" w:type="pct"/>
          </w:tcPr>
          <w:p w14:paraId="3585E9DA"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4.419</w:t>
            </w:r>
          </w:p>
        </w:tc>
        <w:tc>
          <w:tcPr>
            <w:tcW w:w="341" w:type="pct"/>
            <w:tcBorders>
              <w:right w:val="single" w:sz="4" w:space="0" w:color="auto"/>
            </w:tcBorders>
          </w:tcPr>
          <w:p w14:paraId="6D692649"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tcBorders>
          </w:tcPr>
          <w:p w14:paraId="75EEB36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3.48 ± 0.92</w:t>
            </w:r>
          </w:p>
        </w:tc>
        <w:tc>
          <w:tcPr>
            <w:tcW w:w="604" w:type="pct"/>
          </w:tcPr>
          <w:p w14:paraId="6165846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0.7 ± 0.4</w:t>
            </w:r>
          </w:p>
        </w:tc>
        <w:tc>
          <w:tcPr>
            <w:tcW w:w="391" w:type="pct"/>
          </w:tcPr>
          <w:p w14:paraId="0E956BB7"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8.713</w:t>
            </w:r>
          </w:p>
        </w:tc>
        <w:tc>
          <w:tcPr>
            <w:tcW w:w="422" w:type="pct"/>
          </w:tcPr>
          <w:p w14:paraId="15520E7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r>
      <w:tr w:rsidR="00154710" w:rsidRPr="00154710" w14:paraId="05D40C70" w14:textId="77777777" w:rsidTr="00154710">
        <w:trPr>
          <w:trHeight w:val="235"/>
        </w:trPr>
        <w:tc>
          <w:tcPr>
            <w:tcW w:w="939" w:type="pct"/>
            <w:hideMark/>
          </w:tcPr>
          <w:p w14:paraId="492B3B9B"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NGAL (</w:t>
            </w:r>
            <w:proofErr w:type="spellStart"/>
            <w:r w:rsidRPr="00154710">
              <w:rPr>
                <w:rFonts w:ascii="Garamond" w:hAnsi="Garamond"/>
                <w:b/>
                <w:bCs/>
                <w:iCs/>
                <w:sz w:val="20"/>
                <w:szCs w:val="20"/>
                <w:lang w:val="en-GB"/>
              </w:rPr>
              <w:t>pg</w:t>
            </w:r>
            <w:proofErr w:type="spellEnd"/>
            <w:r w:rsidRPr="00154710">
              <w:rPr>
                <w:rFonts w:ascii="Garamond" w:hAnsi="Garamond"/>
                <w:b/>
                <w:bCs/>
                <w:iCs/>
                <w:sz w:val="20"/>
                <w:szCs w:val="20"/>
                <w:lang w:val="en-GB"/>
              </w:rPr>
              <w:t>/mL)</w:t>
            </w:r>
          </w:p>
        </w:tc>
        <w:tc>
          <w:tcPr>
            <w:tcW w:w="648" w:type="pct"/>
          </w:tcPr>
          <w:p w14:paraId="1A9A785C"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84.5 ±14.7</w:t>
            </w:r>
          </w:p>
        </w:tc>
        <w:tc>
          <w:tcPr>
            <w:tcW w:w="599" w:type="pct"/>
          </w:tcPr>
          <w:p w14:paraId="33082D1A"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48.7 ± 4.8</w:t>
            </w:r>
          </w:p>
        </w:tc>
        <w:tc>
          <w:tcPr>
            <w:tcW w:w="347" w:type="pct"/>
          </w:tcPr>
          <w:p w14:paraId="5BB70374"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7.259</w:t>
            </w:r>
          </w:p>
        </w:tc>
        <w:tc>
          <w:tcPr>
            <w:tcW w:w="341" w:type="pct"/>
            <w:tcBorders>
              <w:right w:val="single" w:sz="4" w:space="0" w:color="auto"/>
            </w:tcBorders>
          </w:tcPr>
          <w:p w14:paraId="170C5E26"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tcBorders>
          </w:tcPr>
          <w:p w14:paraId="50848596"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65.20 ± 6.28</w:t>
            </w:r>
          </w:p>
        </w:tc>
        <w:tc>
          <w:tcPr>
            <w:tcW w:w="604" w:type="pct"/>
          </w:tcPr>
          <w:p w14:paraId="0705A4A9"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48.7 ± 4.8</w:t>
            </w:r>
          </w:p>
        </w:tc>
        <w:tc>
          <w:tcPr>
            <w:tcW w:w="391" w:type="pct"/>
          </w:tcPr>
          <w:p w14:paraId="7E8AA0B6"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6.457</w:t>
            </w:r>
          </w:p>
        </w:tc>
        <w:tc>
          <w:tcPr>
            <w:tcW w:w="422" w:type="pct"/>
          </w:tcPr>
          <w:p w14:paraId="27446499"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r>
      <w:tr w:rsidR="00154710" w:rsidRPr="00154710" w14:paraId="72AC84E7" w14:textId="77777777" w:rsidTr="00154710">
        <w:trPr>
          <w:trHeight w:val="235"/>
        </w:trPr>
        <w:tc>
          <w:tcPr>
            <w:tcW w:w="939" w:type="pct"/>
            <w:hideMark/>
          </w:tcPr>
          <w:p w14:paraId="32EDE9C6"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IL-18 (</w:t>
            </w:r>
            <w:proofErr w:type="spellStart"/>
            <w:r w:rsidRPr="00154710">
              <w:rPr>
                <w:rFonts w:ascii="Garamond" w:hAnsi="Garamond"/>
                <w:b/>
                <w:bCs/>
                <w:iCs/>
                <w:sz w:val="20"/>
                <w:szCs w:val="20"/>
                <w:lang w:val="en-GB"/>
              </w:rPr>
              <w:t>pg</w:t>
            </w:r>
            <w:proofErr w:type="spellEnd"/>
            <w:r w:rsidRPr="00154710">
              <w:rPr>
                <w:rFonts w:ascii="Garamond" w:hAnsi="Garamond"/>
                <w:b/>
                <w:bCs/>
                <w:iCs/>
                <w:sz w:val="20"/>
                <w:szCs w:val="20"/>
                <w:lang w:val="en-GB"/>
              </w:rPr>
              <w:t>/mL)</w:t>
            </w:r>
          </w:p>
        </w:tc>
        <w:tc>
          <w:tcPr>
            <w:tcW w:w="648" w:type="pct"/>
          </w:tcPr>
          <w:p w14:paraId="6C2E1689"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209.2 ± 70.4</w:t>
            </w:r>
          </w:p>
        </w:tc>
        <w:tc>
          <w:tcPr>
            <w:tcW w:w="599" w:type="pct"/>
          </w:tcPr>
          <w:p w14:paraId="3F237C2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58.4 ± 18.0</w:t>
            </w:r>
          </w:p>
        </w:tc>
        <w:tc>
          <w:tcPr>
            <w:tcW w:w="347" w:type="pct"/>
          </w:tcPr>
          <w:p w14:paraId="4F5EE412"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6.354</w:t>
            </w:r>
          </w:p>
        </w:tc>
        <w:tc>
          <w:tcPr>
            <w:tcW w:w="341" w:type="pct"/>
            <w:tcBorders>
              <w:right w:val="single" w:sz="4" w:space="0" w:color="auto"/>
            </w:tcBorders>
          </w:tcPr>
          <w:p w14:paraId="066062B4"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tcBorders>
          </w:tcPr>
          <w:p w14:paraId="3AB756E7"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140.00 ± 58.40</w:t>
            </w:r>
          </w:p>
        </w:tc>
        <w:tc>
          <w:tcPr>
            <w:tcW w:w="604" w:type="pct"/>
          </w:tcPr>
          <w:p w14:paraId="268DA8A5"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58.4 ± 18.0</w:t>
            </w:r>
          </w:p>
        </w:tc>
        <w:tc>
          <w:tcPr>
            <w:tcW w:w="391" w:type="pct"/>
          </w:tcPr>
          <w:p w14:paraId="238B9BC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4.212</w:t>
            </w:r>
          </w:p>
        </w:tc>
        <w:tc>
          <w:tcPr>
            <w:tcW w:w="422" w:type="pct"/>
          </w:tcPr>
          <w:p w14:paraId="3DE41954"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0.001*</w:t>
            </w:r>
          </w:p>
        </w:tc>
      </w:tr>
      <w:tr w:rsidR="00154710" w:rsidRPr="00154710" w14:paraId="365F0B6A" w14:textId="77777777" w:rsidTr="00154710">
        <w:trPr>
          <w:trHeight w:val="235"/>
        </w:trPr>
        <w:tc>
          <w:tcPr>
            <w:tcW w:w="939" w:type="pct"/>
            <w:hideMark/>
          </w:tcPr>
          <w:p w14:paraId="5F738681"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HP (ng/mL)</w:t>
            </w:r>
          </w:p>
        </w:tc>
        <w:tc>
          <w:tcPr>
            <w:tcW w:w="648" w:type="pct"/>
          </w:tcPr>
          <w:p w14:paraId="6DFBF4FA"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55.6 ± 25.0</w:t>
            </w:r>
          </w:p>
        </w:tc>
        <w:tc>
          <w:tcPr>
            <w:tcW w:w="599" w:type="pct"/>
          </w:tcPr>
          <w:p w14:paraId="75F20D2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140.6 ± 32.4</w:t>
            </w:r>
          </w:p>
        </w:tc>
        <w:tc>
          <w:tcPr>
            <w:tcW w:w="347" w:type="pct"/>
          </w:tcPr>
          <w:p w14:paraId="61EFBEED"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8.096</w:t>
            </w:r>
          </w:p>
        </w:tc>
        <w:tc>
          <w:tcPr>
            <w:tcW w:w="341" w:type="pct"/>
            <w:tcBorders>
              <w:right w:val="single" w:sz="4" w:space="0" w:color="auto"/>
            </w:tcBorders>
          </w:tcPr>
          <w:p w14:paraId="457C6CA1"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tcBorders>
          </w:tcPr>
          <w:p w14:paraId="516030DB"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90.78 ± 29.00</w:t>
            </w:r>
          </w:p>
        </w:tc>
        <w:tc>
          <w:tcPr>
            <w:tcW w:w="604" w:type="pct"/>
          </w:tcPr>
          <w:p w14:paraId="723F2FA0"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140.6 ± 32.4</w:t>
            </w:r>
          </w:p>
        </w:tc>
        <w:tc>
          <w:tcPr>
            <w:tcW w:w="391" w:type="pct"/>
          </w:tcPr>
          <w:p w14:paraId="7D1306CE"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3.517</w:t>
            </w:r>
          </w:p>
        </w:tc>
        <w:tc>
          <w:tcPr>
            <w:tcW w:w="422" w:type="pct"/>
          </w:tcPr>
          <w:p w14:paraId="5DF90C70"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0.003*</w:t>
            </w:r>
          </w:p>
        </w:tc>
      </w:tr>
      <w:tr w:rsidR="00154710" w:rsidRPr="00154710" w14:paraId="1E8F066E" w14:textId="77777777" w:rsidTr="00154710">
        <w:trPr>
          <w:trHeight w:val="245"/>
        </w:trPr>
        <w:tc>
          <w:tcPr>
            <w:tcW w:w="939" w:type="pct"/>
            <w:hideMark/>
          </w:tcPr>
          <w:p w14:paraId="7745BC78"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PCV (%)</w:t>
            </w:r>
          </w:p>
        </w:tc>
        <w:tc>
          <w:tcPr>
            <w:tcW w:w="648" w:type="pct"/>
          </w:tcPr>
          <w:p w14:paraId="495C3510"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22.0 ±3.8</w:t>
            </w:r>
          </w:p>
        </w:tc>
        <w:tc>
          <w:tcPr>
            <w:tcW w:w="599" w:type="pct"/>
          </w:tcPr>
          <w:p w14:paraId="716C8F2F"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37.8 ± 2.9</w:t>
            </w:r>
          </w:p>
        </w:tc>
        <w:tc>
          <w:tcPr>
            <w:tcW w:w="347" w:type="pct"/>
          </w:tcPr>
          <w:p w14:paraId="6CBDFF40"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17.766</w:t>
            </w:r>
          </w:p>
        </w:tc>
        <w:tc>
          <w:tcPr>
            <w:tcW w:w="341" w:type="pct"/>
            <w:tcBorders>
              <w:right w:val="single" w:sz="4" w:space="0" w:color="auto"/>
            </w:tcBorders>
          </w:tcPr>
          <w:p w14:paraId="4FF619C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tcBorders>
          </w:tcPr>
          <w:p w14:paraId="2F47FE46"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35.22 ± 6.38</w:t>
            </w:r>
          </w:p>
        </w:tc>
        <w:tc>
          <w:tcPr>
            <w:tcW w:w="604" w:type="pct"/>
          </w:tcPr>
          <w:p w14:paraId="77F29D7E"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37.8 ± 2.9</w:t>
            </w:r>
          </w:p>
        </w:tc>
        <w:tc>
          <w:tcPr>
            <w:tcW w:w="391" w:type="pct"/>
          </w:tcPr>
          <w:p w14:paraId="3190D15A"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1.727</w:t>
            </w:r>
          </w:p>
        </w:tc>
        <w:tc>
          <w:tcPr>
            <w:tcW w:w="422" w:type="pct"/>
          </w:tcPr>
          <w:p w14:paraId="1BBC36CD"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0.093</w:t>
            </w:r>
          </w:p>
        </w:tc>
      </w:tr>
      <w:tr w:rsidR="00154710" w:rsidRPr="00154710" w14:paraId="2CBA0B10" w14:textId="77777777" w:rsidTr="00154710">
        <w:trPr>
          <w:trHeight w:val="235"/>
        </w:trPr>
        <w:tc>
          <w:tcPr>
            <w:tcW w:w="939" w:type="pct"/>
            <w:hideMark/>
          </w:tcPr>
          <w:p w14:paraId="6FF66706"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Hb (g/dL)</w:t>
            </w:r>
          </w:p>
        </w:tc>
        <w:tc>
          <w:tcPr>
            <w:tcW w:w="648" w:type="pct"/>
          </w:tcPr>
          <w:p w14:paraId="5ADB52CE"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7.1 ± 1.0</w:t>
            </w:r>
          </w:p>
        </w:tc>
        <w:tc>
          <w:tcPr>
            <w:tcW w:w="599" w:type="pct"/>
          </w:tcPr>
          <w:p w14:paraId="2B048BF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13.7 ± 1.9</w:t>
            </w:r>
          </w:p>
        </w:tc>
        <w:tc>
          <w:tcPr>
            <w:tcW w:w="347" w:type="pct"/>
          </w:tcPr>
          <w:p w14:paraId="687A687B"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16.504</w:t>
            </w:r>
          </w:p>
        </w:tc>
        <w:tc>
          <w:tcPr>
            <w:tcW w:w="341" w:type="pct"/>
            <w:tcBorders>
              <w:right w:val="single" w:sz="4" w:space="0" w:color="auto"/>
            </w:tcBorders>
          </w:tcPr>
          <w:p w14:paraId="3B072A26"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tcBorders>
          </w:tcPr>
          <w:p w14:paraId="1CE8CA20"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12.47 ± 1.90</w:t>
            </w:r>
          </w:p>
        </w:tc>
        <w:tc>
          <w:tcPr>
            <w:tcW w:w="604" w:type="pct"/>
          </w:tcPr>
          <w:p w14:paraId="299EEAB1"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13.7 ± 1.9</w:t>
            </w:r>
          </w:p>
        </w:tc>
        <w:tc>
          <w:tcPr>
            <w:tcW w:w="391" w:type="pct"/>
          </w:tcPr>
          <w:p w14:paraId="509E6390"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1.764</w:t>
            </w:r>
          </w:p>
        </w:tc>
        <w:tc>
          <w:tcPr>
            <w:tcW w:w="422" w:type="pct"/>
          </w:tcPr>
          <w:p w14:paraId="675E6E4A"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0.086</w:t>
            </w:r>
          </w:p>
        </w:tc>
      </w:tr>
      <w:tr w:rsidR="00154710" w:rsidRPr="00154710" w14:paraId="4223818A" w14:textId="77777777" w:rsidTr="00154710">
        <w:trPr>
          <w:trHeight w:val="235"/>
        </w:trPr>
        <w:tc>
          <w:tcPr>
            <w:tcW w:w="939" w:type="pct"/>
            <w:hideMark/>
          </w:tcPr>
          <w:p w14:paraId="78473A27"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WBC (x10</w:t>
            </w:r>
            <w:r w:rsidRPr="00154710">
              <w:rPr>
                <w:rFonts w:ascii="Garamond" w:hAnsi="Garamond"/>
                <w:b/>
                <w:bCs/>
                <w:iCs/>
                <w:sz w:val="20"/>
                <w:szCs w:val="20"/>
                <w:vertAlign w:val="superscript"/>
                <w:lang w:val="en-GB"/>
              </w:rPr>
              <w:t>9</w:t>
            </w:r>
            <w:r w:rsidRPr="00154710">
              <w:rPr>
                <w:rFonts w:ascii="Garamond" w:hAnsi="Garamond"/>
                <w:b/>
                <w:bCs/>
                <w:iCs/>
                <w:sz w:val="20"/>
                <w:szCs w:val="20"/>
                <w:lang w:val="en-GB"/>
              </w:rPr>
              <w:t xml:space="preserve"> cells/L)</w:t>
            </w:r>
          </w:p>
        </w:tc>
        <w:tc>
          <w:tcPr>
            <w:tcW w:w="648" w:type="pct"/>
          </w:tcPr>
          <w:p w14:paraId="5F8EE619"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18.5 ± 9.2</w:t>
            </w:r>
          </w:p>
        </w:tc>
        <w:tc>
          <w:tcPr>
            <w:tcW w:w="599" w:type="pct"/>
          </w:tcPr>
          <w:p w14:paraId="081E37B5"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7.5 ± 2.3</w:t>
            </w:r>
          </w:p>
        </w:tc>
        <w:tc>
          <w:tcPr>
            <w:tcW w:w="347" w:type="pct"/>
          </w:tcPr>
          <w:p w14:paraId="0A4BE071"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6.374</w:t>
            </w:r>
          </w:p>
        </w:tc>
        <w:tc>
          <w:tcPr>
            <w:tcW w:w="341" w:type="pct"/>
            <w:tcBorders>
              <w:right w:val="single" w:sz="4" w:space="0" w:color="auto"/>
            </w:tcBorders>
          </w:tcPr>
          <w:p w14:paraId="1BEDFFAF"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tcBorders>
          </w:tcPr>
          <w:p w14:paraId="14768BA2"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11.47 ± 5.95</w:t>
            </w:r>
          </w:p>
        </w:tc>
        <w:tc>
          <w:tcPr>
            <w:tcW w:w="604" w:type="pct"/>
          </w:tcPr>
          <w:p w14:paraId="22D77C07"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7.5 ± 2.3</w:t>
            </w:r>
          </w:p>
        </w:tc>
        <w:tc>
          <w:tcPr>
            <w:tcW w:w="391" w:type="pct"/>
          </w:tcPr>
          <w:p w14:paraId="3FBDD888"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3.092</w:t>
            </w:r>
          </w:p>
        </w:tc>
        <w:tc>
          <w:tcPr>
            <w:tcW w:w="422" w:type="pct"/>
          </w:tcPr>
          <w:p w14:paraId="7128B7E3"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0.004*</w:t>
            </w:r>
          </w:p>
        </w:tc>
      </w:tr>
      <w:tr w:rsidR="00154710" w:rsidRPr="00154710" w14:paraId="14864A9C" w14:textId="77777777" w:rsidTr="00154710">
        <w:trPr>
          <w:trHeight w:val="311"/>
        </w:trPr>
        <w:tc>
          <w:tcPr>
            <w:tcW w:w="939" w:type="pct"/>
            <w:tcBorders>
              <w:bottom w:val="single" w:sz="12" w:space="0" w:color="auto"/>
            </w:tcBorders>
            <w:hideMark/>
          </w:tcPr>
          <w:p w14:paraId="672D718F" w14:textId="77777777" w:rsidR="00154710" w:rsidRPr="00154710" w:rsidRDefault="00154710" w:rsidP="00154710">
            <w:pPr>
              <w:spacing w:line="259" w:lineRule="auto"/>
              <w:jc w:val="both"/>
              <w:rPr>
                <w:rFonts w:ascii="Garamond" w:hAnsi="Garamond"/>
                <w:b/>
                <w:bCs/>
                <w:iCs/>
                <w:sz w:val="20"/>
                <w:szCs w:val="20"/>
                <w:lang w:val="en-GB"/>
              </w:rPr>
            </w:pPr>
            <w:r w:rsidRPr="00154710">
              <w:rPr>
                <w:rFonts w:ascii="Garamond" w:hAnsi="Garamond"/>
                <w:b/>
                <w:bCs/>
                <w:iCs/>
                <w:sz w:val="20"/>
                <w:szCs w:val="20"/>
                <w:lang w:val="en-GB"/>
              </w:rPr>
              <w:t>PLTs (x10</w:t>
            </w:r>
            <w:r w:rsidRPr="00154710">
              <w:rPr>
                <w:rFonts w:ascii="Garamond" w:hAnsi="Garamond"/>
                <w:b/>
                <w:bCs/>
                <w:iCs/>
                <w:sz w:val="20"/>
                <w:szCs w:val="20"/>
                <w:vertAlign w:val="superscript"/>
                <w:lang w:val="en-GB"/>
              </w:rPr>
              <w:t>9</w:t>
            </w:r>
            <w:r w:rsidRPr="00154710">
              <w:rPr>
                <w:rFonts w:ascii="Garamond" w:hAnsi="Garamond"/>
                <w:b/>
                <w:bCs/>
                <w:iCs/>
                <w:sz w:val="20"/>
                <w:szCs w:val="20"/>
                <w:lang w:val="en-GB"/>
              </w:rPr>
              <w:t xml:space="preserve"> cells/L)</w:t>
            </w:r>
          </w:p>
        </w:tc>
        <w:tc>
          <w:tcPr>
            <w:tcW w:w="648" w:type="pct"/>
            <w:tcBorders>
              <w:bottom w:val="single" w:sz="12" w:space="0" w:color="auto"/>
            </w:tcBorders>
          </w:tcPr>
          <w:p w14:paraId="556A6067"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603.7 ± 208.8</w:t>
            </w:r>
          </w:p>
        </w:tc>
        <w:tc>
          <w:tcPr>
            <w:tcW w:w="599" w:type="pct"/>
            <w:tcBorders>
              <w:bottom w:val="single" w:sz="12" w:space="0" w:color="auto"/>
            </w:tcBorders>
          </w:tcPr>
          <w:p w14:paraId="6D012702"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279.2 ± 83.3</w:t>
            </w:r>
          </w:p>
        </w:tc>
        <w:tc>
          <w:tcPr>
            <w:tcW w:w="347" w:type="pct"/>
            <w:tcBorders>
              <w:bottom w:val="single" w:sz="12" w:space="0" w:color="auto"/>
            </w:tcBorders>
          </w:tcPr>
          <w:p w14:paraId="60425E87"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7.873</w:t>
            </w:r>
          </w:p>
        </w:tc>
        <w:tc>
          <w:tcPr>
            <w:tcW w:w="341" w:type="pct"/>
            <w:tcBorders>
              <w:bottom w:val="single" w:sz="12" w:space="0" w:color="auto"/>
              <w:right w:val="single" w:sz="4" w:space="0" w:color="auto"/>
            </w:tcBorders>
          </w:tcPr>
          <w:p w14:paraId="6D3142F9"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0.000*</w:t>
            </w:r>
          </w:p>
        </w:tc>
        <w:tc>
          <w:tcPr>
            <w:tcW w:w="709" w:type="pct"/>
            <w:tcBorders>
              <w:left w:val="single" w:sz="4" w:space="0" w:color="auto"/>
              <w:bottom w:val="single" w:sz="12" w:space="0" w:color="auto"/>
            </w:tcBorders>
          </w:tcPr>
          <w:p w14:paraId="15E333CF"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248.44 ± 55.51</w:t>
            </w:r>
          </w:p>
        </w:tc>
        <w:tc>
          <w:tcPr>
            <w:tcW w:w="604" w:type="pct"/>
            <w:tcBorders>
              <w:bottom w:val="single" w:sz="12" w:space="0" w:color="auto"/>
            </w:tcBorders>
          </w:tcPr>
          <w:p w14:paraId="48474EA9"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279.2 ± 83.3</w:t>
            </w:r>
          </w:p>
        </w:tc>
        <w:tc>
          <w:tcPr>
            <w:tcW w:w="391" w:type="pct"/>
            <w:tcBorders>
              <w:bottom w:val="single" w:sz="12" w:space="0" w:color="auto"/>
            </w:tcBorders>
          </w:tcPr>
          <w:p w14:paraId="72A187A7"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1.036</w:t>
            </w:r>
          </w:p>
        </w:tc>
        <w:tc>
          <w:tcPr>
            <w:tcW w:w="422" w:type="pct"/>
            <w:tcBorders>
              <w:bottom w:val="single" w:sz="12" w:space="0" w:color="auto"/>
            </w:tcBorders>
          </w:tcPr>
          <w:p w14:paraId="39DDFED7" w14:textId="77777777" w:rsidR="00154710" w:rsidRPr="00154710" w:rsidRDefault="00154710" w:rsidP="00154710">
            <w:pPr>
              <w:spacing w:line="259" w:lineRule="auto"/>
              <w:jc w:val="both"/>
              <w:rPr>
                <w:rFonts w:ascii="Garamond" w:hAnsi="Garamond"/>
                <w:iCs/>
                <w:sz w:val="20"/>
                <w:szCs w:val="20"/>
                <w:lang w:val="en-GB"/>
              </w:rPr>
            </w:pPr>
            <w:r w:rsidRPr="00154710">
              <w:rPr>
                <w:rFonts w:ascii="Garamond" w:hAnsi="Garamond"/>
                <w:iCs/>
                <w:sz w:val="20"/>
                <w:szCs w:val="20"/>
              </w:rPr>
              <w:t>0.307</w:t>
            </w:r>
          </w:p>
        </w:tc>
      </w:tr>
    </w:tbl>
    <w:p w14:paraId="7EE9079A" w14:textId="77777777" w:rsidR="00154710" w:rsidRPr="00A32F47" w:rsidRDefault="00154710" w:rsidP="00154710">
      <w:pPr>
        <w:spacing w:line="259" w:lineRule="auto"/>
        <w:jc w:val="both"/>
        <w:rPr>
          <w:rFonts w:ascii="Garamond" w:hAnsi="Garamond"/>
          <w:iCs/>
          <w:sz w:val="16"/>
          <w:szCs w:val="16"/>
        </w:rPr>
      </w:pPr>
      <w:r w:rsidRPr="00A32F47">
        <w:rPr>
          <w:rFonts w:ascii="Garamond" w:hAnsi="Garamond"/>
          <w:iCs/>
          <w:sz w:val="16"/>
          <w:szCs w:val="16"/>
        </w:rPr>
        <w:t>*Values are significantly different at p&lt;0.05</w:t>
      </w:r>
    </w:p>
    <w:p w14:paraId="4CD5A358" w14:textId="77777777" w:rsidR="00154710" w:rsidRPr="00A32F47" w:rsidRDefault="00154710" w:rsidP="00154710">
      <w:pPr>
        <w:spacing w:line="259" w:lineRule="auto"/>
        <w:jc w:val="both"/>
        <w:rPr>
          <w:rFonts w:ascii="Garamond" w:hAnsi="Garamond"/>
          <w:iCs/>
          <w:sz w:val="16"/>
          <w:szCs w:val="16"/>
        </w:rPr>
      </w:pPr>
      <w:r w:rsidRPr="00A32F47">
        <w:rPr>
          <w:rFonts w:ascii="Garamond" w:hAnsi="Garamond"/>
          <w:b/>
          <w:bCs/>
          <w:iCs/>
          <w:sz w:val="16"/>
          <w:szCs w:val="16"/>
        </w:rPr>
        <w:t>Keys:</w:t>
      </w:r>
      <w:r w:rsidRPr="00A32F47">
        <w:rPr>
          <w:rFonts w:ascii="Garamond" w:hAnsi="Garamond"/>
          <w:iCs/>
          <w:sz w:val="16"/>
          <w:szCs w:val="16"/>
        </w:rPr>
        <w:t xml:space="preserve"> </w:t>
      </w:r>
      <w:r w:rsidRPr="00A32F47">
        <w:rPr>
          <w:rFonts w:ascii="Garamond" w:hAnsi="Garamond"/>
          <w:b/>
          <w:bCs/>
          <w:iCs/>
          <w:sz w:val="16"/>
          <w:szCs w:val="16"/>
        </w:rPr>
        <w:t>KIM-1</w:t>
      </w:r>
      <w:r w:rsidRPr="00A32F47">
        <w:rPr>
          <w:rFonts w:ascii="Garamond" w:hAnsi="Garamond"/>
          <w:iCs/>
          <w:sz w:val="16"/>
          <w:szCs w:val="16"/>
        </w:rPr>
        <w:t xml:space="preserve">: Kidney Injury Molecule-1, </w:t>
      </w:r>
      <w:r w:rsidRPr="00A32F47">
        <w:rPr>
          <w:rFonts w:ascii="Garamond" w:hAnsi="Garamond"/>
          <w:b/>
          <w:bCs/>
          <w:iCs/>
          <w:sz w:val="16"/>
          <w:szCs w:val="16"/>
        </w:rPr>
        <w:t>NGAL</w:t>
      </w:r>
      <w:r w:rsidRPr="00A32F47">
        <w:rPr>
          <w:rFonts w:ascii="Garamond" w:hAnsi="Garamond"/>
          <w:iCs/>
          <w:sz w:val="16"/>
          <w:szCs w:val="16"/>
        </w:rPr>
        <w:t xml:space="preserve">: Neutrophil Gelatinase-associated Lipocalin, </w:t>
      </w:r>
      <w:r w:rsidRPr="00A32F47">
        <w:rPr>
          <w:rFonts w:ascii="Garamond" w:hAnsi="Garamond"/>
          <w:b/>
          <w:bCs/>
          <w:iCs/>
          <w:sz w:val="16"/>
          <w:szCs w:val="16"/>
        </w:rPr>
        <w:t>HP</w:t>
      </w:r>
      <w:r w:rsidRPr="00A32F47">
        <w:rPr>
          <w:rFonts w:ascii="Garamond" w:hAnsi="Garamond"/>
          <w:iCs/>
          <w:sz w:val="16"/>
          <w:szCs w:val="16"/>
        </w:rPr>
        <w:t xml:space="preserve">: Haptoglobin, </w:t>
      </w:r>
      <w:r w:rsidRPr="00A32F47">
        <w:rPr>
          <w:rFonts w:ascii="Garamond" w:hAnsi="Garamond"/>
          <w:b/>
          <w:bCs/>
          <w:iCs/>
          <w:sz w:val="16"/>
          <w:szCs w:val="16"/>
        </w:rPr>
        <w:t>PCV</w:t>
      </w:r>
      <w:r w:rsidRPr="00A32F47">
        <w:rPr>
          <w:rFonts w:ascii="Garamond" w:hAnsi="Garamond"/>
          <w:iCs/>
          <w:sz w:val="16"/>
          <w:szCs w:val="16"/>
        </w:rPr>
        <w:t xml:space="preserve">: Packed Cells Volume, </w:t>
      </w:r>
      <w:r w:rsidRPr="00A32F47">
        <w:rPr>
          <w:rFonts w:ascii="Garamond" w:hAnsi="Garamond"/>
          <w:b/>
          <w:bCs/>
          <w:iCs/>
          <w:sz w:val="16"/>
          <w:szCs w:val="16"/>
        </w:rPr>
        <w:t>Hb</w:t>
      </w:r>
      <w:r w:rsidRPr="00A32F47">
        <w:rPr>
          <w:rFonts w:ascii="Garamond" w:hAnsi="Garamond"/>
          <w:iCs/>
          <w:sz w:val="16"/>
          <w:szCs w:val="16"/>
        </w:rPr>
        <w:t xml:space="preserve">: </w:t>
      </w:r>
      <w:proofErr w:type="spellStart"/>
      <w:r w:rsidRPr="00A32F47">
        <w:rPr>
          <w:rFonts w:ascii="Garamond" w:hAnsi="Garamond"/>
          <w:iCs/>
          <w:sz w:val="16"/>
          <w:szCs w:val="16"/>
        </w:rPr>
        <w:t>Haemoglobin</w:t>
      </w:r>
      <w:proofErr w:type="spellEnd"/>
      <w:r w:rsidRPr="00A32F47">
        <w:rPr>
          <w:rFonts w:ascii="Garamond" w:hAnsi="Garamond"/>
          <w:iCs/>
          <w:sz w:val="16"/>
          <w:szCs w:val="16"/>
        </w:rPr>
        <w:t xml:space="preserve"> concentration, </w:t>
      </w:r>
      <w:r w:rsidRPr="00A32F47">
        <w:rPr>
          <w:rFonts w:ascii="Garamond" w:hAnsi="Garamond"/>
          <w:b/>
          <w:bCs/>
          <w:iCs/>
          <w:sz w:val="16"/>
          <w:szCs w:val="16"/>
        </w:rPr>
        <w:t>WBC</w:t>
      </w:r>
      <w:r w:rsidRPr="00A32F47">
        <w:rPr>
          <w:rFonts w:ascii="Garamond" w:hAnsi="Garamond"/>
          <w:iCs/>
          <w:sz w:val="16"/>
          <w:szCs w:val="16"/>
        </w:rPr>
        <w:t xml:space="preserve">: White Blood Cells Count, </w:t>
      </w:r>
      <w:r w:rsidRPr="00A32F47">
        <w:rPr>
          <w:rFonts w:ascii="Garamond" w:hAnsi="Garamond"/>
          <w:b/>
          <w:bCs/>
          <w:iCs/>
          <w:sz w:val="16"/>
          <w:szCs w:val="16"/>
        </w:rPr>
        <w:t>PLTs</w:t>
      </w:r>
      <w:r w:rsidRPr="00A32F47">
        <w:rPr>
          <w:rFonts w:ascii="Garamond" w:hAnsi="Garamond"/>
          <w:iCs/>
          <w:sz w:val="16"/>
          <w:szCs w:val="16"/>
        </w:rPr>
        <w:t>: Platelets count.</w:t>
      </w:r>
    </w:p>
    <w:p w14:paraId="229A74C2" w14:textId="77777777" w:rsidR="00154710" w:rsidRDefault="00154710" w:rsidP="008B0BAA">
      <w:pPr>
        <w:spacing w:line="259" w:lineRule="auto"/>
        <w:jc w:val="both"/>
        <w:rPr>
          <w:rFonts w:ascii="Garamond" w:hAnsi="Garamond"/>
          <w:iCs/>
          <w:sz w:val="20"/>
          <w:szCs w:val="20"/>
        </w:rPr>
      </w:pPr>
    </w:p>
    <w:p w14:paraId="6E105573" w14:textId="77777777" w:rsidR="00637BD4" w:rsidRPr="00637BD4" w:rsidRDefault="00637BD4" w:rsidP="00637BD4">
      <w:pPr>
        <w:spacing w:line="259" w:lineRule="auto"/>
        <w:jc w:val="both"/>
        <w:rPr>
          <w:rFonts w:ascii="Garamond" w:hAnsi="Garamond"/>
          <w:b/>
          <w:bCs/>
          <w:iCs/>
          <w:sz w:val="20"/>
          <w:szCs w:val="20"/>
        </w:rPr>
      </w:pPr>
      <w:bookmarkStart w:id="13" w:name="_Hlk204361303"/>
      <w:r w:rsidRPr="00637BD4">
        <w:rPr>
          <w:rFonts w:ascii="Garamond" w:hAnsi="Garamond"/>
          <w:b/>
          <w:bCs/>
          <w:iCs/>
          <w:sz w:val="20"/>
          <w:szCs w:val="20"/>
        </w:rPr>
        <w:t xml:space="preserve">Haptoglobin, creatinine, novel AKI markers and </w:t>
      </w:r>
      <w:proofErr w:type="spellStart"/>
      <w:r w:rsidRPr="00637BD4">
        <w:rPr>
          <w:rFonts w:ascii="Garamond" w:hAnsi="Garamond"/>
          <w:b/>
          <w:bCs/>
          <w:iCs/>
          <w:sz w:val="20"/>
          <w:szCs w:val="20"/>
        </w:rPr>
        <w:t>haematological</w:t>
      </w:r>
      <w:proofErr w:type="spellEnd"/>
      <w:r w:rsidRPr="00637BD4">
        <w:rPr>
          <w:rFonts w:ascii="Garamond" w:hAnsi="Garamond"/>
          <w:b/>
          <w:bCs/>
          <w:iCs/>
          <w:sz w:val="20"/>
          <w:szCs w:val="20"/>
        </w:rPr>
        <w:t xml:space="preserve"> parameters of steady homozygous SCD and homozygous SCD subjects in crisis.</w:t>
      </w:r>
    </w:p>
    <w:bookmarkEnd w:id="13"/>
    <w:p w14:paraId="03AB1232"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 xml:space="preserve">Table 4 presents the concentrations of serum haptoglobin, creatinine, novel acute kidney injury (AKI) biomarkers, and </w:t>
      </w:r>
      <w:proofErr w:type="spellStart"/>
      <w:r w:rsidRPr="00637BD4">
        <w:rPr>
          <w:rFonts w:ascii="Garamond" w:hAnsi="Garamond"/>
          <w:iCs/>
          <w:sz w:val="20"/>
          <w:szCs w:val="20"/>
        </w:rPr>
        <w:t>haematological</w:t>
      </w:r>
      <w:proofErr w:type="spellEnd"/>
      <w:r w:rsidRPr="00637BD4">
        <w:rPr>
          <w:rFonts w:ascii="Garamond" w:hAnsi="Garamond"/>
          <w:iCs/>
          <w:sz w:val="20"/>
          <w:szCs w:val="20"/>
        </w:rPr>
        <w:t xml:space="preserve"> parameters among stable homozygous sickle cell disease (SCD) subjects and those experiencing a crisis. The findings indicated that the creatinine levels for stable homozygous SCD and SCD subjects in crisis were recorded at 132.3 ± 54.6 and 206.9 ± 173.0, respectively; KIM-1 values were 5.8 ± 3.8 and 9.5 ± 5.0; NGAL measured 75.1 ± 9.5 and 98.1 ± 9.1; IL-18 concentrations were 168.7 ± 39.9 and 268.1 ± 63.8; haptoglobin (HP) levels were 68.3 ± 22.9 and 37.3 ± 14.7; packed cell volume (PCV) was consistent at 22.0 ± 3.9 and 22.0 ± 3.6; hemoglobin (Hb) was recorded at 7.6 ± 1.1 and 6.4 ± 0.3; white blood cell (WBC) counts were 20.3 ± 11.1 and 16.0 ± 5.2; and platelet (PLT) counts were 615.0 ± 214.9 and 588.8 ± 208.6, respectively. The levels of creatinine, KIM-1, NGAL, and IL-18 were found to be markedly higher in the homozygous SCD subjects experiencing a crisis compared to those in a steady state, while HP and Hb levels were notably lower in the crisis-affected homozygous SCD subjects in comparison to their steady counterparts. However, there were no statistically significant differences observed in the PCV, WBC, and PLT measurements between the two groups.</w:t>
      </w:r>
    </w:p>
    <w:p w14:paraId="54E5AD8D" w14:textId="77777777" w:rsidR="00637BD4" w:rsidRPr="00637BD4" w:rsidRDefault="00637BD4" w:rsidP="00637BD4">
      <w:pPr>
        <w:spacing w:line="259" w:lineRule="auto"/>
        <w:jc w:val="both"/>
        <w:rPr>
          <w:rFonts w:ascii="Garamond" w:hAnsi="Garamond"/>
          <w:b/>
          <w:bCs/>
          <w:iCs/>
          <w:sz w:val="20"/>
          <w:szCs w:val="20"/>
        </w:rPr>
      </w:pPr>
      <w:r w:rsidRPr="00637BD4">
        <w:rPr>
          <w:rFonts w:ascii="Garamond" w:hAnsi="Garamond"/>
          <w:b/>
          <w:bCs/>
          <w:iCs/>
          <w:sz w:val="20"/>
          <w:szCs w:val="20"/>
        </w:rPr>
        <w:t xml:space="preserve">Haptoglobin, creatinine, AKI markers and </w:t>
      </w:r>
      <w:proofErr w:type="spellStart"/>
      <w:r w:rsidRPr="00637BD4">
        <w:rPr>
          <w:rFonts w:ascii="Garamond" w:hAnsi="Garamond"/>
          <w:b/>
          <w:bCs/>
          <w:iCs/>
          <w:sz w:val="20"/>
          <w:szCs w:val="20"/>
        </w:rPr>
        <w:t>haematological</w:t>
      </w:r>
      <w:proofErr w:type="spellEnd"/>
      <w:r w:rsidRPr="00637BD4">
        <w:rPr>
          <w:rFonts w:ascii="Garamond" w:hAnsi="Garamond"/>
          <w:b/>
          <w:bCs/>
          <w:iCs/>
          <w:sz w:val="20"/>
          <w:szCs w:val="20"/>
        </w:rPr>
        <w:t xml:space="preserve"> parameters of steady heterozygous SCD and heterozygous SCD in crisis.</w:t>
      </w:r>
    </w:p>
    <w:p w14:paraId="0A3FEC91" w14:textId="77777777" w:rsidR="00637BD4" w:rsidRPr="00637BD4" w:rsidRDefault="00637BD4" w:rsidP="00637BD4">
      <w:pPr>
        <w:spacing w:line="259" w:lineRule="auto"/>
        <w:jc w:val="both"/>
        <w:rPr>
          <w:rFonts w:ascii="Garamond" w:hAnsi="Garamond"/>
          <w:iCs/>
          <w:sz w:val="20"/>
          <w:szCs w:val="20"/>
          <w:lang w:val="en-GB"/>
        </w:rPr>
      </w:pPr>
      <w:r w:rsidRPr="00637BD4">
        <w:rPr>
          <w:rFonts w:ascii="Garamond" w:hAnsi="Garamond"/>
          <w:iCs/>
          <w:sz w:val="20"/>
          <w:szCs w:val="20"/>
        </w:rPr>
        <w:t xml:space="preserve">Table 4 shows the levels of serum haptoglobin, creatinine, novel AKI markers and </w:t>
      </w:r>
      <w:proofErr w:type="spellStart"/>
      <w:r w:rsidRPr="00637BD4">
        <w:rPr>
          <w:rFonts w:ascii="Garamond" w:hAnsi="Garamond"/>
          <w:iCs/>
          <w:sz w:val="20"/>
          <w:szCs w:val="20"/>
        </w:rPr>
        <w:t>haematological</w:t>
      </w:r>
      <w:proofErr w:type="spellEnd"/>
      <w:r w:rsidRPr="00637BD4">
        <w:rPr>
          <w:rFonts w:ascii="Garamond" w:hAnsi="Garamond"/>
          <w:iCs/>
          <w:sz w:val="20"/>
          <w:szCs w:val="20"/>
        </w:rPr>
        <w:t xml:space="preserve"> parameters of steady heterozygous SCD and heterozygous SCD subjects in crisis. The results obtained showed that the creatinine concentration for steady heterozygous and heterozygous SCD subjects in crisis was 129.0 ± 20.0 </w:t>
      </w:r>
      <w:r w:rsidRPr="00637BD4">
        <w:rPr>
          <w:rFonts w:ascii="Garamond" w:hAnsi="Garamond"/>
          <w:iCs/>
          <w:sz w:val="20"/>
          <w:szCs w:val="20"/>
          <w:lang w:val="en-GB"/>
        </w:rPr>
        <w:t>and</w:t>
      </w:r>
      <w:r w:rsidRPr="00637BD4">
        <w:rPr>
          <w:rFonts w:ascii="Garamond" w:hAnsi="Garamond"/>
          <w:b/>
          <w:bCs/>
          <w:iCs/>
          <w:sz w:val="20"/>
          <w:szCs w:val="20"/>
          <w:lang w:val="en-GB"/>
        </w:rPr>
        <w:t xml:space="preserve"> </w:t>
      </w:r>
      <w:r w:rsidRPr="00637BD4">
        <w:rPr>
          <w:rFonts w:ascii="Garamond" w:hAnsi="Garamond"/>
          <w:iCs/>
          <w:sz w:val="20"/>
          <w:szCs w:val="20"/>
        </w:rPr>
        <w:t>224.4 ± 55.9</w:t>
      </w:r>
      <w:r w:rsidRPr="00637BD4">
        <w:rPr>
          <w:rFonts w:ascii="Garamond" w:hAnsi="Garamond"/>
          <w:iCs/>
          <w:sz w:val="20"/>
          <w:szCs w:val="20"/>
          <w:lang w:val="en-GB"/>
        </w:rPr>
        <w:t xml:space="preserve">, KIM-1 was </w:t>
      </w:r>
      <w:r w:rsidRPr="00637BD4">
        <w:rPr>
          <w:rFonts w:ascii="Garamond" w:hAnsi="Garamond"/>
          <w:iCs/>
          <w:sz w:val="20"/>
          <w:szCs w:val="20"/>
        </w:rPr>
        <w:t xml:space="preserve">3.1 ± 0.5 </w:t>
      </w:r>
      <w:r w:rsidRPr="00637BD4">
        <w:rPr>
          <w:rFonts w:ascii="Garamond" w:hAnsi="Garamond"/>
          <w:iCs/>
          <w:sz w:val="20"/>
          <w:szCs w:val="20"/>
          <w:lang w:val="en-GB"/>
        </w:rPr>
        <w:t xml:space="preserve">and </w:t>
      </w:r>
      <w:r w:rsidRPr="00637BD4">
        <w:rPr>
          <w:rFonts w:ascii="Garamond" w:hAnsi="Garamond"/>
          <w:iCs/>
          <w:sz w:val="20"/>
          <w:szCs w:val="20"/>
        </w:rPr>
        <w:t>3.8 ± 1.1</w:t>
      </w:r>
      <w:r w:rsidRPr="00637BD4">
        <w:rPr>
          <w:rFonts w:ascii="Garamond" w:hAnsi="Garamond"/>
          <w:iCs/>
          <w:sz w:val="20"/>
          <w:szCs w:val="20"/>
          <w:lang w:val="en-GB"/>
        </w:rPr>
        <w:t xml:space="preserve">, NGAL was </w:t>
      </w:r>
      <w:r w:rsidRPr="00637BD4">
        <w:rPr>
          <w:rFonts w:ascii="Garamond" w:hAnsi="Garamond"/>
          <w:iCs/>
          <w:sz w:val="20"/>
          <w:szCs w:val="20"/>
        </w:rPr>
        <w:t xml:space="preserve">61.2 ± 6.7 </w:t>
      </w:r>
      <w:r w:rsidRPr="00637BD4">
        <w:rPr>
          <w:rFonts w:ascii="Garamond" w:hAnsi="Garamond"/>
          <w:iCs/>
          <w:sz w:val="20"/>
          <w:szCs w:val="20"/>
          <w:lang w:val="en-GB"/>
        </w:rPr>
        <w:t xml:space="preserve">and </w:t>
      </w:r>
      <w:r w:rsidRPr="00637BD4">
        <w:rPr>
          <w:rFonts w:ascii="Garamond" w:hAnsi="Garamond"/>
          <w:iCs/>
          <w:sz w:val="20"/>
          <w:szCs w:val="20"/>
        </w:rPr>
        <w:t>68.4 ± 4.0</w:t>
      </w:r>
      <w:r w:rsidRPr="00637BD4">
        <w:rPr>
          <w:rFonts w:ascii="Garamond" w:hAnsi="Garamond"/>
          <w:iCs/>
          <w:sz w:val="20"/>
          <w:szCs w:val="20"/>
          <w:lang w:val="en-GB"/>
        </w:rPr>
        <w:t xml:space="preserve">, IL-18 was </w:t>
      </w:r>
      <w:r w:rsidRPr="00637BD4">
        <w:rPr>
          <w:rFonts w:ascii="Garamond" w:hAnsi="Garamond"/>
          <w:iCs/>
          <w:sz w:val="20"/>
          <w:szCs w:val="20"/>
        </w:rPr>
        <w:t>83.5 ± 17.3</w:t>
      </w:r>
      <w:r w:rsidRPr="00637BD4">
        <w:rPr>
          <w:rFonts w:ascii="Garamond" w:hAnsi="Garamond"/>
          <w:iCs/>
          <w:sz w:val="20"/>
          <w:szCs w:val="20"/>
          <w:lang w:val="en-GB"/>
        </w:rPr>
        <w:t xml:space="preserve"> and </w:t>
      </w:r>
      <w:r w:rsidRPr="00637BD4">
        <w:rPr>
          <w:rFonts w:ascii="Garamond" w:hAnsi="Garamond"/>
          <w:iCs/>
          <w:sz w:val="20"/>
          <w:szCs w:val="20"/>
        </w:rPr>
        <w:t>185.2 ± 29.2</w:t>
      </w:r>
      <w:r w:rsidRPr="00637BD4">
        <w:rPr>
          <w:rFonts w:ascii="Garamond" w:hAnsi="Garamond"/>
          <w:iCs/>
          <w:sz w:val="20"/>
          <w:szCs w:val="20"/>
          <w:lang w:val="en-GB"/>
        </w:rPr>
        <w:t xml:space="preserve">, HP was </w:t>
      </w:r>
      <w:r w:rsidRPr="00637BD4">
        <w:rPr>
          <w:rFonts w:ascii="Garamond" w:hAnsi="Garamond"/>
          <w:iCs/>
          <w:sz w:val="20"/>
          <w:szCs w:val="20"/>
        </w:rPr>
        <w:t xml:space="preserve">109.8 ± 28.4 </w:t>
      </w:r>
      <w:r w:rsidRPr="00637BD4">
        <w:rPr>
          <w:rFonts w:ascii="Garamond" w:hAnsi="Garamond"/>
          <w:iCs/>
          <w:sz w:val="20"/>
          <w:szCs w:val="20"/>
          <w:lang w:val="en-GB"/>
        </w:rPr>
        <w:t xml:space="preserve">and </w:t>
      </w:r>
      <w:r w:rsidRPr="00637BD4">
        <w:rPr>
          <w:rFonts w:ascii="Garamond" w:hAnsi="Garamond"/>
          <w:iCs/>
          <w:sz w:val="20"/>
          <w:szCs w:val="20"/>
        </w:rPr>
        <w:t>75.6 ± 20.7</w:t>
      </w:r>
      <w:r w:rsidRPr="00637BD4">
        <w:rPr>
          <w:rFonts w:ascii="Garamond" w:hAnsi="Garamond"/>
          <w:iCs/>
          <w:sz w:val="20"/>
          <w:szCs w:val="20"/>
          <w:lang w:val="en-GB"/>
        </w:rPr>
        <w:t xml:space="preserve">, PCV was </w:t>
      </w:r>
      <w:r w:rsidRPr="00637BD4">
        <w:rPr>
          <w:rFonts w:ascii="Garamond" w:hAnsi="Garamond"/>
          <w:iCs/>
          <w:sz w:val="20"/>
          <w:szCs w:val="20"/>
        </w:rPr>
        <w:t xml:space="preserve">41.0 ± 2.9 </w:t>
      </w:r>
      <w:r w:rsidRPr="00637BD4">
        <w:rPr>
          <w:rFonts w:ascii="Garamond" w:hAnsi="Garamond"/>
          <w:iCs/>
          <w:sz w:val="20"/>
          <w:szCs w:val="20"/>
          <w:lang w:val="en-GB"/>
        </w:rPr>
        <w:t xml:space="preserve">and </w:t>
      </w:r>
      <w:r w:rsidRPr="00637BD4">
        <w:rPr>
          <w:rFonts w:ascii="Garamond" w:hAnsi="Garamond"/>
          <w:iCs/>
          <w:sz w:val="20"/>
          <w:szCs w:val="20"/>
        </w:rPr>
        <w:t>30.6 ± 3.8</w:t>
      </w:r>
      <w:r w:rsidRPr="00637BD4">
        <w:rPr>
          <w:rFonts w:ascii="Garamond" w:hAnsi="Garamond"/>
          <w:iCs/>
          <w:sz w:val="20"/>
          <w:szCs w:val="20"/>
          <w:lang w:val="en-GB"/>
        </w:rPr>
        <w:t xml:space="preserve">, Hb was </w:t>
      </w:r>
      <w:r w:rsidRPr="00637BD4">
        <w:rPr>
          <w:rFonts w:ascii="Garamond" w:hAnsi="Garamond"/>
          <w:iCs/>
          <w:sz w:val="20"/>
          <w:szCs w:val="20"/>
        </w:rPr>
        <w:t xml:space="preserve">14.0 ± 0.8 </w:t>
      </w:r>
      <w:r w:rsidRPr="00637BD4">
        <w:rPr>
          <w:rFonts w:ascii="Garamond" w:hAnsi="Garamond"/>
          <w:iCs/>
          <w:sz w:val="20"/>
          <w:szCs w:val="20"/>
          <w:lang w:val="en-GB"/>
        </w:rPr>
        <w:t xml:space="preserve">and </w:t>
      </w:r>
      <w:r w:rsidRPr="00637BD4">
        <w:rPr>
          <w:rFonts w:ascii="Garamond" w:hAnsi="Garamond"/>
          <w:iCs/>
          <w:sz w:val="20"/>
          <w:szCs w:val="20"/>
        </w:rPr>
        <w:t>11.2 ± 1.6</w:t>
      </w:r>
      <w:r w:rsidRPr="00637BD4">
        <w:rPr>
          <w:rFonts w:ascii="Garamond" w:hAnsi="Garamond"/>
          <w:iCs/>
          <w:sz w:val="20"/>
          <w:szCs w:val="20"/>
          <w:lang w:val="en-GB"/>
        </w:rPr>
        <w:t xml:space="preserve">, WBC was </w:t>
      </w:r>
      <w:r w:rsidRPr="00637BD4">
        <w:rPr>
          <w:rFonts w:ascii="Garamond" w:hAnsi="Garamond"/>
          <w:iCs/>
          <w:sz w:val="20"/>
          <w:szCs w:val="20"/>
        </w:rPr>
        <w:t xml:space="preserve">5.6 ± 0.6 </w:t>
      </w:r>
      <w:r w:rsidRPr="00637BD4">
        <w:rPr>
          <w:rFonts w:ascii="Garamond" w:hAnsi="Garamond"/>
          <w:iCs/>
          <w:sz w:val="20"/>
          <w:szCs w:val="20"/>
          <w:lang w:val="en-GB"/>
        </w:rPr>
        <w:t xml:space="preserve">and </w:t>
      </w:r>
      <w:r w:rsidRPr="00637BD4">
        <w:rPr>
          <w:rFonts w:ascii="Garamond" w:hAnsi="Garamond"/>
          <w:iCs/>
          <w:sz w:val="20"/>
          <w:szCs w:val="20"/>
        </w:rPr>
        <w:t>16.2 ± 2.8</w:t>
      </w:r>
      <w:r w:rsidRPr="00637BD4">
        <w:rPr>
          <w:rFonts w:ascii="Garamond" w:hAnsi="Garamond"/>
          <w:iCs/>
          <w:sz w:val="20"/>
          <w:szCs w:val="20"/>
          <w:lang w:val="en-GB"/>
        </w:rPr>
        <w:t xml:space="preserve">, while PLT was </w:t>
      </w:r>
      <w:r w:rsidRPr="00637BD4">
        <w:rPr>
          <w:rFonts w:ascii="Garamond" w:hAnsi="Garamond"/>
          <w:iCs/>
          <w:sz w:val="20"/>
          <w:szCs w:val="20"/>
        </w:rPr>
        <w:t xml:space="preserve">287.8 ± 46.1 </w:t>
      </w:r>
      <w:r w:rsidRPr="00637BD4">
        <w:rPr>
          <w:rFonts w:ascii="Garamond" w:hAnsi="Garamond"/>
          <w:iCs/>
          <w:sz w:val="20"/>
          <w:szCs w:val="20"/>
          <w:lang w:val="en-GB"/>
        </w:rPr>
        <w:t xml:space="preserve">and </w:t>
      </w:r>
      <w:r w:rsidRPr="00637BD4">
        <w:rPr>
          <w:rFonts w:ascii="Garamond" w:hAnsi="Garamond"/>
          <w:iCs/>
          <w:sz w:val="20"/>
          <w:szCs w:val="20"/>
        </w:rPr>
        <w:t xml:space="preserve">217.0 ± 42.3 </w:t>
      </w:r>
      <w:r w:rsidRPr="00637BD4">
        <w:rPr>
          <w:rFonts w:ascii="Garamond" w:hAnsi="Garamond"/>
          <w:iCs/>
          <w:sz w:val="20"/>
          <w:szCs w:val="20"/>
          <w:lang w:val="en-GB"/>
        </w:rPr>
        <w:t xml:space="preserve">respectively. </w:t>
      </w:r>
      <w:bookmarkStart w:id="14" w:name="_Hlk202092279"/>
      <w:r w:rsidRPr="00637BD4">
        <w:rPr>
          <w:rFonts w:ascii="Garamond" w:hAnsi="Garamond"/>
          <w:iCs/>
          <w:sz w:val="20"/>
          <w:szCs w:val="20"/>
          <w:lang w:val="en-GB"/>
        </w:rPr>
        <w:t>The values of creatinine, IL-18 and WBC were significantly higher in the heterozygous SCD subjects in crisis relative to the steady heterozygous SCD subjects, while PCV, Hb and PLT were significantly lower in the heterozygous SCD subjects in crisis relative to the steady homozygous SCD subjects. However, there was no statistically significant difference between the KIM-1, NGAL, and HP values of the two groups.</w:t>
      </w:r>
      <w:bookmarkEnd w:id="14"/>
    </w:p>
    <w:p w14:paraId="6F95818B" w14:textId="77777777" w:rsidR="00154710" w:rsidRDefault="00154710" w:rsidP="008B0BAA">
      <w:pPr>
        <w:spacing w:line="259" w:lineRule="auto"/>
        <w:jc w:val="both"/>
        <w:rPr>
          <w:rFonts w:ascii="Garamond" w:hAnsi="Garamond"/>
          <w:iCs/>
          <w:sz w:val="20"/>
          <w:szCs w:val="20"/>
        </w:rPr>
      </w:pPr>
    </w:p>
    <w:p w14:paraId="33E87B79" w14:textId="77777777" w:rsidR="00154710" w:rsidRDefault="00154710" w:rsidP="008B0BAA">
      <w:pPr>
        <w:spacing w:line="259" w:lineRule="auto"/>
        <w:jc w:val="both"/>
        <w:rPr>
          <w:rFonts w:ascii="Garamond" w:hAnsi="Garamond"/>
          <w:iCs/>
          <w:sz w:val="20"/>
          <w:szCs w:val="20"/>
        </w:rPr>
      </w:pPr>
    </w:p>
    <w:p w14:paraId="36375A9B" w14:textId="77777777" w:rsidR="00154710" w:rsidRDefault="00154710" w:rsidP="008B0BAA">
      <w:pPr>
        <w:spacing w:line="259" w:lineRule="auto"/>
        <w:jc w:val="both"/>
        <w:rPr>
          <w:rFonts w:ascii="Garamond" w:hAnsi="Garamond"/>
          <w:iCs/>
          <w:sz w:val="20"/>
          <w:szCs w:val="20"/>
        </w:rPr>
      </w:pPr>
    </w:p>
    <w:p w14:paraId="1BA93EDD" w14:textId="77777777" w:rsidR="00154710" w:rsidRDefault="00154710" w:rsidP="008B0BAA">
      <w:pPr>
        <w:spacing w:line="259" w:lineRule="auto"/>
        <w:jc w:val="both"/>
        <w:rPr>
          <w:rFonts w:ascii="Garamond" w:hAnsi="Garamond"/>
          <w:iCs/>
          <w:sz w:val="20"/>
          <w:szCs w:val="20"/>
        </w:rPr>
      </w:pPr>
    </w:p>
    <w:p w14:paraId="25706704" w14:textId="77777777" w:rsidR="00637BD4" w:rsidRDefault="00637BD4" w:rsidP="008B0BAA">
      <w:pPr>
        <w:spacing w:line="259" w:lineRule="auto"/>
        <w:jc w:val="both"/>
        <w:rPr>
          <w:rFonts w:ascii="Garamond" w:hAnsi="Garamond"/>
          <w:iCs/>
          <w:sz w:val="20"/>
          <w:szCs w:val="20"/>
        </w:rPr>
      </w:pPr>
    </w:p>
    <w:p w14:paraId="2498A01D" w14:textId="77777777" w:rsidR="00637BD4" w:rsidRDefault="00637BD4" w:rsidP="008B0BAA">
      <w:pPr>
        <w:spacing w:line="259" w:lineRule="auto"/>
        <w:jc w:val="both"/>
        <w:rPr>
          <w:rFonts w:ascii="Garamond" w:hAnsi="Garamond"/>
          <w:iCs/>
          <w:sz w:val="20"/>
          <w:szCs w:val="20"/>
        </w:rPr>
      </w:pPr>
    </w:p>
    <w:p w14:paraId="46F88757" w14:textId="77777777" w:rsidR="00637BD4" w:rsidRDefault="00637BD4" w:rsidP="008B0BAA">
      <w:pPr>
        <w:spacing w:line="259" w:lineRule="auto"/>
        <w:jc w:val="both"/>
        <w:rPr>
          <w:rFonts w:ascii="Garamond" w:hAnsi="Garamond"/>
          <w:iCs/>
          <w:sz w:val="20"/>
          <w:szCs w:val="20"/>
        </w:rPr>
      </w:pPr>
    </w:p>
    <w:p w14:paraId="6DE5D9A3" w14:textId="77777777" w:rsidR="00637BD4" w:rsidRPr="00637BD4" w:rsidRDefault="00637BD4" w:rsidP="00637BD4">
      <w:pPr>
        <w:spacing w:line="259" w:lineRule="auto"/>
        <w:jc w:val="both"/>
        <w:rPr>
          <w:rFonts w:ascii="Garamond" w:hAnsi="Garamond"/>
          <w:b/>
          <w:bCs/>
          <w:iCs/>
          <w:sz w:val="20"/>
          <w:szCs w:val="20"/>
        </w:rPr>
      </w:pPr>
      <w:r w:rsidRPr="00637BD4">
        <w:rPr>
          <w:rFonts w:ascii="Garamond" w:hAnsi="Garamond"/>
          <w:b/>
          <w:bCs/>
          <w:iCs/>
          <w:sz w:val="20"/>
          <w:szCs w:val="20"/>
        </w:rPr>
        <w:t xml:space="preserve">Table 4: </w:t>
      </w:r>
      <w:r w:rsidRPr="00637BD4">
        <w:rPr>
          <w:rFonts w:ascii="Garamond" w:hAnsi="Garamond"/>
          <w:iCs/>
          <w:sz w:val="20"/>
          <w:szCs w:val="20"/>
        </w:rPr>
        <w:t xml:space="preserve">Haptoglobin, creatinine, novel AKI markers and </w:t>
      </w:r>
      <w:proofErr w:type="spellStart"/>
      <w:r w:rsidRPr="00637BD4">
        <w:rPr>
          <w:rFonts w:ascii="Garamond" w:hAnsi="Garamond"/>
          <w:iCs/>
          <w:sz w:val="20"/>
          <w:szCs w:val="20"/>
        </w:rPr>
        <w:t>haematological</w:t>
      </w:r>
      <w:proofErr w:type="spellEnd"/>
      <w:r w:rsidRPr="00637BD4">
        <w:rPr>
          <w:rFonts w:ascii="Garamond" w:hAnsi="Garamond"/>
          <w:iCs/>
          <w:sz w:val="20"/>
          <w:szCs w:val="20"/>
        </w:rPr>
        <w:t xml:space="preserve"> parameters of homozygous SCD (</w:t>
      </w:r>
      <w:proofErr w:type="spellStart"/>
      <w:r w:rsidRPr="00637BD4">
        <w:rPr>
          <w:rFonts w:ascii="Garamond" w:hAnsi="Garamond"/>
          <w:iCs/>
          <w:sz w:val="20"/>
          <w:szCs w:val="20"/>
        </w:rPr>
        <w:t>HbSS</w:t>
      </w:r>
      <w:proofErr w:type="spellEnd"/>
      <w:r w:rsidRPr="00637BD4">
        <w:rPr>
          <w:rFonts w:ascii="Garamond" w:hAnsi="Garamond"/>
          <w:iCs/>
          <w:sz w:val="20"/>
          <w:szCs w:val="20"/>
        </w:rPr>
        <w:t>) and heterozygous SCD (</w:t>
      </w:r>
      <w:proofErr w:type="spellStart"/>
      <w:r w:rsidRPr="00637BD4">
        <w:rPr>
          <w:rFonts w:ascii="Garamond" w:hAnsi="Garamond"/>
          <w:iCs/>
          <w:sz w:val="20"/>
          <w:szCs w:val="20"/>
        </w:rPr>
        <w:t>HbSC</w:t>
      </w:r>
      <w:proofErr w:type="spellEnd"/>
      <w:r w:rsidRPr="00637BD4">
        <w:rPr>
          <w:rFonts w:ascii="Garamond" w:hAnsi="Garamond"/>
          <w:iCs/>
          <w:sz w:val="20"/>
          <w:szCs w:val="20"/>
        </w:rPr>
        <w:t>) in steady and crisis</w:t>
      </w:r>
      <w:r w:rsidRPr="00637BD4">
        <w:rPr>
          <w:rFonts w:ascii="Garamond" w:hAnsi="Garamond"/>
          <w:b/>
          <w:bCs/>
          <w:iCs/>
          <w:sz w:val="20"/>
          <w:szCs w:val="20"/>
        </w:rPr>
        <w:t>.</w:t>
      </w:r>
    </w:p>
    <w:tbl>
      <w:tblPr>
        <w:tblStyle w:val="TableGrid"/>
        <w:tblW w:w="5848"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416"/>
        <w:gridCol w:w="1421"/>
        <w:gridCol w:w="716"/>
        <w:gridCol w:w="723"/>
        <w:gridCol w:w="1541"/>
        <w:gridCol w:w="1417"/>
        <w:gridCol w:w="839"/>
        <w:gridCol w:w="889"/>
      </w:tblGrid>
      <w:tr w:rsidR="00637BD4" w:rsidRPr="00637BD4" w14:paraId="31DB89CD" w14:textId="77777777" w:rsidTr="00637BD4">
        <w:trPr>
          <w:trHeight w:val="321"/>
        </w:trPr>
        <w:tc>
          <w:tcPr>
            <w:tcW w:w="907" w:type="pct"/>
            <w:tcBorders>
              <w:top w:val="single" w:sz="12" w:space="0" w:color="auto"/>
              <w:bottom w:val="single" w:sz="12" w:space="0" w:color="auto"/>
            </w:tcBorders>
          </w:tcPr>
          <w:p w14:paraId="25DB3D40" w14:textId="77777777" w:rsidR="00637BD4" w:rsidRPr="00637BD4" w:rsidRDefault="00637BD4" w:rsidP="00637BD4">
            <w:pPr>
              <w:spacing w:line="259" w:lineRule="auto"/>
              <w:jc w:val="both"/>
              <w:rPr>
                <w:rFonts w:ascii="Garamond" w:hAnsi="Garamond"/>
                <w:b/>
                <w:bCs/>
                <w:iCs/>
                <w:sz w:val="20"/>
                <w:szCs w:val="20"/>
                <w:lang w:val="en-GB"/>
              </w:rPr>
            </w:pPr>
          </w:p>
        </w:tc>
        <w:tc>
          <w:tcPr>
            <w:tcW w:w="1295" w:type="pct"/>
            <w:gridSpan w:val="2"/>
            <w:tcBorders>
              <w:top w:val="single" w:sz="12" w:space="0" w:color="auto"/>
              <w:bottom w:val="single" w:sz="12" w:space="0" w:color="auto"/>
            </w:tcBorders>
          </w:tcPr>
          <w:p w14:paraId="66C97D9D" w14:textId="77777777" w:rsidR="00637BD4" w:rsidRPr="00637BD4" w:rsidRDefault="00637BD4" w:rsidP="00637BD4">
            <w:pPr>
              <w:spacing w:line="259" w:lineRule="auto"/>
              <w:jc w:val="both"/>
              <w:rPr>
                <w:rFonts w:ascii="Garamond" w:hAnsi="Garamond"/>
                <w:b/>
                <w:bCs/>
                <w:iCs/>
                <w:sz w:val="20"/>
                <w:szCs w:val="20"/>
                <w:lang w:val="en-GB"/>
              </w:rPr>
            </w:pPr>
            <w:proofErr w:type="spellStart"/>
            <w:r w:rsidRPr="00637BD4">
              <w:rPr>
                <w:rFonts w:ascii="Garamond" w:hAnsi="Garamond"/>
                <w:b/>
                <w:bCs/>
                <w:iCs/>
                <w:sz w:val="20"/>
                <w:szCs w:val="20"/>
                <w:lang w:val="en-GB"/>
              </w:rPr>
              <w:t>HbSS</w:t>
            </w:r>
            <w:proofErr w:type="spellEnd"/>
            <w:r w:rsidRPr="00637BD4">
              <w:rPr>
                <w:rFonts w:ascii="Garamond" w:hAnsi="Garamond"/>
                <w:b/>
                <w:bCs/>
                <w:iCs/>
                <w:sz w:val="20"/>
                <w:szCs w:val="20"/>
                <w:lang w:val="en-GB"/>
              </w:rPr>
              <w:t xml:space="preserve"> Subjects</w:t>
            </w:r>
          </w:p>
        </w:tc>
        <w:tc>
          <w:tcPr>
            <w:tcW w:w="327" w:type="pct"/>
            <w:tcBorders>
              <w:top w:val="single" w:sz="12" w:space="0" w:color="auto"/>
              <w:bottom w:val="single" w:sz="12" w:space="0" w:color="auto"/>
            </w:tcBorders>
          </w:tcPr>
          <w:p w14:paraId="5AE4E72B" w14:textId="77777777" w:rsidR="00637BD4" w:rsidRPr="00637BD4" w:rsidRDefault="00637BD4" w:rsidP="00637BD4">
            <w:pPr>
              <w:spacing w:line="259" w:lineRule="auto"/>
              <w:jc w:val="both"/>
              <w:rPr>
                <w:rFonts w:ascii="Garamond" w:hAnsi="Garamond"/>
                <w:b/>
                <w:bCs/>
                <w:iCs/>
                <w:sz w:val="20"/>
                <w:szCs w:val="20"/>
                <w:lang w:val="en-GB"/>
              </w:rPr>
            </w:pPr>
          </w:p>
        </w:tc>
        <w:tc>
          <w:tcPr>
            <w:tcW w:w="330" w:type="pct"/>
            <w:tcBorders>
              <w:top w:val="single" w:sz="12" w:space="0" w:color="auto"/>
              <w:bottom w:val="single" w:sz="12" w:space="0" w:color="auto"/>
              <w:right w:val="single" w:sz="4" w:space="0" w:color="auto"/>
            </w:tcBorders>
          </w:tcPr>
          <w:p w14:paraId="1A85557C" w14:textId="77777777" w:rsidR="00637BD4" w:rsidRPr="00637BD4" w:rsidRDefault="00637BD4" w:rsidP="00637BD4">
            <w:pPr>
              <w:spacing w:line="259" w:lineRule="auto"/>
              <w:jc w:val="both"/>
              <w:rPr>
                <w:rFonts w:ascii="Garamond" w:hAnsi="Garamond"/>
                <w:b/>
                <w:bCs/>
                <w:iCs/>
                <w:sz w:val="20"/>
                <w:szCs w:val="20"/>
                <w:lang w:val="en-GB"/>
              </w:rPr>
            </w:pPr>
          </w:p>
        </w:tc>
        <w:tc>
          <w:tcPr>
            <w:tcW w:w="1350" w:type="pct"/>
            <w:gridSpan w:val="2"/>
            <w:tcBorders>
              <w:top w:val="single" w:sz="12" w:space="0" w:color="auto"/>
              <w:left w:val="single" w:sz="4" w:space="0" w:color="auto"/>
              <w:bottom w:val="single" w:sz="12" w:space="0" w:color="auto"/>
            </w:tcBorders>
          </w:tcPr>
          <w:p w14:paraId="082D2900" w14:textId="77777777" w:rsidR="00637BD4" w:rsidRPr="00637BD4" w:rsidRDefault="00637BD4" w:rsidP="00637BD4">
            <w:pPr>
              <w:spacing w:line="259" w:lineRule="auto"/>
              <w:jc w:val="both"/>
              <w:rPr>
                <w:rFonts w:ascii="Garamond" w:hAnsi="Garamond"/>
                <w:b/>
                <w:bCs/>
                <w:iCs/>
                <w:sz w:val="20"/>
                <w:szCs w:val="20"/>
                <w:lang w:val="en-GB"/>
              </w:rPr>
            </w:pPr>
            <w:proofErr w:type="spellStart"/>
            <w:r w:rsidRPr="00637BD4">
              <w:rPr>
                <w:rFonts w:ascii="Garamond" w:hAnsi="Garamond"/>
                <w:b/>
                <w:bCs/>
                <w:iCs/>
                <w:sz w:val="20"/>
                <w:szCs w:val="20"/>
                <w:lang w:val="en-GB"/>
              </w:rPr>
              <w:t>HbSC</w:t>
            </w:r>
            <w:proofErr w:type="spellEnd"/>
            <w:r w:rsidRPr="00637BD4">
              <w:rPr>
                <w:rFonts w:ascii="Garamond" w:hAnsi="Garamond"/>
                <w:b/>
                <w:bCs/>
                <w:iCs/>
                <w:sz w:val="20"/>
                <w:szCs w:val="20"/>
                <w:lang w:val="en-GB"/>
              </w:rPr>
              <w:t xml:space="preserve"> Subjects</w:t>
            </w:r>
          </w:p>
        </w:tc>
        <w:tc>
          <w:tcPr>
            <w:tcW w:w="383" w:type="pct"/>
            <w:tcBorders>
              <w:top w:val="single" w:sz="12" w:space="0" w:color="auto"/>
              <w:bottom w:val="single" w:sz="12" w:space="0" w:color="auto"/>
            </w:tcBorders>
          </w:tcPr>
          <w:p w14:paraId="478AAC42" w14:textId="77777777" w:rsidR="00637BD4" w:rsidRPr="00637BD4" w:rsidRDefault="00637BD4" w:rsidP="00637BD4">
            <w:pPr>
              <w:spacing w:line="259" w:lineRule="auto"/>
              <w:jc w:val="both"/>
              <w:rPr>
                <w:rFonts w:ascii="Garamond" w:hAnsi="Garamond"/>
                <w:b/>
                <w:bCs/>
                <w:iCs/>
                <w:sz w:val="20"/>
                <w:szCs w:val="20"/>
                <w:lang w:val="en-GB"/>
              </w:rPr>
            </w:pPr>
          </w:p>
        </w:tc>
        <w:tc>
          <w:tcPr>
            <w:tcW w:w="408" w:type="pct"/>
            <w:tcBorders>
              <w:top w:val="single" w:sz="12" w:space="0" w:color="auto"/>
              <w:bottom w:val="single" w:sz="12" w:space="0" w:color="auto"/>
            </w:tcBorders>
          </w:tcPr>
          <w:p w14:paraId="2DFF2FDA" w14:textId="77777777" w:rsidR="00637BD4" w:rsidRPr="00637BD4" w:rsidRDefault="00637BD4" w:rsidP="00637BD4">
            <w:pPr>
              <w:spacing w:line="259" w:lineRule="auto"/>
              <w:jc w:val="both"/>
              <w:rPr>
                <w:rFonts w:ascii="Garamond" w:hAnsi="Garamond"/>
                <w:b/>
                <w:bCs/>
                <w:iCs/>
                <w:sz w:val="20"/>
                <w:szCs w:val="20"/>
                <w:lang w:val="en-GB"/>
              </w:rPr>
            </w:pPr>
          </w:p>
        </w:tc>
      </w:tr>
      <w:tr w:rsidR="00637BD4" w:rsidRPr="00637BD4" w14:paraId="5B0A8DA4" w14:textId="77777777" w:rsidTr="00637BD4">
        <w:trPr>
          <w:trHeight w:val="767"/>
        </w:trPr>
        <w:tc>
          <w:tcPr>
            <w:tcW w:w="907" w:type="pct"/>
            <w:tcBorders>
              <w:top w:val="single" w:sz="12" w:space="0" w:color="auto"/>
              <w:bottom w:val="single" w:sz="12" w:space="0" w:color="auto"/>
            </w:tcBorders>
            <w:hideMark/>
          </w:tcPr>
          <w:p w14:paraId="4E423B83"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Variables</w:t>
            </w:r>
          </w:p>
        </w:tc>
        <w:tc>
          <w:tcPr>
            <w:tcW w:w="647" w:type="pct"/>
            <w:tcBorders>
              <w:top w:val="single" w:sz="12" w:space="0" w:color="auto"/>
              <w:bottom w:val="single" w:sz="12" w:space="0" w:color="auto"/>
            </w:tcBorders>
            <w:hideMark/>
          </w:tcPr>
          <w:p w14:paraId="5DF1F9B6"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 xml:space="preserve">Steady </w:t>
            </w:r>
          </w:p>
          <w:p w14:paraId="2705B541"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Mean ± SD</w:t>
            </w:r>
          </w:p>
          <w:p w14:paraId="210734F0"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N = 16</w:t>
            </w:r>
          </w:p>
        </w:tc>
        <w:tc>
          <w:tcPr>
            <w:tcW w:w="649" w:type="pct"/>
            <w:tcBorders>
              <w:top w:val="single" w:sz="12" w:space="0" w:color="auto"/>
              <w:bottom w:val="single" w:sz="12" w:space="0" w:color="auto"/>
            </w:tcBorders>
            <w:hideMark/>
          </w:tcPr>
          <w:p w14:paraId="2C86A91D"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Crisis</w:t>
            </w:r>
          </w:p>
          <w:p w14:paraId="451293C7"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Mean ± SD</w:t>
            </w:r>
          </w:p>
          <w:p w14:paraId="74BC15C0"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N = 12</w:t>
            </w:r>
          </w:p>
        </w:tc>
        <w:tc>
          <w:tcPr>
            <w:tcW w:w="327" w:type="pct"/>
            <w:tcBorders>
              <w:top w:val="single" w:sz="12" w:space="0" w:color="auto"/>
              <w:bottom w:val="single" w:sz="12" w:space="0" w:color="auto"/>
            </w:tcBorders>
          </w:tcPr>
          <w:p w14:paraId="6E9B6C7F"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t-value</w:t>
            </w:r>
          </w:p>
        </w:tc>
        <w:tc>
          <w:tcPr>
            <w:tcW w:w="330" w:type="pct"/>
            <w:tcBorders>
              <w:top w:val="single" w:sz="12" w:space="0" w:color="auto"/>
              <w:bottom w:val="single" w:sz="12" w:space="0" w:color="auto"/>
              <w:right w:val="single" w:sz="4" w:space="0" w:color="auto"/>
            </w:tcBorders>
          </w:tcPr>
          <w:p w14:paraId="5B9E26D1"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p-value</w:t>
            </w:r>
          </w:p>
        </w:tc>
        <w:tc>
          <w:tcPr>
            <w:tcW w:w="704" w:type="pct"/>
            <w:tcBorders>
              <w:top w:val="single" w:sz="12" w:space="0" w:color="auto"/>
              <w:left w:val="single" w:sz="4" w:space="0" w:color="auto"/>
              <w:bottom w:val="single" w:sz="12" w:space="0" w:color="auto"/>
            </w:tcBorders>
          </w:tcPr>
          <w:p w14:paraId="5D44024E"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 xml:space="preserve">Steady </w:t>
            </w:r>
          </w:p>
          <w:p w14:paraId="15195722"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Mean ± SD</w:t>
            </w:r>
          </w:p>
          <w:p w14:paraId="0830834E"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N = 4</w:t>
            </w:r>
          </w:p>
        </w:tc>
        <w:tc>
          <w:tcPr>
            <w:tcW w:w="647" w:type="pct"/>
            <w:tcBorders>
              <w:top w:val="single" w:sz="12" w:space="0" w:color="auto"/>
              <w:bottom w:val="single" w:sz="12" w:space="0" w:color="auto"/>
            </w:tcBorders>
          </w:tcPr>
          <w:p w14:paraId="4829F38B"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Crisis</w:t>
            </w:r>
          </w:p>
          <w:p w14:paraId="0C70FBC8"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Mean ± SD</w:t>
            </w:r>
          </w:p>
          <w:p w14:paraId="6577EACA"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N = 5</w:t>
            </w:r>
          </w:p>
        </w:tc>
        <w:tc>
          <w:tcPr>
            <w:tcW w:w="383" w:type="pct"/>
            <w:tcBorders>
              <w:top w:val="single" w:sz="12" w:space="0" w:color="auto"/>
              <w:bottom w:val="single" w:sz="12" w:space="0" w:color="auto"/>
            </w:tcBorders>
          </w:tcPr>
          <w:p w14:paraId="44773DFF"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t-value</w:t>
            </w:r>
          </w:p>
        </w:tc>
        <w:tc>
          <w:tcPr>
            <w:tcW w:w="408" w:type="pct"/>
            <w:tcBorders>
              <w:top w:val="single" w:sz="12" w:space="0" w:color="auto"/>
              <w:bottom w:val="single" w:sz="12" w:space="0" w:color="auto"/>
            </w:tcBorders>
          </w:tcPr>
          <w:p w14:paraId="2D9227B8"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p-value</w:t>
            </w:r>
          </w:p>
        </w:tc>
      </w:tr>
      <w:tr w:rsidR="00637BD4" w:rsidRPr="00637BD4" w14:paraId="352F5425" w14:textId="77777777" w:rsidTr="00637BD4">
        <w:trPr>
          <w:trHeight w:val="113"/>
        </w:trPr>
        <w:tc>
          <w:tcPr>
            <w:tcW w:w="907" w:type="pct"/>
            <w:tcBorders>
              <w:top w:val="single" w:sz="12" w:space="0" w:color="auto"/>
            </w:tcBorders>
            <w:hideMark/>
          </w:tcPr>
          <w:p w14:paraId="3EE8B793"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Creatinine (µmol/L)</w:t>
            </w:r>
          </w:p>
        </w:tc>
        <w:tc>
          <w:tcPr>
            <w:tcW w:w="647" w:type="pct"/>
            <w:tcBorders>
              <w:top w:val="single" w:sz="12" w:space="0" w:color="auto"/>
            </w:tcBorders>
          </w:tcPr>
          <w:p w14:paraId="00D76AEE"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132.3 ± 54.6</w:t>
            </w:r>
          </w:p>
        </w:tc>
        <w:tc>
          <w:tcPr>
            <w:tcW w:w="649" w:type="pct"/>
            <w:tcBorders>
              <w:top w:val="single" w:sz="12" w:space="0" w:color="auto"/>
            </w:tcBorders>
          </w:tcPr>
          <w:p w14:paraId="632DEED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206.9 ± 173.0</w:t>
            </w:r>
          </w:p>
        </w:tc>
        <w:tc>
          <w:tcPr>
            <w:tcW w:w="327" w:type="pct"/>
            <w:tcBorders>
              <w:top w:val="single" w:sz="12" w:space="0" w:color="auto"/>
            </w:tcBorders>
          </w:tcPr>
          <w:p w14:paraId="7430D21F"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2.075</w:t>
            </w:r>
          </w:p>
        </w:tc>
        <w:tc>
          <w:tcPr>
            <w:tcW w:w="330" w:type="pct"/>
            <w:tcBorders>
              <w:top w:val="single" w:sz="12" w:space="0" w:color="auto"/>
              <w:right w:val="single" w:sz="4" w:space="0" w:color="auto"/>
            </w:tcBorders>
          </w:tcPr>
          <w:p w14:paraId="0FF9EC0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0.049*</w:t>
            </w:r>
          </w:p>
        </w:tc>
        <w:tc>
          <w:tcPr>
            <w:tcW w:w="704" w:type="pct"/>
            <w:tcBorders>
              <w:top w:val="single" w:sz="12" w:space="0" w:color="auto"/>
              <w:left w:val="single" w:sz="4" w:space="0" w:color="auto"/>
            </w:tcBorders>
          </w:tcPr>
          <w:p w14:paraId="01E03FEE"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129.0 ± 20.0</w:t>
            </w:r>
          </w:p>
        </w:tc>
        <w:tc>
          <w:tcPr>
            <w:tcW w:w="647" w:type="pct"/>
            <w:tcBorders>
              <w:top w:val="single" w:sz="12" w:space="0" w:color="auto"/>
            </w:tcBorders>
          </w:tcPr>
          <w:p w14:paraId="13014536"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224.4 ± 55.9</w:t>
            </w:r>
          </w:p>
        </w:tc>
        <w:tc>
          <w:tcPr>
            <w:tcW w:w="383" w:type="pct"/>
            <w:tcBorders>
              <w:top w:val="single" w:sz="12" w:space="0" w:color="auto"/>
            </w:tcBorders>
          </w:tcPr>
          <w:p w14:paraId="32C8E17E"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3.212</w:t>
            </w:r>
          </w:p>
        </w:tc>
        <w:tc>
          <w:tcPr>
            <w:tcW w:w="408" w:type="pct"/>
            <w:tcBorders>
              <w:top w:val="single" w:sz="12" w:space="0" w:color="auto"/>
            </w:tcBorders>
          </w:tcPr>
          <w:p w14:paraId="5F7F641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0.015*</w:t>
            </w:r>
          </w:p>
        </w:tc>
      </w:tr>
      <w:tr w:rsidR="00637BD4" w:rsidRPr="00637BD4" w14:paraId="677AA9B2" w14:textId="77777777" w:rsidTr="00637BD4">
        <w:trPr>
          <w:trHeight w:val="250"/>
        </w:trPr>
        <w:tc>
          <w:tcPr>
            <w:tcW w:w="907" w:type="pct"/>
            <w:hideMark/>
          </w:tcPr>
          <w:p w14:paraId="73BBD319"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KIM-1 (</w:t>
            </w:r>
            <w:proofErr w:type="spellStart"/>
            <w:r w:rsidRPr="00637BD4">
              <w:rPr>
                <w:rFonts w:ascii="Garamond" w:hAnsi="Garamond"/>
                <w:b/>
                <w:bCs/>
                <w:iCs/>
                <w:sz w:val="20"/>
                <w:szCs w:val="20"/>
                <w:lang w:val="en-GB"/>
              </w:rPr>
              <w:t>pg</w:t>
            </w:r>
            <w:proofErr w:type="spellEnd"/>
            <w:r w:rsidRPr="00637BD4">
              <w:rPr>
                <w:rFonts w:ascii="Garamond" w:hAnsi="Garamond"/>
                <w:b/>
                <w:bCs/>
                <w:iCs/>
                <w:sz w:val="20"/>
                <w:szCs w:val="20"/>
                <w:lang w:val="en-GB"/>
              </w:rPr>
              <w:t>/mL)</w:t>
            </w:r>
          </w:p>
        </w:tc>
        <w:tc>
          <w:tcPr>
            <w:tcW w:w="647" w:type="pct"/>
          </w:tcPr>
          <w:p w14:paraId="079E671D"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5.8 ± 3.8</w:t>
            </w:r>
          </w:p>
        </w:tc>
        <w:tc>
          <w:tcPr>
            <w:tcW w:w="649" w:type="pct"/>
          </w:tcPr>
          <w:p w14:paraId="62E66EEB"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9.5 ± 5.0</w:t>
            </w:r>
          </w:p>
        </w:tc>
        <w:tc>
          <w:tcPr>
            <w:tcW w:w="327" w:type="pct"/>
          </w:tcPr>
          <w:p w14:paraId="3D3A0DBB"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2.081</w:t>
            </w:r>
          </w:p>
        </w:tc>
        <w:tc>
          <w:tcPr>
            <w:tcW w:w="330" w:type="pct"/>
            <w:tcBorders>
              <w:right w:val="single" w:sz="4" w:space="0" w:color="auto"/>
            </w:tcBorders>
          </w:tcPr>
          <w:p w14:paraId="772D8909"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0.049*</w:t>
            </w:r>
          </w:p>
        </w:tc>
        <w:tc>
          <w:tcPr>
            <w:tcW w:w="704" w:type="pct"/>
            <w:tcBorders>
              <w:left w:val="single" w:sz="4" w:space="0" w:color="auto"/>
            </w:tcBorders>
          </w:tcPr>
          <w:p w14:paraId="28EF10C3"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3.1 ± 0.5</w:t>
            </w:r>
          </w:p>
        </w:tc>
        <w:tc>
          <w:tcPr>
            <w:tcW w:w="647" w:type="pct"/>
          </w:tcPr>
          <w:p w14:paraId="7662D14B"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3.8 ± 1.1</w:t>
            </w:r>
          </w:p>
        </w:tc>
        <w:tc>
          <w:tcPr>
            <w:tcW w:w="383" w:type="pct"/>
          </w:tcPr>
          <w:p w14:paraId="48041CE3"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1.312</w:t>
            </w:r>
          </w:p>
        </w:tc>
        <w:tc>
          <w:tcPr>
            <w:tcW w:w="408" w:type="pct"/>
          </w:tcPr>
          <w:p w14:paraId="60D5070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0.321</w:t>
            </w:r>
          </w:p>
        </w:tc>
      </w:tr>
      <w:tr w:rsidR="00637BD4" w:rsidRPr="00637BD4" w14:paraId="387066D1" w14:textId="77777777" w:rsidTr="00637BD4">
        <w:trPr>
          <w:trHeight w:val="235"/>
        </w:trPr>
        <w:tc>
          <w:tcPr>
            <w:tcW w:w="907" w:type="pct"/>
            <w:hideMark/>
          </w:tcPr>
          <w:p w14:paraId="67CD06ED"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NGAL (</w:t>
            </w:r>
            <w:proofErr w:type="spellStart"/>
            <w:r w:rsidRPr="00637BD4">
              <w:rPr>
                <w:rFonts w:ascii="Garamond" w:hAnsi="Garamond"/>
                <w:b/>
                <w:bCs/>
                <w:iCs/>
                <w:sz w:val="20"/>
                <w:szCs w:val="20"/>
                <w:lang w:val="en-GB"/>
              </w:rPr>
              <w:t>pg</w:t>
            </w:r>
            <w:proofErr w:type="spellEnd"/>
            <w:r w:rsidRPr="00637BD4">
              <w:rPr>
                <w:rFonts w:ascii="Garamond" w:hAnsi="Garamond"/>
                <w:b/>
                <w:bCs/>
                <w:iCs/>
                <w:sz w:val="20"/>
                <w:szCs w:val="20"/>
                <w:lang w:val="en-GB"/>
              </w:rPr>
              <w:t>/mL)</w:t>
            </w:r>
          </w:p>
        </w:tc>
        <w:tc>
          <w:tcPr>
            <w:tcW w:w="647" w:type="pct"/>
          </w:tcPr>
          <w:p w14:paraId="3F8F9634"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75.1 ± 9.5</w:t>
            </w:r>
          </w:p>
        </w:tc>
        <w:tc>
          <w:tcPr>
            <w:tcW w:w="649" w:type="pct"/>
          </w:tcPr>
          <w:p w14:paraId="0282162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98.1 ± 9.1</w:t>
            </w:r>
          </w:p>
        </w:tc>
        <w:tc>
          <w:tcPr>
            <w:tcW w:w="327" w:type="pct"/>
          </w:tcPr>
          <w:p w14:paraId="5398475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6.524</w:t>
            </w:r>
          </w:p>
        </w:tc>
        <w:tc>
          <w:tcPr>
            <w:tcW w:w="330" w:type="pct"/>
            <w:tcBorders>
              <w:right w:val="single" w:sz="4" w:space="0" w:color="auto"/>
            </w:tcBorders>
          </w:tcPr>
          <w:p w14:paraId="13F56312"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0.000*</w:t>
            </w:r>
          </w:p>
        </w:tc>
        <w:tc>
          <w:tcPr>
            <w:tcW w:w="704" w:type="pct"/>
            <w:tcBorders>
              <w:left w:val="single" w:sz="4" w:space="0" w:color="auto"/>
            </w:tcBorders>
          </w:tcPr>
          <w:p w14:paraId="47E6763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61.2 ± 6.7</w:t>
            </w:r>
          </w:p>
        </w:tc>
        <w:tc>
          <w:tcPr>
            <w:tcW w:w="647" w:type="pct"/>
          </w:tcPr>
          <w:p w14:paraId="6F5108AB"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68.4 ± 4.0</w:t>
            </w:r>
          </w:p>
        </w:tc>
        <w:tc>
          <w:tcPr>
            <w:tcW w:w="383" w:type="pct"/>
          </w:tcPr>
          <w:p w14:paraId="12C6844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2.005</w:t>
            </w:r>
          </w:p>
        </w:tc>
        <w:tc>
          <w:tcPr>
            <w:tcW w:w="408" w:type="pct"/>
          </w:tcPr>
          <w:p w14:paraId="64CD70E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0.085</w:t>
            </w:r>
          </w:p>
        </w:tc>
      </w:tr>
      <w:tr w:rsidR="00637BD4" w:rsidRPr="00637BD4" w14:paraId="629238BF" w14:textId="77777777" w:rsidTr="00637BD4">
        <w:trPr>
          <w:trHeight w:val="235"/>
        </w:trPr>
        <w:tc>
          <w:tcPr>
            <w:tcW w:w="907" w:type="pct"/>
            <w:hideMark/>
          </w:tcPr>
          <w:p w14:paraId="4B253C2A"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IL-18 (</w:t>
            </w:r>
            <w:proofErr w:type="spellStart"/>
            <w:r w:rsidRPr="00637BD4">
              <w:rPr>
                <w:rFonts w:ascii="Garamond" w:hAnsi="Garamond"/>
                <w:b/>
                <w:bCs/>
                <w:iCs/>
                <w:sz w:val="20"/>
                <w:szCs w:val="20"/>
                <w:lang w:val="en-GB"/>
              </w:rPr>
              <w:t>pg</w:t>
            </w:r>
            <w:proofErr w:type="spellEnd"/>
            <w:r w:rsidRPr="00637BD4">
              <w:rPr>
                <w:rFonts w:ascii="Garamond" w:hAnsi="Garamond"/>
                <w:b/>
                <w:bCs/>
                <w:iCs/>
                <w:sz w:val="20"/>
                <w:szCs w:val="20"/>
                <w:lang w:val="en-GB"/>
              </w:rPr>
              <w:t>/mL)</w:t>
            </w:r>
          </w:p>
        </w:tc>
        <w:tc>
          <w:tcPr>
            <w:tcW w:w="647" w:type="pct"/>
          </w:tcPr>
          <w:p w14:paraId="6E81E1BC"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168.7 ± 39.9</w:t>
            </w:r>
          </w:p>
        </w:tc>
        <w:tc>
          <w:tcPr>
            <w:tcW w:w="649" w:type="pct"/>
          </w:tcPr>
          <w:p w14:paraId="07BDD84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268.1 ± 63.8</w:t>
            </w:r>
          </w:p>
        </w:tc>
        <w:tc>
          <w:tcPr>
            <w:tcW w:w="327" w:type="pct"/>
          </w:tcPr>
          <w:p w14:paraId="191E82FF"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7.200</w:t>
            </w:r>
          </w:p>
        </w:tc>
        <w:tc>
          <w:tcPr>
            <w:tcW w:w="330" w:type="pct"/>
            <w:tcBorders>
              <w:right w:val="single" w:sz="4" w:space="0" w:color="auto"/>
            </w:tcBorders>
          </w:tcPr>
          <w:p w14:paraId="42941F64"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0.000*</w:t>
            </w:r>
          </w:p>
        </w:tc>
        <w:tc>
          <w:tcPr>
            <w:tcW w:w="704" w:type="pct"/>
            <w:tcBorders>
              <w:left w:val="single" w:sz="4" w:space="0" w:color="auto"/>
            </w:tcBorders>
          </w:tcPr>
          <w:p w14:paraId="4785265B"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83.5 ± 17.3</w:t>
            </w:r>
          </w:p>
        </w:tc>
        <w:tc>
          <w:tcPr>
            <w:tcW w:w="647" w:type="pct"/>
          </w:tcPr>
          <w:p w14:paraId="5A1D418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185.2 ± 29.2</w:t>
            </w:r>
          </w:p>
        </w:tc>
        <w:tc>
          <w:tcPr>
            <w:tcW w:w="383" w:type="pct"/>
          </w:tcPr>
          <w:p w14:paraId="2F67DB6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6.114</w:t>
            </w:r>
          </w:p>
        </w:tc>
        <w:tc>
          <w:tcPr>
            <w:tcW w:w="408" w:type="pct"/>
          </w:tcPr>
          <w:p w14:paraId="3E58752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0.000*</w:t>
            </w:r>
          </w:p>
        </w:tc>
      </w:tr>
      <w:tr w:rsidR="00637BD4" w:rsidRPr="00637BD4" w14:paraId="56F28AE1" w14:textId="77777777" w:rsidTr="00637BD4">
        <w:trPr>
          <w:trHeight w:val="235"/>
        </w:trPr>
        <w:tc>
          <w:tcPr>
            <w:tcW w:w="907" w:type="pct"/>
            <w:hideMark/>
          </w:tcPr>
          <w:p w14:paraId="1E97D559"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HP (ng/mL)</w:t>
            </w:r>
          </w:p>
        </w:tc>
        <w:tc>
          <w:tcPr>
            <w:tcW w:w="647" w:type="pct"/>
          </w:tcPr>
          <w:p w14:paraId="41E088A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68.3 ± 22.9</w:t>
            </w:r>
          </w:p>
        </w:tc>
        <w:tc>
          <w:tcPr>
            <w:tcW w:w="649" w:type="pct"/>
          </w:tcPr>
          <w:p w14:paraId="5DE66566"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37.3 ± 14.7</w:t>
            </w:r>
          </w:p>
        </w:tc>
        <w:tc>
          <w:tcPr>
            <w:tcW w:w="327" w:type="pct"/>
          </w:tcPr>
          <w:p w14:paraId="6ACCDCE2"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4.891</w:t>
            </w:r>
          </w:p>
        </w:tc>
        <w:tc>
          <w:tcPr>
            <w:tcW w:w="330" w:type="pct"/>
            <w:tcBorders>
              <w:right w:val="single" w:sz="4" w:space="0" w:color="auto"/>
            </w:tcBorders>
          </w:tcPr>
          <w:p w14:paraId="5042BA5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0.000*</w:t>
            </w:r>
          </w:p>
        </w:tc>
        <w:tc>
          <w:tcPr>
            <w:tcW w:w="704" w:type="pct"/>
            <w:tcBorders>
              <w:left w:val="single" w:sz="4" w:space="0" w:color="auto"/>
            </w:tcBorders>
          </w:tcPr>
          <w:p w14:paraId="2AF39FB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109.8 ± 28.4</w:t>
            </w:r>
          </w:p>
        </w:tc>
        <w:tc>
          <w:tcPr>
            <w:tcW w:w="647" w:type="pct"/>
          </w:tcPr>
          <w:p w14:paraId="5F429F2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75.6 ± 20.7</w:t>
            </w:r>
          </w:p>
        </w:tc>
        <w:tc>
          <w:tcPr>
            <w:tcW w:w="383" w:type="pct"/>
          </w:tcPr>
          <w:p w14:paraId="19E037B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2.094</w:t>
            </w:r>
          </w:p>
        </w:tc>
        <w:tc>
          <w:tcPr>
            <w:tcW w:w="408" w:type="pct"/>
          </w:tcPr>
          <w:p w14:paraId="49C64930"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0.074</w:t>
            </w:r>
          </w:p>
        </w:tc>
      </w:tr>
      <w:tr w:rsidR="00637BD4" w:rsidRPr="00637BD4" w14:paraId="29CAD484" w14:textId="77777777" w:rsidTr="00637BD4">
        <w:trPr>
          <w:trHeight w:val="245"/>
        </w:trPr>
        <w:tc>
          <w:tcPr>
            <w:tcW w:w="907" w:type="pct"/>
            <w:hideMark/>
          </w:tcPr>
          <w:p w14:paraId="31C6CEC7"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PCV (%)</w:t>
            </w:r>
          </w:p>
        </w:tc>
        <w:tc>
          <w:tcPr>
            <w:tcW w:w="647" w:type="pct"/>
          </w:tcPr>
          <w:p w14:paraId="32F7777E"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22.0 ± 3.9</w:t>
            </w:r>
          </w:p>
        </w:tc>
        <w:tc>
          <w:tcPr>
            <w:tcW w:w="649" w:type="pct"/>
          </w:tcPr>
          <w:p w14:paraId="5AAFF663"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22.0 ± 3.6</w:t>
            </w:r>
          </w:p>
        </w:tc>
        <w:tc>
          <w:tcPr>
            <w:tcW w:w="327" w:type="pct"/>
          </w:tcPr>
          <w:p w14:paraId="2B8C1719"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0.000</w:t>
            </w:r>
          </w:p>
        </w:tc>
        <w:tc>
          <w:tcPr>
            <w:tcW w:w="330" w:type="pct"/>
            <w:tcBorders>
              <w:right w:val="single" w:sz="4" w:space="0" w:color="auto"/>
            </w:tcBorders>
          </w:tcPr>
          <w:p w14:paraId="385ED979"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1.000</w:t>
            </w:r>
          </w:p>
        </w:tc>
        <w:tc>
          <w:tcPr>
            <w:tcW w:w="704" w:type="pct"/>
            <w:tcBorders>
              <w:left w:val="single" w:sz="4" w:space="0" w:color="auto"/>
            </w:tcBorders>
          </w:tcPr>
          <w:p w14:paraId="29C9C40F"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41.0 ± 2.9</w:t>
            </w:r>
          </w:p>
        </w:tc>
        <w:tc>
          <w:tcPr>
            <w:tcW w:w="647" w:type="pct"/>
          </w:tcPr>
          <w:p w14:paraId="3C7349C4"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30.6 ± 3.8</w:t>
            </w:r>
          </w:p>
        </w:tc>
        <w:tc>
          <w:tcPr>
            <w:tcW w:w="383" w:type="pct"/>
          </w:tcPr>
          <w:p w14:paraId="2DE1C7A2"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4.444</w:t>
            </w:r>
          </w:p>
        </w:tc>
        <w:tc>
          <w:tcPr>
            <w:tcW w:w="408" w:type="pct"/>
          </w:tcPr>
          <w:p w14:paraId="49B46D1D"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0.003*</w:t>
            </w:r>
          </w:p>
        </w:tc>
      </w:tr>
      <w:tr w:rsidR="00637BD4" w:rsidRPr="00637BD4" w14:paraId="0F553FF7" w14:textId="77777777" w:rsidTr="00637BD4">
        <w:trPr>
          <w:trHeight w:val="235"/>
        </w:trPr>
        <w:tc>
          <w:tcPr>
            <w:tcW w:w="907" w:type="pct"/>
            <w:hideMark/>
          </w:tcPr>
          <w:p w14:paraId="6547A3C4"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Hb (g/dL)</w:t>
            </w:r>
          </w:p>
        </w:tc>
        <w:tc>
          <w:tcPr>
            <w:tcW w:w="647" w:type="pct"/>
          </w:tcPr>
          <w:p w14:paraId="086291EA"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7.6 ± 1.1</w:t>
            </w:r>
          </w:p>
        </w:tc>
        <w:tc>
          <w:tcPr>
            <w:tcW w:w="649" w:type="pct"/>
          </w:tcPr>
          <w:p w14:paraId="48846D36"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6.4 ± 0.3</w:t>
            </w:r>
          </w:p>
        </w:tc>
        <w:tc>
          <w:tcPr>
            <w:tcW w:w="327" w:type="pct"/>
          </w:tcPr>
          <w:p w14:paraId="1B5E9B1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3.675</w:t>
            </w:r>
          </w:p>
        </w:tc>
        <w:tc>
          <w:tcPr>
            <w:tcW w:w="330" w:type="pct"/>
            <w:tcBorders>
              <w:right w:val="single" w:sz="4" w:space="0" w:color="auto"/>
            </w:tcBorders>
          </w:tcPr>
          <w:p w14:paraId="17709F7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0.001*</w:t>
            </w:r>
          </w:p>
        </w:tc>
        <w:tc>
          <w:tcPr>
            <w:tcW w:w="704" w:type="pct"/>
            <w:tcBorders>
              <w:left w:val="single" w:sz="4" w:space="0" w:color="auto"/>
            </w:tcBorders>
          </w:tcPr>
          <w:p w14:paraId="56A27777"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14.0 ± 0.8</w:t>
            </w:r>
          </w:p>
        </w:tc>
        <w:tc>
          <w:tcPr>
            <w:tcW w:w="647" w:type="pct"/>
          </w:tcPr>
          <w:p w14:paraId="31CDE4E7"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11.2 ± 1.6</w:t>
            </w:r>
          </w:p>
        </w:tc>
        <w:tc>
          <w:tcPr>
            <w:tcW w:w="383" w:type="pct"/>
          </w:tcPr>
          <w:p w14:paraId="42D32F22"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3.167</w:t>
            </w:r>
          </w:p>
        </w:tc>
        <w:tc>
          <w:tcPr>
            <w:tcW w:w="408" w:type="pct"/>
          </w:tcPr>
          <w:p w14:paraId="3AC4148D"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0.016*</w:t>
            </w:r>
          </w:p>
        </w:tc>
      </w:tr>
      <w:tr w:rsidR="00637BD4" w:rsidRPr="00637BD4" w14:paraId="4CAAD4AD" w14:textId="77777777" w:rsidTr="00637BD4">
        <w:trPr>
          <w:trHeight w:val="235"/>
        </w:trPr>
        <w:tc>
          <w:tcPr>
            <w:tcW w:w="907" w:type="pct"/>
            <w:hideMark/>
          </w:tcPr>
          <w:p w14:paraId="548398EE"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WBC (x10</w:t>
            </w:r>
            <w:r w:rsidRPr="00637BD4">
              <w:rPr>
                <w:rFonts w:ascii="Garamond" w:hAnsi="Garamond"/>
                <w:b/>
                <w:bCs/>
                <w:iCs/>
                <w:sz w:val="20"/>
                <w:szCs w:val="20"/>
                <w:vertAlign w:val="superscript"/>
                <w:lang w:val="en-GB"/>
              </w:rPr>
              <w:t>9</w:t>
            </w:r>
            <w:r w:rsidRPr="00637BD4">
              <w:rPr>
                <w:rFonts w:ascii="Garamond" w:hAnsi="Garamond"/>
                <w:b/>
                <w:bCs/>
                <w:iCs/>
                <w:sz w:val="20"/>
                <w:szCs w:val="20"/>
                <w:lang w:val="en-GB"/>
              </w:rPr>
              <w:t xml:space="preserve"> cells/L)</w:t>
            </w:r>
          </w:p>
        </w:tc>
        <w:tc>
          <w:tcPr>
            <w:tcW w:w="647" w:type="pct"/>
          </w:tcPr>
          <w:p w14:paraId="578ED720"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20.3 ± 11.1</w:t>
            </w:r>
          </w:p>
        </w:tc>
        <w:tc>
          <w:tcPr>
            <w:tcW w:w="649" w:type="pct"/>
          </w:tcPr>
          <w:p w14:paraId="1DDFB959"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16.0 ± 5.2</w:t>
            </w:r>
          </w:p>
        </w:tc>
        <w:tc>
          <w:tcPr>
            <w:tcW w:w="327" w:type="pct"/>
          </w:tcPr>
          <w:p w14:paraId="2AD6533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1.226</w:t>
            </w:r>
          </w:p>
        </w:tc>
        <w:tc>
          <w:tcPr>
            <w:tcW w:w="330" w:type="pct"/>
            <w:tcBorders>
              <w:right w:val="single" w:sz="4" w:space="0" w:color="auto"/>
            </w:tcBorders>
          </w:tcPr>
          <w:p w14:paraId="7B4239B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0.231</w:t>
            </w:r>
          </w:p>
        </w:tc>
        <w:tc>
          <w:tcPr>
            <w:tcW w:w="704" w:type="pct"/>
            <w:tcBorders>
              <w:left w:val="single" w:sz="4" w:space="0" w:color="auto"/>
            </w:tcBorders>
          </w:tcPr>
          <w:p w14:paraId="36AC32AA"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5.6 ± 0.6</w:t>
            </w:r>
          </w:p>
        </w:tc>
        <w:tc>
          <w:tcPr>
            <w:tcW w:w="647" w:type="pct"/>
          </w:tcPr>
          <w:p w14:paraId="072064E0"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16.2 ± 2.8</w:t>
            </w:r>
          </w:p>
        </w:tc>
        <w:tc>
          <w:tcPr>
            <w:tcW w:w="383" w:type="pct"/>
          </w:tcPr>
          <w:p w14:paraId="00CA92F0"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7.497</w:t>
            </w:r>
          </w:p>
        </w:tc>
        <w:tc>
          <w:tcPr>
            <w:tcW w:w="408" w:type="pct"/>
          </w:tcPr>
          <w:p w14:paraId="76739F1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0.000*</w:t>
            </w:r>
          </w:p>
        </w:tc>
      </w:tr>
      <w:tr w:rsidR="00637BD4" w:rsidRPr="00637BD4" w14:paraId="4FA91EE9" w14:textId="77777777" w:rsidTr="00637BD4">
        <w:trPr>
          <w:trHeight w:val="311"/>
        </w:trPr>
        <w:tc>
          <w:tcPr>
            <w:tcW w:w="907" w:type="pct"/>
            <w:tcBorders>
              <w:bottom w:val="single" w:sz="12" w:space="0" w:color="auto"/>
            </w:tcBorders>
            <w:hideMark/>
          </w:tcPr>
          <w:p w14:paraId="50ADD361"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lang w:val="en-GB"/>
              </w:rPr>
              <w:t>PLTs (x10</w:t>
            </w:r>
            <w:r w:rsidRPr="00637BD4">
              <w:rPr>
                <w:rFonts w:ascii="Garamond" w:hAnsi="Garamond"/>
                <w:b/>
                <w:bCs/>
                <w:iCs/>
                <w:sz w:val="20"/>
                <w:szCs w:val="20"/>
                <w:vertAlign w:val="superscript"/>
                <w:lang w:val="en-GB"/>
              </w:rPr>
              <w:t>9</w:t>
            </w:r>
            <w:r w:rsidRPr="00637BD4">
              <w:rPr>
                <w:rFonts w:ascii="Garamond" w:hAnsi="Garamond"/>
                <w:b/>
                <w:bCs/>
                <w:iCs/>
                <w:sz w:val="20"/>
                <w:szCs w:val="20"/>
                <w:lang w:val="en-GB"/>
              </w:rPr>
              <w:t xml:space="preserve"> cells/L)</w:t>
            </w:r>
          </w:p>
        </w:tc>
        <w:tc>
          <w:tcPr>
            <w:tcW w:w="647" w:type="pct"/>
            <w:tcBorders>
              <w:bottom w:val="single" w:sz="12" w:space="0" w:color="auto"/>
            </w:tcBorders>
          </w:tcPr>
          <w:p w14:paraId="3793049C"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615.0 ± 214.9</w:t>
            </w:r>
          </w:p>
        </w:tc>
        <w:tc>
          <w:tcPr>
            <w:tcW w:w="649" w:type="pct"/>
            <w:tcBorders>
              <w:bottom w:val="single" w:sz="12" w:space="0" w:color="auto"/>
            </w:tcBorders>
          </w:tcPr>
          <w:p w14:paraId="1E249C6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588.8 ± 208.6</w:t>
            </w:r>
          </w:p>
        </w:tc>
        <w:tc>
          <w:tcPr>
            <w:tcW w:w="327" w:type="pct"/>
            <w:tcBorders>
              <w:bottom w:val="single" w:sz="12" w:space="0" w:color="auto"/>
            </w:tcBorders>
          </w:tcPr>
          <w:p w14:paraId="7D90088E"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7.873</w:t>
            </w:r>
          </w:p>
        </w:tc>
        <w:tc>
          <w:tcPr>
            <w:tcW w:w="330" w:type="pct"/>
            <w:tcBorders>
              <w:bottom w:val="single" w:sz="12" w:space="0" w:color="auto"/>
              <w:right w:val="single" w:sz="4" w:space="0" w:color="auto"/>
            </w:tcBorders>
          </w:tcPr>
          <w:p w14:paraId="19A52F31"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0.000*</w:t>
            </w:r>
          </w:p>
        </w:tc>
        <w:tc>
          <w:tcPr>
            <w:tcW w:w="704" w:type="pct"/>
            <w:tcBorders>
              <w:left w:val="single" w:sz="4" w:space="0" w:color="auto"/>
              <w:bottom w:val="single" w:sz="12" w:space="0" w:color="auto"/>
            </w:tcBorders>
          </w:tcPr>
          <w:p w14:paraId="71102B29"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287.8 ± 46.1</w:t>
            </w:r>
          </w:p>
        </w:tc>
        <w:tc>
          <w:tcPr>
            <w:tcW w:w="647" w:type="pct"/>
            <w:tcBorders>
              <w:bottom w:val="single" w:sz="12" w:space="0" w:color="auto"/>
            </w:tcBorders>
          </w:tcPr>
          <w:p w14:paraId="1454C539"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217.0 ± 42.3</w:t>
            </w:r>
          </w:p>
        </w:tc>
        <w:tc>
          <w:tcPr>
            <w:tcW w:w="383" w:type="pct"/>
            <w:tcBorders>
              <w:bottom w:val="single" w:sz="12" w:space="0" w:color="auto"/>
            </w:tcBorders>
          </w:tcPr>
          <w:p w14:paraId="131EE2F8"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2.399</w:t>
            </w:r>
          </w:p>
        </w:tc>
        <w:tc>
          <w:tcPr>
            <w:tcW w:w="408" w:type="pct"/>
            <w:tcBorders>
              <w:bottom w:val="single" w:sz="12" w:space="0" w:color="auto"/>
            </w:tcBorders>
          </w:tcPr>
          <w:p w14:paraId="22F5ED9B"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0.048*</w:t>
            </w:r>
          </w:p>
        </w:tc>
      </w:tr>
    </w:tbl>
    <w:p w14:paraId="2613B50D" w14:textId="77777777" w:rsidR="00637BD4" w:rsidRPr="00501798" w:rsidRDefault="00637BD4" w:rsidP="00637BD4">
      <w:pPr>
        <w:spacing w:line="259" w:lineRule="auto"/>
        <w:jc w:val="both"/>
        <w:rPr>
          <w:rFonts w:ascii="Garamond" w:hAnsi="Garamond"/>
          <w:iCs/>
          <w:sz w:val="16"/>
          <w:szCs w:val="16"/>
        </w:rPr>
      </w:pPr>
      <w:r w:rsidRPr="00501798">
        <w:rPr>
          <w:rFonts w:ascii="Garamond" w:hAnsi="Garamond"/>
          <w:iCs/>
          <w:sz w:val="16"/>
          <w:szCs w:val="16"/>
        </w:rPr>
        <w:t>*Values are significantly different at p&lt;0.05</w:t>
      </w:r>
    </w:p>
    <w:p w14:paraId="5D15767B" w14:textId="77777777" w:rsidR="00637BD4" w:rsidRPr="00501798" w:rsidRDefault="00637BD4" w:rsidP="00637BD4">
      <w:pPr>
        <w:spacing w:line="259" w:lineRule="auto"/>
        <w:jc w:val="both"/>
        <w:rPr>
          <w:rFonts w:ascii="Garamond" w:hAnsi="Garamond"/>
          <w:iCs/>
          <w:sz w:val="16"/>
          <w:szCs w:val="16"/>
        </w:rPr>
      </w:pPr>
      <w:r w:rsidRPr="00501798">
        <w:rPr>
          <w:rFonts w:ascii="Garamond" w:hAnsi="Garamond"/>
          <w:b/>
          <w:bCs/>
          <w:iCs/>
          <w:sz w:val="16"/>
          <w:szCs w:val="16"/>
        </w:rPr>
        <w:t>Keys:</w:t>
      </w:r>
      <w:r w:rsidRPr="00501798">
        <w:rPr>
          <w:rFonts w:ascii="Garamond" w:hAnsi="Garamond"/>
          <w:iCs/>
          <w:sz w:val="16"/>
          <w:szCs w:val="16"/>
        </w:rPr>
        <w:t xml:space="preserve"> </w:t>
      </w:r>
      <w:r w:rsidRPr="00501798">
        <w:rPr>
          <w:rFonts w:ascii="Garamond" w:hAnsi="Garamond"/>
          <w:b/>
          <w:bCs/>
          <w:iCs/>
          <w:sz w:val="16"/>
          <w:szCs w:val="16"/>
        </w:rPr>
        <w:t>KIM-1</w:t>
      </w:r>
      <w:r w:rsidRPr="00501798">
        <w:rPr>
          <w:rFonts w:ascii="Garamond" w:hAnsi="Garamond"/>
          <w:iCs/>
          <w:sz w:val="16"/>
          <w:szCs w:val="16"/>
        </w:rPr>
        <w:t xml:space="preserve">: Kidney Injury Molecule-1, </w:t>
      </w:r>
      <w:r w:rsidRPr="00501798">
        <w:rPr>
          <w:rFonts w:ascii="Garamond" w:hAnsi="Garamond"/>
          <w:b/>
          <w:bCs/>
          <w:iCs/>
          <w:sz w:val="16"/>
          <w:szCs w:val="16"/>
        </w:rPr>
        <w:t>NGAL</w:t>
      </w:r>
      <w:r w:rsidRPr="00501798">
        <w:rPr>
          <w:rFonts w:ascii="Garamond" w:hAnsi="Garamond"/>
          <w:iCs/>
          <w:sz w:val="16"/>
          <w:szCs w:val="16"/>
        </w:rPr>
        <w:t xml:space="preserve">: Neutrophil Gelatinase-associated Lipocalin, </w:t>
      </w:r>
      <w:r w:rsidRPr="00501798">
        <w:rPr>
          <w:rFonts w:ascii="Garamond" w:hAnsi="Garamond"/>
          <w:b/>
          <w:bCs/>
          <w:iCs/>
          <w:sz w:val="16"/>
          <w:szCs w:val="16"/>
        </w:rPr>
        <w:t>HP</w:t>
      </w:r>
      <w:r w:rsidRPr="00501798">
        <w:rPr>
          <w:rFonts w:ascii="Garamond" w:hAnsi="Garamond"/>
          <w:iCs/>
          <w:sz w:val="16"/>
          <w:szCs w:val="16"/>
        </w:rPr>
        <w:t xml:space="preserve">: Haptoglobin, </w:t>
      </w:r>
      <w:r w:rsidRPr="00501798">
        <w:rPr>
          <w:rFonts w:ascii="Garamond" w:hAnsi="Garamond"/>
          <w:b/>
          <w:bCs/>
          <w:iCs/>
          <w:sz w:val="16"/>
          <w:szCs w:val="16"/>
        </w:rPr>
        <w:t>PCV</w:t>
      </w:r>
      <w:r w:rsidRPr="00501798">
        <w:rPr>
          <w:rFonts w:ascii="Garamond" w:hAnsi="Garamond"/>
          <w:iCs/>
          <w:sz w:val="16"/>
          <w:szCs w:val="16"/>
        </w:rPr>
        <w:t xml:space="preserve">: Packed Cells Volume, </w:t>
      </w:r>
      <w:r w:rsidRPr="00501798">
        <w:rPr>
          <w:rFonts w:ascii="Garamond" w:hAnsi="Garamond"/>
          <w:b/>
          <w:bCs/>
          <w:iCs/>
          <w:sz w:val="16"/>
          <w:szCs w:val="16"/>
        </w:rPr>
        <w:t>Hb</w:t>
      </w:r>
      <w:r w:rsidRPr="00501798">
        <w:rPr>
          <w:rFonts w:ascii="Garamond" w:hAnsi="Garamond"/>
          <w:iCs/>
          <w:sz w:val="16"/>
          <w:szCs w:val="16"/>
        </w:rPr>
        <w:t xml:space="preserve">: </w:t>
      </w:r>
      <w:proofErr w:type="spellStart"/>
      <w:r w:rsidRPr="00501798">
        <w:rPr>
          <w:rFonts w:ascii="Garamond" w:hAnsi="Garamond"/>
          <w:iCs/>
          <w:sz w:val="16"/>
          <w:szCs w:val="16"/>
        </w:rPr>
        <w:t>Haemoglobin</w:t>
      </w:r>
      <w:proofErr w:type="spellEnd"/>
      <w:r w:rsidRPr="00501798">
        <w:rPr>
          <w:rFonts w:ascii="Garamond" w:hAnsi="Garamond"/>
          <w:iCs/>
          <w:sz w:val="16"/>
          <w:szCs w:val="16"/>
        </w:rPr>
        <w:t xml:space="preserve"> concentration, </w:t>
      </w:r>
      <w:r w:rsidRPr="00501798">
        <w:rPr>
          <w:rFonts w:ascii="Garamond" w:hAnsi="Garamond"/>
          <w:b/>
          <w:bCs/>
          <w:iCs/>
          <w:sz w:val="16"/>
          <w:szCs w:val="16"/>
        </w:rPr>
        <w:t>WBC</w:t>
      </w:r>
      <w:r w:rsidRPr="00501798">
        <w:rPr>
          <w:rFonts w:ascii="Garamond" w:hAnsi="Garamond"/>
          <w:iCs/>
          <w:sz w:val="16"/>
          <w:szCs w:val="16"/>
        </w:rPr>
        <w:t xml:space="preserve">: White Blood Cells Count, </w:t>
      </w:r>
      <w:r w:rsidRPr="00501798">
        <w:rPr>
          <w:rFonts w:ascii="Garamond" w:hAnsi="Garamond"/>
          <w:b/>
          <w:bCs/>
          <w:iCs/>
          <w:sz w:val="16"/>
          <w:szCs w:val="16"/>
        </w:rPr>
        <w:t>PLTs</w:t>
      </w:r>
      <w:r w:rsidRPr="00501798">
        <w:rPr>
          <w:rFonts w:ascii="Garamond" w:hAnsi="Garamond"/>
          <w:iCs/>
          <w:sz w:val="16"/>
          <w:szCs w:val="16"/>
        </w:rPr>
        <w:t>: Platelets count.</w:t>
      </w:r>
    </w:p>
    <w:p w14:paraId="2443F23E" w14:textId="77777777" w:rsidR="00637BD4" w:rsidRDefault="00637BD4" w:rsidP="008B0BAA">
      <w:pPr>
        <w:spacing w:line="259" w:lineRule="auto"/>
        <w:jc w:val="both"/>
        <w:rPr>
          <w:rFonts w:ascii="Garamond" w:hAnsi="Garamond"/>
          <w:iCs/>
          <w:sz w:val="20"/>
          <w:szCs w:val="20"/>
        </w:rPr>
      </w:pPr>
    </w:p>
    <w:p w14:paraId="629FC60F" w14:textId="77777777" w:rsidR="00637BD4" w:rsidRPr="00637BD4" w:rsidRDefault="00637BD4" w:rsidP="00637BD4">
      <w:pPr>
        <w:spacing w:line="259" w:lineRule="auto"/>
        <w:jc w:val="both"/>
        <w:rPr>
          <w:rFonts w:ascii="Garamond" w:hAnsi="Garamond"/>
          <w:b/>
          <w:bCs/>
          <w:iCs/>
          <w:sz w:val="20"/>
          <w:szCs w:val="20"/>
        </w:rPr>
      </w:pPr>
      <w:r w:rsidRPr="00637BD4">
        <w:rPr>
          <w:rFonts w:ascii="Garamond" w:hAnsi="Garamond"/>
          <w:b/>
          <w:bCs/>
          <w:iCs/>
          <w:sz w:val="20"/>
          <w:szCs w:val="20"/>
        </w:rPr>
        <w:t xml:space="preserve">Analysis of variance and post-hoc test for effects of SCD in crisis </w:t>
      </w:r>
      <w:r w:rsidRPr="00637BD4">
        <w:rPr>
          <w:rFonts w:ascii="Garamond" w:hAnsi="Garamond"/>
          <w:b/>
          <w:bCs/>
          <w:iCs/>
          <w:sz w:val="20"/>
          <w:szCs w:val="20"/>
          <w:lang w:val="en-GB"/>
        </w:rPr>
        <w:t>on haptoglobin, creatinine, markers of AKI and haematological parameters.</w:t>
      </w:r>
    </w:p>
    <w:p w14:paraId="267E2736"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 xml:space="preserve">Table 5 shows the analysis of variance (ANOVA) between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in crisis,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in crisis, and the control for the mean ± SD values of their haptoglobin, creatinine, KIM-1, NGAL, IL-18 and </w:t>
      </w:r>
      <w:proofErr w:type="spellStart"/>
      <w:r w:rsidRPr="00637BD4">
        <w:rPr>
          <w:rFonts w:ascii="Garamond" w:hAnsi="Garamond"/>
          <w:iCs/>
          <w:sz w:val="20"/>
          <w:szCs w:val="20"/>
        </w:rPr>
        <w:t>haematological</w:t>
      </w:r>
      <w:proofErr w:type="spellEnd"/>
      <w:r w:rsidRPr="00637BD4">
        <w:rPr>
          <w:rFonts w:ascii="Garamond" w:hAnsi="Garamond"/>
          <w:iCs/>
          <w:sz w:val="20"/>
          <w:szCs w:val="20"/>
        </w:rPr>
        <w:t xml:space="preserve"> parameters. The mean ± SD values of PCV, Hb, WBC, and HP of the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undergoing crisis are significantly lower (p values &lt; 0.05) than those of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undergoing similar crises and those of controls. </w:t>
      </w:r>
    </w:p>
    <w:p w14:paraId="50B2FC76"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 xml:space="preserve">Similarly, the mean ± SD of PLTs, NGAL, KIM-1 and IL-18 for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undergoing crisis were significantly higher (p-value &lt; 0.05) than those of the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undergoing crisis and those of the control. However, the mean ± SD of creatinine in the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undergoing crisis had no significant difference from the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undergoing a similar crisis.</w:t>
      </w:r>
      <w:bookmarkStart w:id="15" w:name="_Hlk202092583"/>
      <w:r w:rsidRPr="00637BD4">
        <w:rPr>
          <w:rFonts w:ascii="Garamond" w:hAnsi="Garamond"/>
          <w:iCs/>
          <w:sz w:val="20"/>
          <w:szCs w:val="20"/>
        </w:rPr>
        <w:t xml:space="preserve"> </w:t>
      </w:r>
    </w:p>
    <w:p w14:paraId="7D8C1D65"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 xml:space="preserve">The post-hoc analysis showed that the statistically significant differences in the means of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undergoing crisis and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undergoing crisis for WBC (x 10</w:t>
      </w:r>
      <w:r w:rsidRPr="00637BD4">
        <w:rPr>
          <w:rFonts w:ascii="Garamond" w:hAnsi="Garamond"/>
          <w:iCs/>
          <w:sz w:val="20"/>
          <w:szCs w:val="20"/>
          <w:vertAlign w:val="superscript"/>
        </w:rPr>
        <w:t>6</w:t>
      </w:r>
      <w:r w:rsidRPr="00637BD4">
        <w:rPr>
          <w:rFonts w:ascii="Garamond" w:hAnsi="Garamond"/>
          <w:iCs/>
          <w:sz w:val="20"/>
          <w:szCs w:val="20"/>
        </w:rPr>
        <w:t xml:space="preserve"> cells/L) were not truly significant (p-value &gt; 0.05). Also, the mean difference observed between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undergoing crisis and controls for platelet counts (x 10</w:t>
      </w:r>
      <w:r w:rsidRPr="00637BD4">
        <w:rPr>
          <w:rFonts w:ascii="Garamond" w:hAnsi="Garamond"/>
          <w:iCs/>
          <w:sz w:val="20"/>
          <w:szCs w:val="20"/>
          <w:vertAlign w:val="superscript"/>
        </w:rPr>
        <w:t>9</w:t>
      </w:r>
      <w:r w:rsidRPr="00637BD4">
        <w:rPr>
          <w:rFonts w:ascii="Garamond" w:hAnsi="Garamond"/>
          <w:iCs/>
          <w:sz w:val="20"/>
          <w:szCs w:val="20"/>
        </w:rPr>
        <w:t xml:space="preserve"> cells/L) was not significant (p-value &gt; 0.05). As for the mean creatinine concentration (µmol/L), the mean difference observed was only significant (p-value &lt; 0.05) for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undergoing crisis and control, while KIM-1 mean differences were also not statistically significant for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undergoing crisis and control. </w:t>
      </w:r>
      <w:bookmarkEnd w:id="15"/>
    </w:p>
    <w:p w14:paraId="0350A66E" w14:textId="77777777" w:rsidR="00637BD4" w:rsidRPr="00637BD4" w:rsidRDefault="00637BD4" w:rsidP="00637BD4">
      <w:pPr>
        <w:spacing w:line="259" w:lineRule="auto"/>
        <w:jc w:val="both"/>
        <w:rPr>
          <w:rFonts w:ascii="Garamond" w:hAnsi="Garamond"/>
          <w:b/>
          <w:bCs/>
          <w:iCs/>
          <w:sz w:val="20"/>
          <w:szCs w:val="20"/>
        </w:rPr>
      </w:pPr>
    </w:p>
    <w:p w14:paraId="480D6B74" w14:textId="77777777" w:rsidR="00637BD4" w:rsidRPr="00637BD4" w:rsidRDefault="00637BD4" w:rsidP="00637BD4">
      <w:pPr>
        <w:spacing w:line="259" w:lineRule="auto"/>
        <w:jc w:val="both"/>
        <w:rPr>
          <w:rFonts w:ascii="Garamond" w:hAnsi="Garamond"/>
          <w:b/>
          <w:bCs/>
          <w:iCs/>
          <w:sz w:val="20"/>
          <w:szCs w:val="20"/>
          <w:lang w:val="en-GB"/>
        </w:rPr>
      </w:pPr>
      <w:r w:rsidRPr="00637BD4">
        <w:rPr>
          <w:rFonts w:ascii="Garamond" w:hAnsi="Garamond"/>
          <w:b/>
          <w:bCs/>
          <w:iCs/>
          <w:sz w:val="20"/>
          <w:szCs w:val="20"/>
        </w:rPr>
        <w:t xml:space="preserve">Analysis of variance and post-hoc test for effects of steady SCD </w:t>
      </w:r>
      <w:r w:rsidRPr="00637BD4">
        <w:rPr>
          <w:rFonts w:ascii="Garamond" w:hAnsi="Garamond"/>
          <w:b/>
          <w:bCs/>
          <w:iCs/>
          <w:sz w:val="20"/>
          <w:szCs w:val="20"/>
          <w:lang w:val="en-GB"/>
        </w:rPr>
        <w:t>on haptoglobin, creatinine, markers of AKI</w:t>
      </w:r>
      <w:r w:rsidRPr="00637BD4">
        <w:rPr>
          <w:rFonts w:ascii="Garamond" w:hAnsi="Garamond"/>
          <w:iCs/>
          <w:sz w:val="20"/>
          <w:szCs w:val="20"/>
          <w:lang w:val="en-GB"/>
        </w:rPr>
        <w:t xml:space="preserve"> </w:t>
      </w:r>
      <w:r w:rsidRPr="00637BD4">
        <w:rPr>
          <w:rFonts w:ascii="Garamond" w:hAnsi="Garamond"/>
          <w:b/>
          <w:bCs/>
          <w:iCs/>
          <w:sz w:val="20"/>
          <w:szCs w:val="20"/>
          <w:lang w:val="en-GB"/>
        </w:rPr>
        <w:t>and haematological parameters.</w:t>
      </w:r>
    </w:p>
    <w:p w14:paraId="45E02266" w14:textId="77777777" w:rsidR="00637BD4" w:rsidRPr="00637BD4" w:rsidRDefault="00637BD4" w:rsidP="00637BD4">
      <w:pPr>
        <w:spacing w:line="259" w:lineRule="auto"/>
        <w:jc w:val="both"/>
        <w:rPr>
          <w:rFonts w:ascii="Garamond" w:hAnsi="Garamond"/>
          <w:iCs/>
          <w:sz w:val="20"/>
          <w:szCs w:val="20"/>
        </w:rPr>
      </w:pPr>
      <w:r w:rsidRPr="00637BD4">
        <w:rPr>
          <w:rFonts w:ascii="Garamond" w:hAnsi="Garamond"/>
          <w:iCs/>
          <w:sz w:val="20"/>
          <w:szCs w:val="20"/>
        </w:rPr>
        <w:t xml:space="preserve">Table 5 showed the analysis of variance (ANOVA) for steady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and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SCD subjects and controls for their </w:t>
      </w:r>
      <w:bookmarkStart w:id="16" w:name="_Hlk197849044"/>
      <w:r w:rsidRPr="00637BD4">
        <w:rPr>
          <w:rFonts w:ascii="Garamond" w:hAnsi="Garamond"/>
          <w:iCs/>
          <w:sz w:val="20"/>
          <w:szCs w:val="20"/>
        </w:rPr>
        <w:t xml:space="preserve">mean ± SD values of haptoglobin, creatinine, KIM-1, NGAL, IL-18 and </w:t>
      </w:r>
      <w:proofErr w:type="spellStart"/>
      <w:r w:rsidRPr="00637BD4">
        <w:rPr>
          <w:rFonts w:ascii="Garamond" w:hAnsi="Garamond"/>
          <w:iCs/>
          <w:sz w:val="20"/>
          <w:szCs w:val="20"/>
        </w:rPr>
        <w:t>haematological</w:t>
      </w:r>
      <w:proofErr w:type="spellEnd"/>
      <w:r w:rsidRPr="00637BD4">
        <w:rPr>
          <w:rFonts w:ascii="Garamond" w:hAnsi="Garamond"/>
          <w:iCs/>
          <w:sz w:val="20"/>
          <w:szCs w:val="20"/>
        </w:rPr>
        <w:t xml:space="preserve"> parameters</w:t>
      </w:r>
      <w:bookmarkEnd w:id="16"/>
      <w:r w:rsidRPr="00637BD4">
        <w:rPr>
          <w:rFonts w:ascii="Garamond" w:hAnsi="Garamond"/>
          <w:iCs/>
          <w:sz w:val="20"/>
          <w:szCs w:val="20"/>
        </w:rPr>
        <w:t xml:space="preserve">. The findings of the study showed that the mean ± SD values of creatinine, KIM-1, NGAL, IL-18, and WBC for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in steady state were significantly higher (p-values &lt; 0.05) than their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counterparts and the control. However, the mean ± SD values of haptoglobin, PCV and Hb for </w:t>
      </w:r>
      <w:proofErr w:type="spellStart"/>
      <w:r w:rsidRPr="00637BD4">
        <w:rPr>
          <w:rFonts w:ascii="Garamond" w:hAnsi="Garamond"/>
          <w:iCs/>
          <w:sz w:val="20"/>
          <w:szCs w:val="20"/>
        </w:rPr>
        <w:t>HbSS</w:t>
      </w:r>
      <w:proofErr w:type="spellEnd"/>
      <w:r w:rsidRPr="00637BD4">
        <w:rPr>
          <w:rFonts w:ascii="Garamond" w:hAnsi="Garamond"/>
          <w:iCs/>
          <w:sz w:val="20"/>
          <w:szCs w:val="20"/>
        </w:rPr>
        <w:t xml:space="preserve"> subjects in steady state were significantly lower (p-value &lt; 0.05) than those of </w:t>
      </w:r>
      <w:proofErr w:type="spellStart"/>
      <w:r w:rsidRPr="00637BD4">
        <w:rPr>
          <w:rFonts w:ascii="Garamond" w:hAnsi="Garamond"/>
          <w:iCs/>
          <w:sz w:val="20"/>
          <w:szCs w:val="20"/>
        </w:rPr>
        <w:t>HbSC</w:t>
      </w:r>
      <w:proofErr w:type="spellEnd"/>
      <w:r w:rsidRPr="00637BD4">
        <w:rPr>
          <w:rFonts w:ascii="Garamond" w:hAnsi="Garamond"/>
          <w:iCs/>
          <w:sz w:val="20"/>
          <w:szCs w:val="20"/>
        </w:rPr>
        <w:t xml:space="preserve"> subjects in steady state and the control.</w:t>
      </w:r>
    </w:p>
    <w:p w14:paraId="42948B0E" w14:textId="77777777" w:rsidR="00637BD4" w:rsidRPr="00637BD4" w:rsidRDefault="00637BD4" w:rsidP="00637BD4">
      <w:pPr>
        <w:spacing w:line="259" w:lineRule="auto"/>
        <w:jc w:val="both"/>
        <w:rPr>
          <w:rFonts w:ascii="Garamond" w:hAnsi="Garamond"/>
          <w:iCs/>
          <w:sz w:val="20"/>
          <w:szCs w:val="20"/>
        </w:rPr>
      </w:pPr>
      <w:bookmarkStart w:id="17" w:name="_Hlk202093288"/>
      <w:r w:rsidRPr="00637BD4">
        <w:rPr>
          <w:rFonts w:ascii="Garamond" w:hAnsi="Garamond"/>
          <w:iCs/>
          <w:sz w:val="20"/>
          <w:szCs w:val="20"/>
        </w:rPr>
        <w:t>The post-hoc analysis showed that the statistically significant differences observed for the effects of SCD on PCV (%), Hb (g/dL), PLTs (x 10</w:t>
      </w:r>
      <w:r w:rsidRPr="00637BD4">
        <w:rPr>
          <w:rFonts w:ascii="Garamond" w:hAnsi="Garamond"/>
          <w:iCs/>
          <w:sz w:val="20"/>
          <w:szCs w:val="20"/>
          <w:vertAlign w:val="superscript"/>
        </w:rPr>
        <w:t>9</w:t>
      </w:r>
      <w:r w:rsidRPr="00637BD4">
        <w:rPr>
          <w:rFonts w:ascii="Garamond" w:hAnsi="Garamond"/>
          <w:iCs/>
          <w:sz w:val="20"/>
          <w:szCs w:val="20"/>
        </w:rPr>
        <w:t xml:space="preserve"> cells/L), and WBC (x 10</w:t>
      </w:r>
      <w:r w:rsidRPr="00637BD4">
        <w:rPr>
          <w:rFonts w:ascii="Garamond" w:hAnsi="Garamond"/>
          <w:iCs/>
          <w:sz w:val="20"/>
          <w:szCs w:val="20"/>
          <w:vertAlign w:val="superscript"/>
        </w:rPr>
        <w:t>6</w:t>
      </w:r>
      <w:r w:rsidRPr="00637BD4">
        <w:rPr>
          <w:rFonts w:ascii="Garamond" w:hAnsi="Garamond"/>
          <w:iCs/>
          <w:sz w:val="20"/>
          <w:szCs w:val="20"/>
        </w:rPr>
        <w:t xml:space="preserve"> cells/L) do not apply to heterozygous subjects and controls, as the mean differences between them are not statistically significant (p value &gt; 0.05). Similarly, the observed statistical difference in the mean creatinine concentration (µmol/L) and KIM-1(ng/mL) is not applicable between homozygous subjects and </w:t>
      </w:r>
      <w:r w:rsidRPr="00637BD4">
        <w:rPr>
          <w:rFonts w:ascii="Garamond" w:hAnsi="Garamond"/>
          <w:iCs/>
          <w:sz w:val="20"/>
          <w:szCs w:val="20"/>
        </w:rPr>
        <w:lastRenderedPageBreak/>
        <w:t>heterozygous subjects in steady states.  In addition, the mean differences between heterozygous subjects in steady state and control were not significant for IL-18 (ng/mL) and Haptoglobin (ng/dL) since their p-values were greater than 0.05.</w:t>
      </w:r>
    </w:p>
    <w:bookmarkEnd w:id="17"/>
    <w:p w14:paraId="199578F3" w14:textId="77777777" w:rsidR="00637BD4" w:rsidRDefault="00637BD4" w:rsidP="008B0BAA">
      <w:pPr>
        <w:spacing w:line="259" w:lineRule="auto"/>
        <w:jc w:val="both"/>
        <w:rPr>
          <w:rFonts w:ascii="Garamond" w:hAnsi="Garamond"/>
          <w:iCs/>
          <w:sz w:val="20"/>
          <w:szCs w:val="20"/>
        </w:rPr>
      </w:pPr>
    </w:p>
    <w:p w14:paraId="3F425347" w14:textId="77777777" w:rsidR="00637BD4" w:rsidRDefault="00637BD4" w:rsidP="008B0BAA">
      <w:pPr>
        <w:spacing w:line="259" w:lineRule="auto"/>
        <w:jc w:val="both"/>
        <w:rPr>
          <w:rFonts w:ascii="Garamond" w:hAnsi="Garamond"/>
          <w:iCs/>
          <w:sz w:val="20"/>
          <w:szCs w:val="20"/>
        </w:rPr>
      </w:pPr>
    </w:p>
    <w:p w14:paraId="7B4B726A" w14:textId="77777777" w:rsidR="00637BD4" w:rsidRDefault="00637BD4" w:rsidP="008B0BAA">
      <w:pPr>
        <w:spacing w:line="259" w:lineRule="auto"/>
        <w:jc w:val="both"/>
        <w:rPr>
          <w:rFonts w:ascii="Garamond" w:hAnsi="Garamond"/>
          <w:iCs/>
          <w:sz w:val="20"/>
          <w:szCs w:val="20"/>
        </w:rPr>
      </w:pPr>
    </w:p>
    <w:p w14:paraId="2D758B0F" w14:textId="2DE4DA56" w:rsidR="00637BD4" w:rsidRPr="00637BD4" w:rsidRDefault="00637BD4" w:rsidP="00637BD4">
      <w:pPr>
        <w:spacing w:line="259" w:lineRule="auto"/>
        <w:jc w:val="both"/>
        <w:rPr>
          <w:rFonts w:ascii="Garamond" w:hAnsi="Garamond"/>
          <w:b/>
          <w:bCs/>
          <w:iCs/>
          <w:sz w:val="20"/>
          <w:szCs w:val="20"/>
          <w:lang w:val="en-GB"/>
        </w:rPr>
      </w:pPr>
      <w:bookmarkStart w:id="18" w:name="_Hlk204409680"/>
      <w:r w:rsidRPr="00637BD4">
        <w:rPr>
          <w:rFonts w:ascii="Garamond" w:hAnsi="Garamond"/>
          <w:b/>
          <w:bCs/>
          <w:iCs/>
          <w:sz w:val="20"/>
          <w:szCs w:val="20"/>
        </w:rPr>
        <w:t>Table 5</w:t>
      </w:r>
      <w:r w:rsidR="00F7501B">
        <w:rPr>
          <w:rFonts w:ascii="Garamond" w:hAnsi="Garamond"/>
          <w:b/>
          <w:bCs/>
          <w:iCs/>
          <w:sz w:val="20"/>
          <w:szCs w:val="20"/>
        </w:rPr>
        <w:t>:</w:t>
      </w:r>
      <w:r w:rsidRPr="00637BD4">
        <w:rPr>
          <w:rFonts w:ascii="Garamond" w:hAnsi="Garamond"/>
          <w:b/>
          <w:bCs/>
          <w:iCs/>
          <w:sz w:val="20"/>
          <w:szCs w:val="20"/>
        </w:rPr>
        <w:t xml:space="preserve"> </w:t>
      </w:r>
      <w:r w:rsidRPr="00637BD4">
        <w:rPr>
          <w:rFonts w:ascii="Garamond" w:hAnsi="Garamond"/>
          <w:iCs/>
          <w:sz w:val="20"/>
          <w:szCs w:val="20"/>
        </w:rPr>
        <w:t xml:space="preserve">Analysis of variance for effects of SCD in crisis and steady state </w:t>
      </w:r>
      <w:r w:rsidRPr="00637BD4">
        <w:rPr>
          <w:rFonts w:ascii="Garamond" w:hAnsi="Garamond"/>
          <w:iCs/>
          <w:sz w:val="20"/>
          <w:szCs w:val="20"/>
          <w:lang w:val="en-GB"/>
        </w:rPr>
        <w:t>on haptoglobin, creatinine, markers of AKI and haematological parameters</w:t>
      </w:r>
      <w:r w:rsidRPr="00637BD4">
        <w:rPr>
          <w:rFonts w:ascii="Garamond" w:hAnsi="Garamond"/>
          <w:b/>
          <w:bCs/>
          <w:iCs/>
          <w:sz w:val="20"/>
          <w:szCs w:val="20"/>
          <w:lang w:val="en-GB"/>
        </w:rPr>
        <w:t>.</w:t>
      </w:r>
    </w:p>
    <w:tbl>
      <w:tblPr>
        <w:tblStyle w:val="TableGrid"/>
        <w:tblW w:w="6222"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1265"/>
        <w:gridCol w:w="1199"/>
        <w:gridCol w:w="1255"/>
        <w:gridCol w:w="6"/>
        <w:gridCol w:w="806"/>
        <w:gridCol w:w="6"/>
        <w:gridCol w:w="790"/>
        <w:gridCol w:w="1236"/>
        <w:gridCol w:w="1156"/>
        <w:gridCol w:w="1149"/>
        <w:gridCol w:w="816"/>
        <w:gridCol w:w="844"/>
      </w:tblGrid>
      <w:tr w:rsidR="00637BD4" w:rsidRPr="00637BD4" w14:paraId="1DF37366" w14:textId="77777777" w:rsidTr="00F7501B">
        <w:trPr>
          <w:trHeight w:val="411"/>
        </w:trPr>
        <w:tc>
          <w:tcPr>
            <w:tcW w:w="486" w:type="pct"/>
            <w:tcBorders>
              <w:top w:val="single" w:sz="12" w:space="0" w:color="auto"/>
              <w:bottom w:val="single" w:sz="12" w:space="0" w:color="auto"/>
            </w:tcBorders>
          </w:tcPr>
          <w:p w14:paraId="1164894E" w14:textId="77777777" w:rsidR="00637BD4" w:rsidRPr="00637BD4" w:rsidRDefault="00637BD4" w:rsidP="00637BD4">
            <w:pPr>
              <w:spacing w:line="259" w:lineRule="auto"/>
              <w:jc w:val="both"/>
              <w:rPr>
                <w:rFonts w:ascii="Garamond" w:hAnsi="Garamond"/>
                <w:b/>
                <w:bCs/>
                <w:iCs/>
                <w:sz w:val="18"/>
                <w:szCs w:val="18"/>
                <w:lang w:val="en-GB"/>
              </w:rPr>
            </w:pPr>
          </w:p>
        </w:tc>
        <w:tc>
          <w:tcPr>
            <w:tcW w:w="1612" w:type="pct"/>
            <w:gridSpan w:val="3"/>
            <w:tcBorders>
              <w:top w:val="single" w:sz="12" w:space="0" w:color="auto"/>
              <w:bottom w:val="single" w:sz="12" w:space="0" w:color="auto"/>
            </w:tcBorders>
          </w:tcPr>
          <w:p w14:paraId="58F43A6B"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 xml:space="preserve">Crisis state </w:t>
            </w:r>
          </w:p>
        </w:tc>
        <w:tc>
          <w:tcPr>
            <w:tcW w:w="353" w:type="pct"/>
            <w:gridSpan w:val="2"/>
            <w:tcBorders>
              <w:top w:val="single" w:sz="12" w:space="0" w:color="auto"/>
              <w:bottom w:val="single" w:sz="12" w:space="0" w:color="auto"/>
            </w:tcBorders>
          </w:tcPr>
          <w:p w14:paraId="2C7206D8" w14:textId="77777777" w:rsidR="00637BD4" w:rsidRPr="00637BD4" w:rsidRDefault="00637BD4" w:rsidP="00637BD4">
            <w:pPr>
              <w:spacing w:line="259" w:lineRule="auto"/>
              <w:jc w:val="both"/>
              <w:rPr>
                <w:rFonts w:ascii="Garamond" w:hAnsi="Garamond"/>
                <w:b/>
                <w:bCs/>
                <w:iCs/>
                <w:sz w:val="18"/>
                <w:szCs w:val="18"/>
                <w:lang w:val="en-GB"/>
              </w:rPr>
            </w:pPr>
          </w:p>
        </w:tc>
        <w:tc>
          <w:tcPr>
            <w:tcW w:w="288" w:type="pct"/>
            <w:gridSpan w:val="2"/>
            <w:tcBorders>
              <w:top w:val="single" w:sz="12" w:space="0" w:color="auto"/>
              <w:bottom w:val="single" w:sz="12" w:space="0" w:color="auto"/>
              <w:right w:val="single" w:sz="4" w:space="0" w:color="auto"/>
            </w:tcBorders>
          </w:tcPr>
          <w:p w14:paraId="2D7D5C7E" w14:textId="77777777" w:rsidR="00637BD4" w:rsidRPr="00637BD4" w:rsidRDefault="00637BD4" w:rsidP="00637BD4">
            <w:pPr>
              <w:spacing w:line="259" w:lineRule="auto"/>
              <w:jc w:val="both"/>
              <w:rPr>
                <w:rFonts w:ascii="Garamond" w:hAnsi="Garamond"/>
                <w:b/>
                <w:bCs/>
                <w:iCs/>
                <w:sz w:val="18"/>
                <w:szCs w:val="18"/>
                <w:lang w:val="en-GB"/>
              </w:rPr>
            </w:pPr>
          </w:p>
        </w:tc>
        <w:tc>
          <w:tcPr>
            <w:tcW w:w="1040" w:type="pct"/>
            <w:gridSpan w:val="2"/>
            <w:tcBorders>
              <w:top w:val="single" w:sz="12" w:space="0" w:color="auto"/>
              <w:left w:val="single" w:sz="4" w:space="0" w:color="auto"/>
              <w:bottom w:val="single" w:sz="12" w:space="0" w:color="auto"/>
            </w:tcBorders>
          </w:tcPr>
          <w:p w14:paraId="3D522750"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Steady state</w:t>
            </w:r>
          </w:p>
        </w:tc>
        <w:tc>
          <w:tcPr>
            <w:tcW w:w="498" w:type="pct"/>
            <w:tcBorders>
              <w:top w:val="single" w:sz="12" w:space="0" w:color="auto"/>
              <w:bottom w:val="single" w:sz="12" w:space="0" w:color="auto"/>
            </w:tcBorders>
          </w:tcPr>
          <w:p w14:paraId="13BB043A" w14:textId="77777777" w:rsidR="00637BD4" w:rsidRPr="00637BD4" w:rsidRDefault="00637BD4" w:rsidP="00637BD4">
            <w:pPr>
              <w:spacing w:line="259" w:lineRule="auto"/>
              <w:jc w:val="both"/>
              <w:rPr>
                <w:rFonts w:ascii="Garamond" w:hAnsi="Garamond"/>
                <w:b/>
                <w:bCs/>
                <w:iCs/>
                <w:sz w:val="18"/>
                <w:szCs w:val="18"/>
                <w:lang w:val="en-GB"/>
              </w:rPr>
            </w:pPr>
          </w:p>
        </w:tc>
        <w:tc>
          <w:tcPr>
            <w:tcW w:w="354" w:type="pct"/>
            <w:tcBorders>
              <w:top w:val="single" w:sz="12" w:space="0" w:color="auto"/>
              <w:bottom w:val="single" w:sz="12" w:space="0" w:color="auto"/>
            </w:tcBorders>
          </w:tcPr>
          <w:p w14:paraId="089DE896" w14:textId="77777777" w:rsidR="00637BD4" w:rsidRPr="00637BD4" w:rsidRDefault="00637BD4" w:rsidP="00637BD4">
            <w:pPr>
              <w:spacing w:line="259" w:lineRule="auto"/>
              <w:jc w:val="both"/>
              <w:rPr>
                <w:rFonts w:ascii="Garamond" w:hAnsi="Garamond"/>
                <w:b/>
                <w:bCs/>
                <w:iCs/>
                <w:sz w:val="18"/>
                <w:szCs w:val="18"/>
                <w:lang w:val="en-GB"/>
              </w:rPr>
            </w:pPr>
          </w:p>
        </w:tc>
        <w:tc>
          <w:tcPr>
            <w:tcW w:w="368" w:type="pct"/>
            <w:tcBorders>
              <w:top w:val="single" w:sz="12" w:space="0" w:color="auto"/>
              <w:bottom w:val="single" w:sz="12" w:space="0" w:color="auto"/>
            </w:tcBorders>
          </w:tcPr>
          <w:p w14:paraId="2CF068DB" w14:textId="77777777" w:rsidR="00637BD4" w:rsidRPr="00637BD4" w:rsidRDefault="00637BD4" w:rsidP="00637BD4">
            <w:pPr>
              <w:spacing w:line="259" w:lineRule="auto"/>
              <w:jc w:val="both"/>
              <w:rPr>
                <w:rFonts w:ascii="Garamond" w:hAnsi="Garamond"/>
                <w:b/>
                <w:bCs/>
                <w:iCs/>
                <w:sz w:val="18"/>
                <w:szCs w:val="18"/>
                <w:lang w:val="en-GB"/>
              </w:rPr>
            </w:pPr>
          </w:p>
        </w:tc>
      </w:tr>
      <w:tr w:rsidR="00637BD4" w:rsidRPr="00637BD4" w14:paraId="53C54097" w14:textId="77777777" w:rsidTr="00F7501B">
        <w:trPr>
          <w:trHeight w:val="702"/>
        </w:trPr>
        <w:tc>
          <w:tcPr>
            <w:tcW w:w="486" w:type="pct"/>
            <w:tcBorders>
              <w:top w:val="single" w:sz="12" w:space="0" w:color="auto"/>
              <w:bottom w:val="single" w:sz="12" w:space="0" w:color="auto"/>
            </w:tcBorders>
            <w:hideMark/>
          </w:tcPr>
          <w:p w14:paraId="1F9EE1BB"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Variables</w:t>
            </w:r>
          </w:p>
        </w:tc>
        <w:tc>
          <w:tcPr>
            <w:tcW w:w="548" w:type="pct"/>
            <w:tcBorders>
              <w:top w:val="single" w:sz="12" w:space="0" w:color="auto"/>
              <w:bottom w:val="single" w:sz="12" w:space="0" w:color="auto"/>
            </w:tcBorders>
            <w:hideMark/>
          </w:tcPr>
          <w:p w14:paraId="2D4675F6" w14:textId="77777777" w:rsidR="00637BD4" w:rsidRPr="00637BD4" w:rsidRDefault="00637BD4" w:rsidP="00637BD4">
            <w:pPr>
              <w:spacing w:line="259" w:lineRule="auto"/>
              <w:jc w:val="both"/>
              <w:rPr>
                <w:rFonts w:ascii="Garamond" w:hAnsi="Garamond"/>
                <w:b/>
                <w:bCs/>
                <w:iCs/>
                <w:sz w:val="18"/>
                <w:szCs w:val="18"/>
                <w:lang w:val="en-GB"/>
              </w:rPr>
            </w:pPr>
            <w:proofErr w:type="spellStart"/>
            <w:r w:rsidRPr="00637BD4">
              <w:rPr>
                <w:rFonts w:ascii="Garamond" w:hAnsi="Garamond"/>
                <w:b/>
                <w:bCs/>
                <w:iCs/>
                <w:sz w:val="18"/>
                <w:szCs w:val="18"/>
                <w:lang w:val="en-GB"/>
              </w:rPr>
              <w:t>HbSS</w:t>
            </w:r>
            <w:proofErr w:type="spellEnd"/>
            <w:r w:rsidRPr="00637BD4">
              <w:rPr>
                <w:rFonts w:ascii="Garamond" w:hAnsi="Garamond"/>
                <w:b/>
                <w:bCs/>
                <w:iCs/>
                <w:sz w:val="18"/>
                <w:szCs w:val="18"/>
                <w:lang w:val="en-GB"/>
              </w:rPr>
              <w:t xml:space="preserve"> </w:t>
            </w:r>
          </w:p>
          <w:p w14:paraId="03282C99"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Mean ± SD</w:t>
            </w:r>
          </w:p>
          <w:p w14:paraId="37438EF9"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SCD (N = 28)</w:t>
            </w:r>
          </w:p>
        </w:tc>
        <w:tc>
          <w:tcPr>
            <w:tcW w:w="520" w:type="pct"/>
            <w:tcBorders>
              <w:top w:val="single" w:sz="12" w:space="0" w:color="auto"/>
              <w:bottom w:val="single" w:sz="12" w:space="0" w:color="auto"/>
            </w:tcBorders>
            <w:hideMark/>
          </w:tcPr>
          <w:p w14:paraId="35D0B270" w14:textId="77777777" w:rsidR="00637BD4" w:rsidRPr="00637BD4" w:rsidRDefault="00637BD4" w:rsidP="00637BD4">
            <w:pPr>
              <w:spacing w:line="259" w:lineRule="auto"/>
              <w:jc w:val="both"/>
              <w:rPr>
                <w:rFonts w:ascii="Garamond" w:hAnsi="Garamond"/>
                <w:b/>
                <w:bCs/>
                <w:iCs/>
                <w:sz w:val="18"/>
                <w:szCs w:val="18"/>
                <w:lang w:val="en-GB"/>
              </w:rPr>
            </w:pPr>
            <w:proofErr w:type="spellStart"/>
            <w:r w:rsidRPr="00637BD4">
              <w:rPr>
                <w:rFonts w:ascii="Garamond" w:hAnsi="Garamond"/>
                <w:b/>
                <w:bCs/>
                <w:iCs/>
                <w:sz w:val="18"/>
                <w:szCs w:val="18"/>
                <w:lang w:val="en-GB"/>
              </w:rPr>
              <w:t>HbSC</w:t>
            </w:r>
            <w:proofErr w:type="spellEnd"/>
            <w:r w:rsidRPr="00637BD4">
              <w:rPr>
                <w:rFonts w:ascii="Garamond" w:hAnsi="Garamond"/>
                <w:b/>
                <w:bCs/>
                <w:iCs/>
                <w:sz w:val="18"/>
                <w:szCs w:val="18"/>
                <w:lang w:val="en-GB"/>
              </w:rPr>
              <w:t xml:space="preserve"> </w:t>
            </w:r>
          </w:p>
          <w:p w14:paraId="225A4436"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Mean ± SD</w:t>
            </w:r>
          </w:p>
          <w:p w14:paraId="7BF79711"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SCD (N = 9)</w:t>
            </w:r>
          </w:p>
        </w:tc>
        <w:tc>
          <w:tcPr>
            <w:tcW w:w="546" w:type="pct"/>
            <w:gridSpan w:val="2"/>
            <w:tcBorders>
              <w:top w:val="single" w:sz="12" w:space="0" w:color="auto"/>
              <w:bottom w:val="single" w:sz="12" w:space="0" w:color="auto"/>
            </w:tcBorders>
          </w:tcPr>
          <w:p w14:paraId="646B6401"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 xml:space="preserve">Controls </w:t>
            </w:r>
          </w:p>
          <w:p w14:paraId="06E86BE2"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Mean ± SD</w:t>
            </w:r>
          </w:p>
          <w:p w14:paraId="1D7F77B3"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SCD (N = 30)</w:t>
            </w:r>
          </w:p>
        </w:tc>
        <w:tc>
          <w:tcPr>
            <w:tcW w:w="354" w:type="pct"/>
            <w:gridSpan w:val="2"/>
            <w:tcBorders>
              <w:top w:val="single" w:sz="12" w:space="0" w:color="auto"/>
              <w:bottom w:val="single" w:sz="12" w:space="0" w:color="auto"/>
            </w:tcBorders>
          </w:tcPr>
          <w:p w14:paraId="3E1FC327"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F-value</w:t>
            </w:r>
          </w:p>
        </w:tc>
        <w:tc>
          <w:tcPr>
            <w:tcW w:w="285" w:type="pct"/>
            <w:tcBorders>
              <w:top w:val="single" w:sz="12" w:space="0" w:color="auto"/>
              <w:bottom w:val="single" w:sz="12" w:space="0" w:color="auto"/>
              <w:right w:val="single" w:sz="4" w:space="0" w:color="auto"/>
            </w:tcBorders>
          </w:tcPr>
          <w:p w14:paraId="638E80B0"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p-value</w:t>
            </w:r>
          </w:p>
        </w:tc>
        <w:tc>
          <w:tcPr>
            <w:tcW w:w="540" w:type="pct"/>
            <w:tcBorders>
              <w:top w:val="single" w:sz="12" w:space="0" w:color="auto"/>
              <w:left w:val="single" w:sz="4" w:space="0" w:color="auto"/>
              <w:bottom w:val="single" w:sz="12" w:space="0" w:color="auto"/>
            </w:tcBorders>
          </w:tcPr>
          <w:p w14:paraId="6CEBD1C0" w14:textId="77777777" w:rsidR="00637BD4" w:rsidRPr="00637BD4" w:rsidRDefault="00637BD4" w:rsidP="00637BD4">
            <w:pPr>
              <w:spacing w:line="259" w:lineRule="auto"/>
              <w:jc w:val="both"/>
              <w:rPr>
                <w:rFonts w:ascii="Garamond" w:hAnsi="Garamond"/>
                <w:b/>
                <w:bCs/>
                <w:iCs/>
                <w:sz w:val="18"/>
                <w:szCs w:val="18"/>
                <w:lang w:val="en-GB"/>
              </w:rPr>
            </w:pPr>
            <w:proofErr w:type="spellStart"/>
            <w:r w:rsidRPr="00637BD4">
              <w:rPr>
                <w:rFonts w:ascii="Garamond" w:hAnsi="Garamond"/>
                <w:b/>
                <w:bCs/>
                <w:iCs/>
                <w:sz w:val="18"/>
                <w:szCs w:val="18"/>
                <w:lang w:val="en-GB"/>
              </w:rPr>
              <w:t>HbSS</w:t>
            </w:r>
            <w:proofErr w:type="spellEnd"/>
            <w:r w:rsidRPr="00637BD4">
              <w:rPr>
                <w:rFonts w:ascii="Garamond" w:hAnsi="Garamond"/>
                <w:b/>
                <w:bCs/>
                <w:iCs/>
                <w:sz w:val="18"/>
                <w:szCs w:val="18"/>
                <w:lang w:val="en-GB"/>
              </w:rPr>
              <w:t xml:space="preserve"> </w:t>
            </w:r>
          </w:p>
          <w:p w14:paraId="2DDAAF95"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Mean ± SD</w:t>
            </w:r>
          </w:p>
          <w:p w14:paraId="398EB248"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SCD (N = 28)</w:t>
            </w:r>
          </w:p>
        </w:tc>
        <w:tc>
          <w:tcPr>
            <w:tcW w:w="501" w:type="pct"/>
            <w:tcBorders>
              <w:top w:val="single" w:sz="12" w:space="0" w:color="auto"/>
              <w:bottom w:val="single" w:sz="12" w:space="0" w:color="auto"/>
            </w:tcBorders>
          </w:tcPr>
          <w:p w14:paraId="325A551D" w14:textId="77777777" w:rsidR="00637BD4" w:rsidRPr="00637BD4" w:rsidRDefault="00637BD4" w:rsidP="00637BD4">
            <w:pPr>
              <w:spacing w:line="259" w:lineRule="auto"/>
              <w:jc w:val="both"/>
              <w:rPr>
                <w:rFonts w:ascii="Garamond" w:hAnsi="Garamond"/>
                <w:b/>
                <w:bCs/>
                <w:iCs/>
                <w:sz w:val="18"/>
                <w:szCs w:val="18"/>
                <w:lang w:val="en-GB"/>
              </w:rPr>
            </w:pPr>
            <w:proofErr w:type="spellStart"/>
            <w:r w:rsidRPr="00637BD4">
              <w:rPr>
                <w:rFonts w:ascii="Garamond" w:hAnsi="Garamond"/>
                <w:b/>
                <w:bCs/>
                <w:iCs/>
                <w:sz w:val="18"/>
                <w:szCs w:val="18"/>
                <w:lang w:val="en-GB"/>
              </w:rPr>
              <w:t>HbSC</w:t>
            </w:r>
            <w:proofErr w:type="spellEnd"/>
            <w:r w:rsidRPr="00637BD4">
              <w:rPr>
                <w:rFonts w:ascii="Garamond" w:hAnsi="Garamond"/>
                <w:b/>
                <w:bCs/>
                <w:iCs/>
                <w:sz w:val="18"/>
                <w:szCs w:val="18"/>
                <w:lang w:val="en-GB"/>
              </w:rPr>
              <w:t xml:space="preserve"> </w:t>
            </w:r>
          </w:p>
          <w:p w14:paraId="4E801506"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Mean ± SD</w:t>
            </w:r>
          </w:p>
          <w:p w14:paraId="22B358B4"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SCD (N = 9)</w:t>
            </w:r>
          </w:p>
        </w:tc>
        <w:tc>
          <w:tcPr>
            <w:tcW w:w="498" w:type="pct"/>
            <w:tcBorders>
              <w:top w:val="single" w:sz="12" w:space="0" w:color="auto"/>
              <w:bottom w:val="single" w:sz="12" w:space="0" w:color="auto"/>
            </w:tcBorders>
          </w:tcPr>
          <w:p w14:paraId="555EBCD8"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 xml:space="preserve">Controls </w:t>
            </w:r>
          </w:p>
          <w:p w14:paraId="2E7F80F0"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Mean ± SD</w:t>
            </w:r>
          </w:p>
          <w:p w14:paraId="6C824230"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SCD (N = 30)</w:t>
            </w:r>
          </w:p>
        </w:tc>
        <w:tc>
          <w:tcPr>
            <w:tcW w:w="355" w:type="pct"/>
            <w:tcBorders>
              <w:top w:val="single" w:sz="12" w:space="0" w:color="auto"/>
              <w:bottom w:val="single" w:sz="12" w:space="0" w:color="auto"/>
            </w:tcBorders>
          </w:tcPr>
          <w:p w14:paraId="5C3224D2"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F-value</w:t>
            </w:r>
          </w:p>
        </w:tc>
        <w:tc>
          <w:tcPr>
            <w:tcW w:w="367" w:type="pct"/>
            <w:tcBorders>
              <w:top w:val="single" w:sz="12" w:space="0" w:color="auto"/>
              <w:bottom w:val="single" w:sz="12" w:space="0" w:color="auto"/>
            </w:tcBorders>
          </w:tcPr>
          <w:p w14:paraId="0ABB7006"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p-value</w:t>
            </w:r>
          </w:p>
        </w:tc>
      </w:tr>
      <w:tr w:rsidR="00637BD4" w:rsidRPr="00637BD4" w14:paraId="5501BC48" w14:textId="77777777" w:rsidTr="00F7501B">
        <w:trPr>
          <w:trHeight w:val="392"/>
        </w:trPr>
        <w:tc>
          <w:tcPr>
            <w:tcW w:w="486" w:type="pct"/>
            <w:tcBorders>
              <w:top w:val="single" w:sz="12" w:space="0" w:color="auto"/>
            </w:tcBorders>
            <w:hideMark/>
          </w:tcPr>
          <w:p w14:paraId="514BB35A"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Creatinine (µmol/L)</w:t>
            </w:r>
          </w:p>
        </w:tc>
        <w:tc>
          <w:tcPr>
            <w:tcW w:w="548" w:type="pct"/>
            <w:tcBorders>
              <w:top w:val="single" w:sz="12" w:space="0" w:color="auto"/>
            </w:tcBorders>
          </w:tcPr>
          <w:p w14:paraId="602C5D02"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206.9 ± 173.0</w:t>
            </w:r>
          </w:p>
        </w:tc>
        <w:tc>
          <w:tcPr>
            <w:tcW w:w="520" w:type="pct"/>
            <w:tcBorders>
              <w:top w:val="single" w:sz="12" w:space="0" w:color="auto"/>
            </w:tcBorders>
          </w:tcPr>
          <w:p w14:paraId="20F90359"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224.4 ± 55.9</w:t>
            </w:r>
          </w:p>
        </w:tc>
        <w:tc>
          <w:tcPr>
            <w:tcW w:w="546" w:type="pct"/>
            <w:gridSpan w:val="2"/>
            <w:tcBorders>
              <w:top w:val="single" w:sz="12" w:space="0" w:color="auto"/>
            </w:tcBorders>
          </w:tcPr>
          <w:p w14:paraId="0C023D36"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73.5 ± 33.1</w:t>
            </w:r>
          </w:p>
        </w:tc>
        <w:tc>
          <w:tcPr>
            <w:tcW w:w="354" w:type="pct"/>
            <w:gridSpan w:val="2"/>
            <w:tcBorders>
              <w:top w:val="single" w:sz="12" w:space="0" w:color="auto"/>
            </w:tcBorders>
          </w:tcPr>
          <w:p w14:paraId="4CF2E5D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3.337</w:t>
            </w:r>
          </w:p>
        </w:tc>
        <w:tc>
          <w:tcPr>
            <w:tcW w:w="285" w:type="pct"/>
            <w:tcBorders>
              <w:top w:val="single" w:sz="12" w:space="0" w:color="auto"/>
              <w:right w:val="single" w:sz="4" w:space="0" w:color="auto"/>
            </w:tcBorders>
          </w:tcPr>
          <w:p w14:paraId="1D68E6F7"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0.054</w:t>
            </w:r>
          </w:p>
        </w:tc>
        <w:tc>
          <w:tcPr>
            <w:tcW w:w="540" w:type="pct"/>
            <w:tcBorders>
              <w:top w:val="single" w:sz="12" w:space="0" w:color="auto"/>
              <w:left w:val="single" w:sz="4" w:space="0" w:color="auto"/>
            </w:tcBorders>
          </w:tcPr>
          <w:p w14:paraId="5C71547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132.8 ± 56.5</w:t>
            </w:r>
          </w:p>
        </w:tc>
        <w:tc>
          <w:tcPr>
            <w:tcW w:w="501" w:type="pct"/>
            <w:tcBorders>
              <w:top w:val="single" w:sz="12" w:space="0" w:color="auto"/>
            </w:tcBorders>
          </w:tcPr>
          <w:p w14:paraId="02C3398C"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129.0 ± 20.0</w:t>
            </w:r>
          </w:p>
        </w:tc>
        <w:tc>
          <w:tcPr>
            <w:tcW w:w="498" w:type="pct"/>
            <w:tcBorders>
              <w:top w:val="single" w:sz="12" w:space="0" w:color="auto"/>
            </w:tcBorders>
          </w:tcPr>
          <w:p w14:paraId="1683662F"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73.5 ± 33.1</w:t>
            </w:r>
          </w:p>
        </w:tc>
        <w:tc>
          <w:tcPr>
            <w:tcW w:w="355" w:type="pct"/>
            <w:tcBorders>
              <w:top w:val="single" w:sz="12" w:space="0" w:color="auto"/>
            </w:tcBorders>
          </w:tcPr>
          <w:p w14:paraId="49F3E700"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5.250</w:t>
            </w:r>
          </w:p>
        </w:tc>
        <w:tc>
          <w:tcPr>
            <w:tcW w:w="367" w:type="pct"/>
            <w:tcBorders>
              <w:top w:val="single" w:sz="12" w:space="0" w:color="auto"/>
            </w:tcBorders>
          </w:tcPr>
          <w:p w14:paraId="2CF1D83F"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0.012*</w:t>
            </w:r>
          </w:p>
        </w:tc>
      </w:tr>
      <w:tr w:rsidR="00637BD4" w:rsidRPr="00637BD4" w14:paraId="6CAA183F" w14:textId="77777777" w:rsidTr="00F7501B">
        <w:trPr>
          <w:trHeight w:val="77"/>
        </w:trPr>
        <w:tc>
          <w:tcPr>
            <w:tcW w:w="486" w:type="pct"/>
            <w:hideMark/>
          </w:tcPr>
          <w:p w14:paraId="3EA0F65D"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KIM-1 (</w:t>
            </w:r>
            <w:proofErr w:type="spellStart"/>
            <w:r w:rsidRPr="00637BD4">
              <w:rPr>
                <w:rFonts w:ascii="Garamond" w:hAnsi="Garamond"/>
                <w:b/>
                <w:bCs/>
                <w:iCs/>
                <w:sz w:val="18"/>
                <w:szCs w:val="18"/>
                <w:lang w:val="en-GB"/>
              </w:rPr>
              <w:t>pg</w:t>
            </w:r>
            <w:proofErr w:type="spellEnd"/>
            <w:r w:rsidRPr="00637BD4">
              <w:rPr>
                <w:rFonts w:ascii="Garamond" w:hAnsi="Garamond"/>
                <w:b/>
                <w:bCs/>
                <w:iCs/>
                <w:sz w:val="18"/>
                <w:szCs w:val="18"/>
                <w:lang w:val="en-GB"/>
              </w:rPr>
              <w:t>/mL)</w:t>
            </w:r>
          </w:p>
        </w:tc>
        <w:tc>
          <w:tcPr>
            <w:tcW w:w="548" w:type="pct"/>
          </w:tcPr>
          <w:p w14:paraId="40183051"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9.5 ± 5.0</w:t>
            </w:r>
          </w:p>
        </w:tc>
        <w:tc>
          <w:tcPr>
            <w:tcW w:w="520" w:type="pct"/>
          </w:tcPr>
          <w:p w14:paraId="7B0267C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3.48 ± 0.92</w:t>
            </w:r>
          </w:p>
        </w:tc>
        <w:tc>
          <w:tcPr>
            <w:tcW w:w="546" w:type="pct"/>
            <w:gridSpan w:val="2"/>
          </w:tcPr>
          <w:p w14:paraId="2654C4D1"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0.7 ± 0.4</w:t>
            </w:r>
          </w:p>
        </w:tc>
        <w:tc>
          <w:tcPr>
            <w:tcW w:w="354" w:type="pct"/>
            <w:gridSpan w:val="2"/>
          </w:tcPr>
          <w:p w14:paraId="1D0F5953"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18.546</w:t>
            </w:r>
          </w:p>
        </w:tc>
        <w:tc>
          <w:tcPr>
            <w:tcW w:w="285" w:type="pct"/>
            <w:tcBorders>
              <w:right w:val="single" w:sz="4" w:space="0" w:color="auto"/>
            </w:tcBorders>
          </w:tcPr>
          <w:p w14:paraId="70E27EFF"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tcBorders>
          </w:tcPr>
          <w:p w14:paraId="3C2EDF2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5.8 ± 3.9</w:t>
            </w:r>
          </w:p>
        </w:tc>
        <w:tc>
          <w:tcPr>
            <w:tcW w:w="501" w:type="pct"/>
          </w:tcPr>
          <w:p w14:paraId="6D344910"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3.1 ± 0.5</w:t>
            </w:r>
          </w:p>
        </w:tc>
        <w:tc>
          <w:tcPr>
            <w:tcW w:w="498" w:type="pct"/>
          </w:tcPr>
          <w:p w14:paraId="09E3DFD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0.7 ± 0.4</w:t>
            </w:r>
          </w:p>
        </w:tc>
        <w:tc>
          <w:tcPr>
            <w:tcW w:w="355" w:type="pct"/>
          </w:tcPr>
          <w:p w14:paraId="060F7D8C"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9.587</w:t>
            </w:r>
          </w:p>
        </w:tc>
        <w:tc>
          <w:tcPr>
            <w:tcW w:w="367" w:type="pct"/>
          </w:tcPr>
          <w:p w14:paraId="1B50250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0.001*</w:t>
            </w:r>
          </w:p>
        </w:tc>
      </w:tr>
      <w:tr w:rsidR="00637BD4" w:rsidRPr="00637BD4" w14:paraId="567434B9" w14:textId="77777777" w:rsidTr="00F7501B">
        <w:trPr>
          <w:trHeight w:val="214"/>
        </w:trPr>
        <w:tc>
          <w:tcPr>
            <w:tcW w:w="486" w:type="pct"/>
            <w:hideMark/>
          </w:tcPr>
          <w:p w14:paraId="54710F63"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NGAL (</w:t>
            </w:r>
            <w:proofErr w:type="spellStart"/>
            <w:r w:rsidRPr="00637BD4">
              <w:rPr>
                <w:rFonts w:ascii="Garamond" w:hAnsi="Garamond"/>
                <w:b/>
                <w:bCs/>
                <w:iCs/>
                <w:sz w:val="18"/>
                <w:szCs w:val="18"/>
                <w:lang w:val="en-GB"/>
              </w:rPr>
              <w:t>pg</w:t>
            </w:r>
            <w:proofErr w:type="spellEnd"/>
            <w:r w:rsidRPr="00637BD4">
              <w:rPr>
                <w:rFonts w:ascii="Garamond" w:hAnsi="Garamond"/>
                <w:b/>
                <w:bCs/>
                <w:iCs/>
                <w:sz w:val="18"/>
                <w:szCs w:val="18"/>
                <w:lang w:val="en-GB"/>
              </w:rPr>
              <w:t>/mL)</w:t>
            </w:r>
          </w:p>
        </w:tc>
        <w:tc>
          <w:tcPr>
            <w:tcW w:w="548" w:type="pct"/>
          </w:tcPr>
          <w:p w14:paraId="1068356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97.4 ± 9.7</w:t>
            </w:r>
          </w:p>
        </w:tc>
        <w:tc>
          <w:tcPr>
            <w:tcW w:w="520" w:type="pct"/>
          </w:tcPr>
          <w:p w14:paraId="08D4EA70"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68.4 ± 4.0</w:t>
            </w:r>
          </w:p>
        </w:tc>
        <w:tc>
          <w:tcPr>
            <w:tcW w:w="546" w:type="pct"/>
            <w:gridSpan w:val="2"/>
          </w:tcPr>
          <w:p w14:paraId="6B328B80"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48.7 ± 4.8</w:t>
            </w:r>
          </w:p>
        </w:tc>
        <w:tc>
          <w:tcPr>
            <w:tcW w:w="354" w:type="pct"/>
            <w:gridSpan w:val="2"/>
          </w:tcPr>
          <w:p w14:paraId="0D1E8BEA"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117.769</w:t>
            </w:r>
          </w:p>
        </w:tc>
        <w:tc>
          <w:tcPr>
            <w:tcW w:w="285" w:type="pct"/>
            <w:tcBorders>
              <w:right w:val="single" w:sz="4" w:space="0" w:color="auto"/>
            </w:tcBorders>
          </w:tcPr>
          <w:p w14:paraId="67EA3E63"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tcBorders>
          </w:tcPr>
          <w:p w14:paraId="2068468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73.8 ± 8.2 </w:t>
            </w:r>
          </w:p>
        </w:tc>
        <w:tc>
          <w:tcPr>
            <w:tcW w:w="501" w:type="pct"/>
          </w:tcPr>
          <w:p w14:paraId="5B65F4A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61.2 ± 6.7 </w:t>
            </w:r>
          </w:p>
        </w:tc>
        <w:tc>
          <w:tcPr>
            <w:tcW w:w="498" w:type="pct"/>
          </w:tcPr>
          <w:p w14:paraId="71681F3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48.7 ± 4.8</w:t>
            </w:r>
          </w:p>
        </w:tc>
        <w:tc>
          <w:tcPr>
            <w:tcW w:w="355" w:type="pct"/>
          </w:tcPr>
          <w:p w14:paraId="428315D7"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37.961</w:t>
            </w:r>
          </w:p>
        </w:tc>
        <w:tc>
          <w:tcPr>
            <w:tcW w:w="367" w:type="pct"/>
          </w:tcPr>
          <w:p w14:paraId="39E9B93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r>
      <w:tr w:rsidR="00637BD4" w:rsidRPr="00637BD4" w14:paraId="021288CF" w14:textId="77777777" w:rsidTr="00F7501B">
        <w:trPr>
          <w:trHeight w:val="101"/>
        </w:trPr>
        <w:tc>
          <w:tcPr>
            <w:tcW w:w="486" w:type="pct"/>
            <w:hideMark/>
          </w:tcPr>
          <w:p w14:paraId="431775B3"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IL-18 (</w:t>
            </w:r>
            <w:proofErr w:type="spellStart"/>
            <w:r w:rsidRPr="00637BD4">
              <w:rPr>
                <w:rFonts w:ascii="Garamond" w:hAnsi="Garamond"/>
                <w:b/>
                <w:bCs/>
                <w:iCs/>
                <w:sz w:val="18"/>
                <w:szCs w:val="18"/>
                <w:lang w:val="en-GB"/>
              </w:rPr>
              <w:t>pg</w:t>
            </w:r>
            <w:proofErr w:type="spellEnd"/>
            <w:r w:rsidRPr="00637BD4">
              <w:rPr>
                <w:rFonts w:ascii="Garamond" w:hAnsi="Garamond"/>
                <w:b/>
                <w:bCs/>
                <w:iCs/>
                <w:sz w:val="18"/>
                <w:szCs w:val="18"/>
                <w:lang w:val="en-GB"/>
              </w:rPr>
              <w:t>/mL)</w:t>
            </w:r>
          </w:p>
        </w:tc>
        <w:tc>
          <w:tcPr>
            <w:tcW w:w="548" w:type="pct"/>
          </w:tcPr>
          <w:p w14:paraId="760B1B5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281.7 ± 62.1</w:t>
            </w:r>
          </w:p>
        </w:tc>
        <w:tc>
          <w:tcPr>
            <w:tcW w:w="520" w:type="pct"/>
          </w:tcPr>
          <w:p w14:paraId="23256F4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185.2 ± 29.2</w:t>
            </w:r>
          </w:p>
        </w:tc>
        <w:tc>
          <w:tcPr>
            <w:tcW w:w="546" w:type="pct"/>
            <w:gridSpan w:val="2"/>
          </w:tcPr>
          <w:p w14:paraId="6E2A4B42"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58.4 ± 18.0</w:t>
            </w:r>
          </w:p>
        </w:tc>
        <w:tc>
          <w:tcPr>
            <w:tcW w:w="354" w:type="pct"/>
            <w:gridSpan w:val="2"/>
          </w:tcPr>
          <w:p w14:paraId="67960EB9"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67.140</w:t>
            </w:r>
          </w:p>
        </w:tc>
        <w:tc>
          <w:tcPr>
            <w:tcW w:w="285" w:type="pct"/>
            <w:tcBorders>
              <w:right w:val="single" w:sz="4" w:space="0" w:color="auto"/>
            </w:tcBorders>
          </w:tcPr>
          <w:p w14:paraId="02BFB0D8"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tcBorders>
          </w:tcPr>
          <w:p w14:paraId="0EEFF596"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159.8 ± 18.7 </w:t>
            </w:r>
          </w:p>
        </w:tc>
        <w:tc>
          <w:tcPr>
            <w:tcW w:w="501" w:type="pct"/>
          </w:tcPr>
          <w:p w14:paraId="26AD27E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83.5 ± 17.3 </w:t>
            </w:r>
          </w:p>
        </w:tc>
        <w:tc>
          <w:tcPr>
            <w:tcW w:w="498" w:type="pct"/>
          </w:tcPr>
          <w:p w14:paraId="5BE194EC"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58.4 ± 18.0</w:t>
            </w:r>
          </w:p>
        </w:tc>
        <w:tc>
          <w:tcPr>
            <w:tcW w:w="355" w:type="pct"/>
          </w:tcPr>
          <w:p w14:paraId="781B1C2A"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98.563</w:t>
            </w:r>
          </w:p>
        </w:tc>
        <w:tc>
          <w:tcPr>
            <w:tcW w:w="367" w:type="pct"/>
          </w:tcPr>
          <w:p w14:paraId="43146FD1"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r>
      <w:tr w:rsidR="00637BD4" w:rsidRPr="00637BD4" w14:paraId="202334BE" w14:textId="77777777" w:rsidTr="00F7501B">
        <w:trPr>
          <w:trHeight w:val="214"/>
        </w:trPr>
        <w:tc>
          <w:tcPr>
            <w:tcW w:w="486" w:type="pct"/>
            <w:hideMark/>
          </w:tcPr>
          <w:p w14:paraId="1C17258C"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HP (ng/mL)</w:t>
            </w:r>
          </w:p>
        </w:tc>
        <w:tc>
          <w:tcPr>
            <w:tcW w:w="548" w:type="pct"/>
          </w:tcPr>
          <w:p w14:paraId="3F08361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34.8 ± 16.2</w:t>
            </w:r>
          </w:p>
        </w:tc>
        <w:tc>
          <w:tcPr>
            <w:tcW w:w="520" w:type="pct"/>
          </w:tcPr>
          <w:p w14:paraId="3910E79A"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75.6 ± 20.7</w:t>
            </w:r>
          </w:p>
        </w:tc>
        <w:tc>
          <w:tcPr>
            <w:tcW w:w="546" w:type="pct"/>
            <w:gridSpan w:val="2"/>
          </w:tcPr>
          <w:p w14:paraId="5891DC7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140.6 ± 32.4</w:t>
            </w:r>
          </w:p>
        </w:tc>
        <w:tc>
          <w:tcPr>
            <w:tcW w:w="354" w:type="pct"/>
            <w:gridSpan w:val="2"/>
          </w:tcPr>
          <w:p w14:paraId="6EC3425A"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46.077</w:t>
            </w:r>
          </w:p>
        </w:tc>
        <w:tc>
          <w:tcPr>
            <w:tcW w:w="285" w:type="pct"/>
            <w:tcBorders>
              <w:right w:val="single" w:sz="4" w:space="0" w:color="auto"/>
            </w:tcBorders>
          </w:tcPr>
          <w:p w14:paraId="53D56C55"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tcBorders>
          </w:tcPr>
          <w:p w14:paraId="3DA9D99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71.5 ± 19.6 </w:t>
            </w:r>
          </w:p>
        </w:tc>
        <w:tc>
          <w:tcPr>
            <w:tcW w:w="501" w:type="pct"/>
          </w:tcPr>
          <w:p w14:paraId="380E229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109.8 ± 28.4</w:t>
            </w:r>
          </w:p>
        </w:tc>
        <w:tc>
          <w:tcPr>
            <w:tcW w:w="498" w:type="pct"/>
          </w:tcPr>
          <w:p w14:paraId="1152E549"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140.6 ± 32.4</w:t>
            </w:r>
          </w:p>
        </w:tc>
        <w:tc>
          <w:tcPr>
            <w:tcW w:w="355" w:type="pct"/>
          </w:tcPr>
          <w:p w14:paraId="3432EBD9"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21.896</w:t>
            </w:r>
          </w:p>
        </w:tc>
        <w:tc>
          <w:tcPr>
            <w:tcW w:w="367" w:type="pct"/>
          </w:tcPr>
          <w:p w14:paraId="208EC4D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r>
      <w:tr w:rsidR="00637BD4" w:rsidRPr="00637BD4" w14:paraId="7243B18E" w14:textId="77777777" w:rsidTr="00F7501B">
        <w:trPr>
          <w:trHeight w:val="223"/>
        </w:trPr>
        <w:tc>
          <w:tcPr>
            <w:tcW w:w="486" w:type="pct"/>
            <w:hideMark/>
          </w:tcPr>
          <w:p w14:paraId="01AB2A6E"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PCV (%)</w:t>
            </w:r>
          </w:p>
        </w:tc>
        <w:tc>
          <w:tcPr>
            <w:tcW w:w="548" w:type="pct"/>
          </w:tcPr>
          <w:p w14:paraId="1E87636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22.0 ± 3.6</w:t>
            </w:r>
          </w:p>
        </w:tc>
        <w:tc>
          <w:tcPr>
            <w:tcW w:w="520" w:type="pct"/>
          </w:tcPr>
          <w:p w14:paraId="4AFE1F8C"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30.6 ± 3.8</w:t>
            </w:r>
          </w:p>
        </w:tc>
        <w:tc>
          <w:tcPr>
            <w:tcW w:w="546" w:type="pct"/>
            <w:gridSpan w:val="2"/>
          </w:tcPr>
          <w:p w14:paraId="120D0B43"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37.8 ± 2.9</w:t>
            </w:r>
          </w:p>
        </w:tc>
        <w:tc>
          <w:tcPr>
            <w:tcW w:w="354" w:type="pct"/>
            <w:gridSpan w:val="2"/>
          </w:tcPr>
          <w:p w14:paraId="1975D52C"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103.135</w:t>
            </w:r>
          </w:p>
        </w:tc>
        <w:tc>
          <w:tcPr>
            <w:tcW w:w="285" w:type="pct"/>
            <w:tcBorders>
              <w:right w:val="single" w:sz="4" w:space="0" w:color="auto"/>
            </w:tcBorders>
          </w:tcPr>
          <w:p w14:paraId="587FA591"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tcBorders>
          </w:tcPr>
          <w:p w14:paraId="33FF8870"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22.0 ± 3.9</w:t>
            </w:r>
          </w:p>
        </w:tc>
        <w:tc>
          <w:tcPr>
            <w:tcW w:w="501" w:type="pct"/>
          </w:tcPr>
          <w:p w14:paraId="6D22059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41.0 ± 2.9 </w:t>
            </w:r>
          </w:p>
        </w:tc>
        <w:tc>
          <w:tcPr>
            <w:tcW w:w="498" w:type="pct"/>
          </w:tcPr>
          <w:p w14:paraId="4D3CF740"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37.8 ± 2.9</w:t>
            </w:r>
          </w:p>
        </w:tc>
        <w:tc>
          <w:tcPr>
            <w:tcW w:w="355" w:type="pct"/>
          </w:tcPr>
          <w:p w14:paraId="36E62F16"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129.694</w:t>
            </w:r>
          </w:p>
        </w:tc>
        <w:tc>
          <w:tcPr>
            <w:tcW w:w="367" w:type="pct"/>
          </w:tcPr>
          <w:p w14:paraId="37A93ADB"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r>
      <w:tr w:rsidR="00637BD4" w:rsidRPr="00637BD4" w14:paraId="26327A1A" w14:textId="77777777" w:rsidTr="00F7501B">
        <w:trPr>
          <w:trHeight w:val="214"/>
        </w:trPr>
        <w:tc>
          <w:tcPr>
            <w:tcW w:w="486" w:type="pct"/>
            <w:hideMark/>
          </w:tcPr>
          <w:p w14:paraId="29FF9829"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Hb (g/dL)</w:t>
            </w:r>
          </w:p>
        </w:tc>
        <w:tc>
          <w:tcPr>
            <w:tcW w:w="548" w:type="pct"/>
          </w:tcPr>
          <w:p w14:paraId="4D7D353C"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6.4 ± 0.3</w:t>
            </w:r>
          </w:p>
        </w:tc>
        <w:tc>
          <w:tcPr>
            <w:tcW w:w="520" w:type="pct"/>
          </w:tcPr>
          <w:p w14:paraId="57701E8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11.2 ± 1.6 </w:t>
            </w:r>
          </w:p>
        </w:tc>
        <w:tc>
          <w:tcPr>
            <w:tcW w:w="546" w:type="pct"/>
            <w:gridSpan w:val="2"/>
          </w:tcPr>
          <w:p w14:paraId="03510CA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13.7 ± 1.9</w:t>
            </w:r>
          </w:p>
        </w:tc>
        <w:tc>
          <w:tcPr>
            <w:tcW w:w="354" w:type="pct"/>
            <w:gridSpan w:val="2"/>
          </w:tcPr>
          <w:p w14:paraId="575FE937"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87.354</w:t>
            </w:r>
          </w:p>
        </w:tc>
        <w:tc>
          <w:tcPr>
            <w:tcW w:w="285" w:type="pct"/>
            <w:tcBorders>
              <w:right w:val="single" w:sz="4" w:space="0" w:color="auto"/>
            </w:tcBorders>
          </w:tcPr>
          <w:p w14:paraId="1582CECF"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tcBorders>
          </w:tcPr>
          <w:p w14:paraId="56448DE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7.6 ± 1.1</w:t>
            </w:r>
          </w:p>
        </w:tc>
        <w:tc>
          <w:tcPr>
            <w:tcW w:w="501" w:type="pct"/>
          </w:tcPr>
          <w:p w14:paraId="1F0595D1"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14.0 ± 0.8</w:t>
            </w:r>
          </w:p>
        </w:tc>
        <w:tc>
          <w:tcPr>
            <w:tcW w:w="498" w:type="pct"/>
          </w:tcPr>
          <w:p w14:paraId="345128C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13.7 ± 1.9</w:t>
            </w:r>
          </w:p>
        </w:tc>
        <w:tc>
          <w:tcPr>
            <w:tcW w:w="355" w:type="pct"/>
          </w:tcPr>
          <w:p w14:paraId="28970AF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79.359</w:t>
            </w:r>
          </w:p>
        </w:tc>
        <w:tc>
          <w:tcPr>
            <w:tcW w:w="367" w:type="pct"/>
          </w:tcPr>
          <w:p w14:paraId="458BFB3F"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r>
      <w:tr w:rsidR="00637BD4" w:rsidRPr="00637BD4" w14:paraId="525BA340" w14:textId="77777777" w:rsidTr="00F7501B">
        <w:trPr>
          <w:trHeight w:val="214"/>
        </w:trPr>
        <w:tc>
          <w:tcPr>
            <w:tcW w:w="486" w:type="pct"/>
            <w:hideMark/>
          </w:tcPr>
          <w:p w14:paraId="79830598"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WBC (x10</w:t>
            </w:r>
            <w:r w:rsidRPr="00637BD4">
              <w:rPr>
                <w:rFonts w:ascii="Garamond" w:hAnsi="Garamond"/>
                <w:b/>
                <w:bCs/>
                <w:iCs/>
                <w:sz w:val="18"/>
                <w:szCs w:val="18"/>
                <w:vertAlign w:val="superscript"/>
                <w:lang w:val="en-GB"/>
              </w:rPr>
              <w:t>9</w:t>
            </w:r>
            <w:r w:rsidRPr="00637BD4">
              <w:rPr>
                <w:rFonts w:ascii="Garamond" w:hAnsi="Garamond"/>
                <w:b/>
                <w:bCs/>
                <w:iCs/>
                <w:sz w:val="18"/>
                <w:szCs w:val="18"/>
                <w:lang w:val="en-GB"/>
              </w:rPr>
              <w:t xml:space="preserve"> cells/L)</w:t>
            </w:r>
          </w:p>
        </w:tc>
        <w:tc>
          <w:tcPr>
            <w:tcW w:w="548" w:type="pct"/>
          </w:tcPr>
          <w:p w14:paraId="327A835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16.0 ± 5.2 </w:t>
            </w:r>
          </w:p>
        </w:tc>
        <w:tc>
          <w:tcPr>
            <w:tcW w:w="520" w:type="pct"/>
          </w:tcPr>
          <w:p w14:paraId="210E7D66"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16.2 ± 2.8</w:t>
            </w:r>
          </w:p>
        </w:tc>
        <w:tc>
          <w:tcPr>
            <w:tcW w:w="546" w:type="pct"/>
            <w:gridSpan w:val="2"/>
          </w:tcPr>
          <w:p w14:paraId="43ED7A23"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7.5 ± 2.3</w:t>
            </w:r>
          </w:p>
        </w:tc>
        <w:tc>
          <w:tcPr>
            <w:tcW w:w="354" w:type="pct"/>
            <w:gridSpan w:val="2"/>
          </w:tcPr>
          <w:p w14:paraId="0873608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37.119</w:t>
            </w:r>
          </w:p>
        </w:tc>
        <w:tc>
          <w:tcPr>
            <w:tcW w:w="285" w:type="pct"/>
            <w:tcBorders>
              <w:right w:val="single" w:sz="4" w:space="0" w:color="auto"/>
            </w:tcBorders>
          </w:tcPr>
          <w:p w14:paraId="4D4A6C96"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tcBorders>
          </w:tcPr>
          <w:p w14:paraId="3B349F05"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20.3 ± 11.1</w:t>
            </w:r>
          </w:p>
        </w:tc>
        <w:tc>
          <w:tcPr>
            <w:tcW w:w="501" w:type="pct"/>
          </w:tcPr>
          <w:p w14:paraId="6CC54533"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5.6 ± 0.5</w:t>
            </w:r>
          </w:p>
        </w:tc>
        <w:tc>
          <w:tcPr>
            <w:tcW w:w="498" w:type="pct"/>
          </w:tcPr>
          <w:p w14:paraId="66FCB32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7.5 ± 2.3</w:t>
            </w:r>
          </w:p>
        </w:tc>
        <w:tc>
          <w:tcPr>
            <w:tcW w:w="355" w:type="pct"/>
          </w:tcPr>
          <w:p w14:paraId="0772DD15"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22.008</w:t>
            </w:r>
          </w:p>
        </w:tc>
        <w:tc>
          <w:tcPr>
            <w:tcW w:w="367" w:type="pct"/>
          </w:tcPr>
          <w:p w14:paraId="5C981B49"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r>
      <w:tr w:rsidR="00637BD4" w:rsidRPr="00637BD4" w14:paraId="5CF96135" w14:textId="77777777" w:rsidTr="00F7501B">
        <w:trPr>
          <w:trHeight w:val="284"/>
        </w:trPr>
        <w:tc>
          <w:tcPr>
            <w:tcW w:w="486" w:type="pct"/>
            <w:tcBorders>
              <w:bottom w:val="single" w:sz="12" w:space="0" w:color="auto"/>
            </w:tcBorders>
            <w:hideMark/>
          </w:tcPr>
          <w:p w14:paraId="20929F06" w14:textId="77777777" w:rsidR="00637BD4" w:rsidRPr="00637BD4" w:rsidRDefault="00637BD4" w:rsidP="00637BD4">
            <w:pPr>
              <w:spacing w:line="259" w:lineRule="auto"/>
              <w:jc w:val="both"/>
              <w:rPr>
                <w:rFonts w:ascii="Garamond" w:hAnsi="Garamond"/>
                <w:b/>
                <w:bCs/>
                <w:iCs/>
                <w:sz w:val="18"/>
                <w:szCs w:val="18"/>
                <w:lang w:val="en-GB"/>
              </w:rPr>
            </w:pPr>
            <w:r w:rsidRPr="00637BD4">
              <w:rPr>
                <w:rFonts w:ascii="Garamond" w:hAnsi="Garamond"/>
                <w:b/>
                <w:bCs/>
                <w:iCs/>
                <w:sz w:val="18"/>
                <w:szCs w:val="18"/>
                <w:lang w:val="en-GB"/>
              </w:rPr>
              <w:t>PLTs (x10</w:t>
            </w:r>
            <w:r w:rsidRPr="00637BD4">
              <w:rPr>
                <w:rFonts w:ascii="Garamond" w:hAnsi="Garamond"/>
                <w:b/>
                <w:bCs/>
                <w:iCs/>
                <w:sz w:val="18"/>
                <w:szCs w:val="18"/>
                <w:vertAlign w:val="superscript"/>
                <w:lang w:val="en-GB"/>
              </w:rPr>
              <w:t>9</w:t>
            </w:r>
            <w:r w:rsidRPr="00637BD4">
              <w:rPr>
                <w:rFonts w:ascii="Garamond" w:hAnsi="Garamond"/>
                <w:b/>
                <w:bCs/>
                <w:iCs/>
                <w:sz w:val="18"/>
                <w:szCs w:val="18"/>
                <w:lang w:val="en-GB"/>
              </w:rPr>
              <w:t xml:space="preserve"> cells/L)</w:t>
            </w:r>
          </w:p>
        </w:tc>
        <w:tc>
          <w:tcPr>
            <w:tcW w:w="548" w:type="pct"/>
            <w:tcBorders>
              <w:bottom w:val="single" w:sz="12" w:space="0" w:color="auto"/>
            </w:tcBorders>
          </w:tcPr>
          <w:p w14:paraId="33EB7BAD"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588.8 ± 208.6 </w:t>
            </w:r>
          </w:p>
        </w:tc>
        <w:tc>
          <w:tcPr>
            <w:tcW w:w="520" w:type="pct"/>
            <w:tcBorders>
              <w:bottom w:val="single" w:sz="12" w:space="0" w:color="auto"/>
            </w:tcBorders>
          </w:tcPr>
          <w:p w14:paraId="6BF47529"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 xml:space="preserve">217.0 ± 42.3 </w:t>
            </w:r>
          </w:p>
        </w:tc>
        <w:tc>
          <w:tcPr>
            <w:tcW w:w="546" w:type="pct"/>
            <w:gridSpan w:val="2"/>
            <w:tcBorders>
              <w:bottom w:val="single" w:sz="12" w:space="0" w:color="auto"/>
            </w:tcBorders>
          </w:tcPr>
          <w:p w14:paraId="1C3F9384"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279.2 ± 83.3</w:t>
            </w:r>
          </w:p>
        </w:tc>
        <w:tc>
          <w:tcPr>
            <w:tcW w:w="354" w:type="pct"/>
            <w:gridSpan w:val="2"/>
            <w:tcBorders>
              <w:bottom w:val="single" w:sz="12" w:space="0" w:color="auto"/>
            </w:tcBorders>
          </w:tcPr>
          <w:p w14:paraId="4E0AFEE7"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29.541</w:t>
            </w:r>
          </w:p>
        </w:tc>
        <w:tc>
          <w:tcPr>
            <w:tcW w:w="285" w:type="pct"/>
            <w:tcBorders>
              <w:bottom w:val="single" w:sz="12" w:space="0" w:color="auto"/>
              <w:right w:val="single" w:sz="4" w:space="0" w:color="auto"/>
            </w:tcBorders>
          </w:tcPr>
          <w:p w14:paraId="16E1B67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c>
          <w:tcPr>
            <w:tcW w:w="540" w:type="pct"/>
            <w:tcBorders>
              <w:left w:val="single" w:sz="4" w:space="0" w:color="auto"/>
              <w:bottom w:val="single" w:sz="12" w:space="0" w:color="auto"/>
            </w:tcBorders>
          </w:tcPr>
          <w:p w14:paraId="6C22B9B1"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615.0 ± 214.9</w:t>
            </w:r>
          </w:p>
        </w:tc>
        <w:tc>
          <w:tcPr>
            <w:tcW w:w="501" w:type="pct"/>
            <w:tcBorders>
              <w:bottom w:val="single" w:sz="12" w:space="0" w:color="auto"/>
            </w:tcBorders>
          </w:tcPr>
          <w:p w14:paraId="0B3AA4CE"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287.8 ± 46.1</w:t>
            </w:r>
          </w:p>
        </w:tc>
        <w:tc>
          <w:tcPr>
            <w:tcW w:w="498" w:type="pct"/>
            <w:tcBorders>
              <w:bottom w:val="single" w:sz="12" w:space="0" w:color="auto"/>
            </w:tcBorders>
          </w:tcPr>
          <w:p w14:paraId="63D11CB8"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279.2 ± 83.3</w:t>
            </w:r>
          </w:p>
        </w:tc>
        <w:tc>
          <w:tcPr>
            <w:tcW w:w="355" w:type="pct"/>
            <w:tcBorders>
              <w:bottom w:val="single" w:sz="12" w:space="0" w:color="auto"/>
            </w:tcBorders>
          </w:tcPr>
          <w:p w14:paraId="6847AD49"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31.807</w:t>
            </w:r>
          </w:p>
        </w:tc>
        <w:tc>
          <w:tcPr>
            <w:tcW w:w="367" w:type="pct"/>
            <w:tcBorders>
              <w:bottom w:val="single" w:sz="12" w:space="0" w:color="auto"/>
            </w:tcBorders>
          </w:tcPr>
          <w:p w14:paraId="20CFBFAF" w14:textId="77777777" w:rsidR="00637BD4" w:rsidRPr="00637BD4" w:rsidRDefault="00637BD4" w:rsidP="00637BD4">
            <w:pPr>
              <w:spacing w:line="259" w:lineRule="auto"/>
              <w:jc w:val="both"/>
              <w:rPr>
                <w:rFonts w:ascii="Garamond" w:hAnsi="Garamond"/>
                <w:iCs/>
                <w:sz w:val="18"/>
                <w:szCs w:val="18"/>
              </w:rPr>
            </w:pPr>
            <w:r w:rsidRPr="00637BD4">
              <w:rPr>
                <w:rFonts w:ascii="Garamond" w:hAnsi="Garamond"/>
                <w:iCs/>
                <w:sz w:val="18"/>
                <w:szCs w:val="18"/>
              </w:rPr>
              <w:t>&lt;0.001*</w:t>
            </w:r>
          </w:p>
        </w:tc>
      </w:tr>
    </w:tbl>
    <w:p w14:paraId="661316C7" w14:textId="77777777" w:rsidR="00637BD4" w:rsidRPr="00501798" w:rsidRDefault="00637BD4" w:rsidP="00637BD4">
      <w:pPr>
        <w:spacing w:line="259" w:lineRule="auto"/>
        <w:jc w:val="both"/>
        <w:rPr>
          <w:rFonts w:ascii="Garamond" w:hAnsi="Garamond"/>
          <w:iCs/>
          <w:sz w:val="16"/>
          <w:szCs w:val="16"/>
        </w:rPr>
      </w:pPr>
      <w:r w:rsidRPr="00501798">
        <w:rPr>
          <w:rFonts w:ascii="Garamond" w:hAnsi="Garamond"/>
          <w:iCs/>
          <w:sz w:val="16"/>
          <w:szCs w:val="16"/>
        </w:rPr>
        <w:t>*Values are significantly different at p&lt;0.05</w:t>
      </w:r>
    </w:p>
    <w:p w14:paraId="055DB90C" w14:textId="77777777" w:rsidR="00637BD4" w:rsidRPr="00501798" w:rsidRDefault="00637BD4" w:rsidP="00637BD4">
      <w:pPr>
        <w:spacing w:line="259" w:lineRule="auto"/>
        <w:jc w:val="both"/>
        <w:rPr>
          <w:rFonts w:ascii="Garamond" w:hAnsi="Garamond"/>
          <w:iCs/>
          <w:sz w:val="16"/>
          <w:szCs w:val="16"/>
        </w:rPr>
      </w:pPr>
      <w:r w:rsidRPr="00501798">
        <w:rPr>
          <w:rFonts w:ascii="Garamond" w:hAnsi="Garamond"/>
          <w:b/>
          <w:bCs/>
          <w:iCs/>
          <w:sz w:val="16"/>
          <w:szCs w:val="16"/>
        </w:rPr>
        <w:t>Keys:</w:t>
      </w:r>
      <w:r w:rsidRPr="00501798">
        <w:rPr>
          <w:rFonts w:ascii="Garamond" w:hAnsi="Garamond"/>
          <w:iCs/>
          <w:sz w:val="16"/>
          <w:szCs w:val="16"/>
        </w:rPr>
        <w:t xml:space="preserve"> </w:t>
      </w:r>
      <w:r w:rsidRPr="00501798">
        <w:rPr>
          <w:rFonts w:ascii="Garamond" w:hAnsi="Garamond"/>
          <w:b/>
          <w:bCs/>
          <w:iCs/>
          <w:sz w:val="16"/>
          <w:szCs w:val="16"/>
        </w:rPr>
        <w:t>KIM-1</w:t>
      </w:r>
      <w:r w:rsidRPr="00501798">
        <w:rPr>
          <w:rFonts w:ascii="Garamond" w:hAnsi="Garamond"/>
          <w:iCs/>
          <w:sz w:val="16"/>
          <w:szCs w:val="16"/>
        </w:rPr>
        <w:t xml:space="preserve">: Kidney Injury Molecule-1, </w:t>
      </w:r>
      <w:r w:rsidRPr="00501798">
        <w:rPr>
          <w:rFonts w:ascii="Garamond" w:hAnsi="Garamond"/>
          <w:b/>
          <w:bCs/>
          <w:iCs/>
          <w:sz w:val="16"/>
          <w:szCs w:val="16"/>
        </w:rPr>
        <w:t>NGAL</w:t>
      </w:r>
      <w:r w:rsidRPr="00501798">
        <w:rPr>
          <w:rFonts w:ascii="Garamond" w:hAnsi="Garamond"/>
          <w:iCs/>
          <w:sz w:val="16"/>
          <w:szCs w:val="16"/>
        </w:rPr>
        <w:t xml:space="preserve">: Neutrophil Gelatinase-associated Lipocalin, </w:t>
      </w:r>
      <w:r w:rsidRPr="00501798">
        <w:rPr>
          <w:rFonts w:ascii="Garamond" w:hAnsi="Garamond"/>
          <w:b/>
          <w:bCs/>
          <w:iCs/>
          <w:sz w:val="16"/>
          <w:szCs w:val="16"/>
        </w:rPr>
        <w:t>HP</w:t>
      </w:r>
      <w:r w:rsidRPr="00501798">
        <w:rPr>
          <w:rFonts w:ascii="Garamond" w:hAnsi="Garamond"/>
          <w:iCs/>
          <w:sz w:val="16"/>
          <w:szCs w:val="16"/>
        </w:rPr>
        <w:t xml:space="preserve">: Haptoglobin, </w:t>
      </w:r>
      <w:r w:rsidRPr="00501798">
        <w:rPr>
          <w:rFonts w:ascii="Garamond" w:hAnsi="Garamond"/>
          <w:b/>
          <w:bCs/>
          <w:iCs/>
          <w:sz w:val="16"/>
          <w:szCs w:val="16"/>
        </w:rPr>
        <w:t>PCV</w:t>
      </w:r>
      <w:r w:rsidRPr="00501798">
        <w:rPr>
          <w:rFonts w:ascii="Garamond" w:hAnsi="Garamond"/>
          <w:iCs/>
          <w:sz w:val="16"/>
          <w:szCs w:val="16"/>
        </w:rPr>
        <w:t xml:space="preserve">: Packed Cells Volume, </w:t>
      </w:r>
      <w:r w:rsidRPr="00501798">
        <w:rPr>
          <w:rFonts w:ascii="Garamond" w:hAnsi="Garamond"/>
          <w:b/>
          <w:bCs/>
          <w:iCs/>
          <w:sz w:val="16"/>
          <w:szCs w:val="16"/>
        </w:rPr>
        <w:t>Hb</w:t>
      </w:r>
      <w:r w:rsidRPr="00501798">
        <w:rPr>
          <w:rFonts w:ascii="Garamond" w:hAnsi="Garamond"/>
          <w:iCs/>
          <w:sz w:val="16"/>
          <w:szCs w:val="16"/>
        </w:rPr>
        <w:t xml:space="preserve">: </w:t>
      </w:r>
      <w:proofErr w:type="spellStart"/>
      <w:r w:rsidRPr="00501798">
        <w:rPr>
          <w:rFonts w:ascii="Garamond" w:hAnsi="Garamond"/>
          <w:iCs/>
          <w:sz w:val="16"/>
          <w:szCs w:val="16"/>
        </w:rPr>
        <w:t>Haemoglobin</w:t>
      </w:r>
      <w:proofErr w:type="spellEnd"/>
      <w:r w:rsidRPr="00501798">
        <w:rPr>
          <w:rFonts w:ascii="Garamond" w:hAnsi="Garamond"/>
          <w:iCs/>
          <w:sz w:val="16"/>
          <w:szCs w:val="16"/>
        </w:rPr>
        <w:t xml:space="preserve"> concentration, </w:t>
      </w:r>
      <w:r w:rsidRPr="00501798">
        <w:rPr>
          <w:rFonts w:ascii="Garamond" w:hAnsi="Garamond"/>
          <w:b/>
          <w:bCs/>
          <w:iCs/>
          <w:sz w:val="16"/>
          <w:szCs w:val="16"/>
        </w:rPr>
        <w:t>WBC</w:t>
      </w:r>
      <w:r w:rsidRPr="00501798">
        <w:rPr>
          <w:rFonts w:ascii="Garamond" w:hAnsi="Garamond"/>
          <w:iCs/>
          <w:sz w:val="16"/>
          <w:szCs w:val="16"/>
        </w:rPr>
        <w:t xml:space="preserve">: White Blood Cells Count, </w:t>
      </w:r>
      <w:r w:rsidRPr="00501798">
        <w:rPr>
          <w:rFonts w:ascii="Garamond" w:hAnsi="Garamond"/>
          <w:b/>
          <w:bCs/>
          <w:iCs/>
          <w:sz w:val="16"/>
          <w:szCs w:val="16"/>
        </w:rPr>
        <w:t>PLTs</w:t>
      </w:r>
      <w:r w:rsidRPr="00501798">
        <w:rPr>
          <w:rFonts w:ascii="Garamond" w:hAnsi="Garamond"/>
          <w:iCs/>
          <w:sz w:val="16"/>
          <w:szCs w:val="16"/>
        </w:rPr>
        <w:t>: Platelets count.</w:t>
      </w:r>
    </w:p>
    <w:bookmarkEnd w:id="18"/>
    <w:p w14:paraId="7CEC7D7C" w14:textId="77777777" w:rsidR="00637BD4" w:rsidRDefault="00637BD4" w:rsidP="008B0BAA">
      <w:pPr>
        <w:spacing w:line="259" w:lineRule="auto"/>
        <w:jc w:val="both"/>
        <w:rPr>
          <w:rFonts w:ascii="Garamond" w:hAnsi="Garamond"/>
          <w:iCs/>
          <w:sz w:val="20"/>
          <w:szCs w:val="20"/>
        </w:rPr>
      </w:pPr>
    </w:p>
    <w:p w14:paraId="0EF5A052" w14:textId="77777777" w:rsidR="00F7501B" w:rsidRPr="00F7501B" w:rsidRDefault="00F7501B" w:rsidP="00F7501B">
      <w:pPr>
        <w:spacing w:line="259" w:lineRule="auto"/>
        <w:jc w:val="both"/>
        <w:rPr>
          <w:rFonts w:ascii="Garamond" w:hAnsi="Garamond"/>
          <w:b/>
          <w:bCs/>
          <w:iCs/>
          <w:sz w:val="20"/>
          <w:szCs w:val="20"/>
        </w:rPr>
      </w:pPr>
      <w:r w:rsidRPr="00F7501B">
        <w:rPr>
          <w:rFonts w:ascii="Garamond" w:hAnsi="Garamond"/>
          <w:b/>
          <w:bCs/>
          <w:iCs/>
          <w:sz w:val="20"/>
          <w:szCs w:val="20"/>
        </w:rPr>
        <w:t>Correlation of all parameters of SCD subjects in crisis.</w:t>
      </w:r>
    </w:p>
    <w:p w14:paraId="00142FC7" w14:textId="77777777" w:rsidR="00F7501B" w:rsidRPr="00F7501B" w:rsidRDefault="00F7501B" w:rsidP="00F7501B">
      <w:pPr>
        <w:spacing w:line="259" w:lineRule="auto"/>
        <w:jc w:val="both"/>
        <w:rPr>
          <w:rFonts w:ascii="Garamond" w:hAnsi="Garamond"/>
          <w:iCs/>
          <w:sz w:val="20"/>
          <w:szCs w:val="20"/>
        </w:rPr>
      </w:pPr>
      <w:r w:rsidRPr="00F7501B">
        <w:rPr>
          <w:rFonts w:ascii="Garamond" w:hAnsi="Garamond"/>
          <w:iCs/>
          <w:sz w:val="20"/>
          <w:szCs w:val="20"/>
        </w:rPr>
        <w:t xml:space="preserve">Figures 1 and 2 display the scatterplot showing correlations among variables in homozygous sickle cell subjects in crisis. There was a statistically significant positive Pearson’s correlation between haptoglobin (HP) and NGAL (r = 0.648, p = 0.043) in homozygous SCD subjects. Similarly, there was a statistically significant positive Pearson’s correlation between total WBC and creatinine levels in homozygous sickle cell subjects (r = 0.649, p = 0.042), all at a 95% confidence level. This suggests that an increase or decrease in total WBC in homozygous sickle cell subjects could indicate a corresponding change in creatinine levels, and the same applies to the relationship between NGAL and HP among </w:t>
      </w:r>
      <w:proofErr w:type="spellStart"/>
      <w:r w:rsidRPr="00F7501B">
        <w:rPr>
          <w:rFonts w:ascii="Garamond" w:hAnsi="Garamond"/>
          <w:iCs/>
          <w:sz w:val="20"/>
          <w:szCs w:val="20"/>
        </w:rPr>
        <w:t>HbSS</w:t>
      </w:r>
      <w:proofErr w:type="spellEnd"/>
      <w:r w:rsidRPr="00F7501B">
        <w:rPr>
          <w:rFonts w:ascii="Garamond" w:hAnsi="Garamond"/>
          <w:iCs/>
          <w:sz w:val="20"/>
          <w:szCs w:val="20"/>
        </w:rPr>
        <w:t xml:space="preserve"> subjects in crisis. However, no statistically significant correlation was observed among the parameters of heterozygous subjects in crisis at a 95% confidence level. This indicates that all </w:t>
      </w:r>
      <w:proofErr w:type="spellStart"/>
      <w:r w:rsidRPr="00F7501B">
        <w:rPr>
          <w:rFonts w:ascii="Garamond" w:hAnsi="Garamond"/>
          <w:iCs/>
          <w:sz w:val="20"/>
          <w:szCs w:val="20"/>
        </w:rPr>
        <w:t>haematological</w:t>
      </w:r>
      <w:proofErr w:type="spellEnd"/>
      <w:r w:rsidRPr="00F7501B">
        <w:rPr>
          <w:rFonts w:ascii="Garamond" w:hAnsi="Garamond"/>
          <w:iCs/>
          <w:sz w:val="20"/>
          <w:szCs w:val="20"/>
        </w:rPr>
        <w:t xml:space="preserve"> parameters and markers of acute AKI in heterozygous SCD patients in crisis could not be used to predict the outcome of one another in this study. </w:t>
      </w:r>
    </w:p>
    <w:p w14:paraId="1579BC73" w14:textId="77777777" w:rsidR="00637BD4" w:rsidRDefault="00637BD4" w:rsidP="008B0BAA">
      <w:pPr>
        <w:spacing w:line="259" w:lineRule="auto"/>
        <w:jc w:val="both"/>
        <w:rPr>
          <w:rFonts w:ascii="Garamond" w:hAnsi="Garamond"/>
          <w:iCs/>
          <w:sz w:val="20"/>
          <w:szCs w:val="20"/>
        </w:rPr>
      </w:pPr>
    </w:p>
    <w:p w14:paraId="235B8B6A" w14:textId="77777777" w:rsidR="00637BD4" w:rsidRDefault="00637BD4" w:rsidP="008B0BAA">
      <w:pPr>
        <w:spacing w:line="259" w:lineRule="auto"/>
        <w:jc w:val="both"/>
        <w:rPr>
          <w:rFonts w:ascii="Garamond" w:hAnsi="Garamond"/>
          <w:iCs/>
          <w:sz w:val="20"/>
          <w:szCs w:val="20"/>
        </w:rPr>
      </w:pPr>
    </w:p>
    <w:p w14:paraId="4408ECFD" w14:textId="77777777" w:rsidR="00637BD4" w:rsidRDefault="00637BD4" w:rsidP="008B0BAA">
      <w:pPr>
        <w:spacing w:line="259" w:lineRule="auto"/>
        <w:jc w:val="both"/>
        <w:rPr>
          <w:rFonts w:ascii="Garamond" w:hAnsi="Garamond"/>
          <w:iCs/>
          <w:sz w:val="20"/>
          <w:szCs w:val="20"/>
        </w:rPr>
      </w:pPr>
    </w:p>
    <w:p w14:paraId="1C39A9DF" w14:textId="77777777" w:rsidR="00637BD4" w:rsidRDefault="00637BD4" w:rsidP="008B0BAA">
      <w:pPr>
        <w:spacing w:line="259" w:lineRule="auto"/>
        <w:jc w:val="both"/>
        <w:rPr>
          <w:rFonts w:ascii="Garamond" w:hAnsi="Garamond"/>
          <w:iCs/>
          <w:sz w:val="20"/>
          <w:szCs w:val="20"/>
        </w:rPr>
      </w:pPr>
    </w:p>
    <w:p w14:paraId="26BDD44E" w14:textId="77777777" w:rsidR="00637BD4" w:rsidRDefault="00637BD4" w:rsidP="008B0BAA">
      <w:pPr>
        <w:spacing w:line="259" w:lineRule="auto"/>
        <w:jc w:val="both"/>
        <w:rPr>
          <w:rFonts w:ascii="Garamond" w:hAnsi="Garamond"/>
          <w:iCs/>
          <w:sz w:val="20"/>
          <w:szCs w:val="20"/>
        </w:rPr>
      </w:pPr>
    </w:p>
    <w:p w14:paraId="535CADC7" w14:textId="77777777" w:rsidR="00637BD4" w:rsidRDefault="00637BD4" w:rsidP="008B0BAA">
      <w:pPr>
        <w:spacing w:line="259" w:lineRule="auto"/>
        <w:jc w:val="both"/>
        <w:rPr>
          <w:rFonts w:ascii="Garamond" w:hAnsi="Garamond"/>
          <w:iCs/>
          <w:sz w:val="20"/>
          <w:szCs w:val="20"/>
        </w:rPr>
      </w:pPr>
    </w:p>
    <w:p w14:paraId="44155E50" w14:textId="77777777" w:rsidR="00637BD4" w:rsidRDefault="00637BD4" w:rsidP="008B0BAA">
      <w:pPr>
        <w:spacing w:line="259" w:lineRule="auto"/>
        <w:jc w:val="both"/>
        <w:rPr>
          <w:rFonts w:ascii="Garamond" w:hAnsi="Garamond"/>
          <w:iCs/>
          <w:sz w:val="20"/>
          <w:szCs w:val="20"/>
        </w:rPr>
      </w:pPr>
    </w:p>
    <w:p w14:paraId="00F4F248" w14:textId="77777777" w:rsidR="00637BD4" w:rsidRDefault="00637BD4" w:rsidP="008B0BAA">
      <w:pPr>
        <w:spacing w:line="259" w:lineRule="auto"/>
        <w:jc w:val="both"/>
        <w:rPr>
          <w:rFonts w:ascii="Garamond" w:hAnsi="Garamond"/>
          <w:iCs/>
          <w:sz w:val="20"/>
          <w:szCs w:val="20"/>
        </w:rPr>
      </w:pPr>
    </w:p>
    <w:p w14:paraId="15AD49B6" w14:textId="77777777" w:rsidR="00637BD4" w:rsidRDefault="00637BD4" w:rsidP="008B0BAA">
      <w:pPr>
        <w:spacing w:line="259" w:lineRule="auto"/>
        <w:jc w:val="both"/>
        <w:rPr>
          <w:rFonts w:ascii="Garamond" w:hAnsi="Garamond"/>
          <w:iCs/>
          <w:sz w:val="20"/>
          <w:szCs w:val="20"/>
        </w:rPr>
      </w:pPr>
    </w:p>
    <w:p w14:paraId="543BCBC0" w14:textId="77777777" w:rsidR="00637BD4" w:rsidRDefault="00637BD4" w:rsidP="008B0BAA">
      <w:pPr>
        <w:spacing w:line="259" w:lineRule="auto"/>
        <w:jc w:val="both"/>
        <w:rPr>
          <w:rFonts w:ascii="Garamond" w:hAnsi="Garamond"/>
          <w:iCs/>
          <w:sz w:val="20"/>
          <w:szCs w:val="20"/>
        </w:rPr>
      </w:pPr>
    </w:p>
    <w:p w14:paraId="6431D294" w14:textId="77777777" w:rsidR="00637BD4" w:rsidRDefault="00637BD4" w:rsidP="008B0BAA">
      <w:pPr>
        <w:spacing w:line="259" w:lineRule="auto"/>
        <w:jc w:val="both"/>
        <w:rPr>
          <w:rFonts w:ascii="Garamond" w:hAnsi="Garamond"/>
          <w:iCs/>
          <w:sz w:val="20"/>
          <w:szCs w:val="20"/>
        </w:rPr>
      </w:pPr>
    </w:p>
    <w:p w14:paraId="4B5475E0" w14:textId="77777777" w:rsidR="00637BD4" w:rsidRDefault="00637BD4" w:rsidP="008B0BAA">
      <w:pPr>
        <w:spacing w:line="259" w:lineRule="auto"/>
        <w:jc w:val="both"/>
        <w:rPr>
          <w:rFonts w:ascii="Garamond" w:hAnsi="Garamond"/>
          <w:iCs/>
          <w:sz w:val="20"/>
          <w:szCs w:val="20"/>
        </w:rPr>
      </w:pPr>
    </w:p>
    <w:p w14:paraId="2BE0707F" w14:textId="77777777" w:rsidR="00637BD4" w:rsidRDefault="00637BD4" w:rsidP="008B0BAA">
      <w:pPr>
        <w:spacing w:line="259" w:lineRule="auto"/>
        <w:jc w:val="both"/>
        <w:rPr>
          <w:rFonts w:ascii="Garamond" w:hAnsi="Garamond"/>
          <w:iCs/>
          <w:sz w:val="20"/>
          <w:szCs w:val="20"/>
        </w:rPr>
      </w:pPr>
    </w:p>
    <w:p w14:paraId="3E4943F9" w14:textId="77777777" w:rsidR="00637BD4" w:rsidRDefault="00637BD4" w:rsidP="008B0BAA">
      <w:pPr>
        <w:spacing w:line="259" w:lineRule="auto"/>
        <w:jc w:val="both"/>
        <w:rPr>
          <w:rFonts w:ascii="Garamond" w:hAnsi="Garamond"/>
          <w:iCs/>
          <w:sz w:val="20"/>
          <w:szCs w:val="20"/>
        </w:rPr>
      </w:pPr>
    </w:p>
    <w:p w14:paraId="780B1BC8" w14:textId="4BBEA65B" w:rsidR="00531A63" w:rsidRPr="00531A63" w:rsidRDefault="00531A63" w:rsidP="00531A63">
      <w:pPr>
        <w:spacing w:line="259" w:lineRule="auto"/>
        <w:jc w:val="both"/>
        <w:rPr>
          <w:rFonts w:ascii="Garamond" w:hAnsi="Garamond"/>
          <w:iCs/>
          <w:sz w:val="20"/>
          <w:szCs w:val="20"/>
        </w:rPr>
      </w:pPr>
      <w:r w:rsidRPr="00531A63">
        <w:rPr>
          <w:rFonts w:ascii="Garamond" w:hAnsi="Garamond"/>
          <w:iCs/>
          <w:noProof/>
          <w:sz w:val="20"/>
          <w:szCs w:val="20"/>
        </w:rPr>
        <w:drawing>
          <wp:anchor distT="0" distB="0" distL="114300" distR="114300" simplePos="0" relativeHeight="251665408" behindDoc="0" locked="0" layoutInCell="1" allowOverlap="1" wp14:anchorId="3F797E66" wp14:editId="671C4663">
            <wp:simplePos x="0" y="0"/>
            <wp:positionH relativeFrom="margin">
              <wp:posOffset>54321</wp:posOffset>
            </wp:positionH>
            <wp:positionV relativeFrom="paragraph">
              <wp:posOffset>114124</wp:posOffset>
            </wp:positionV>
            <wp:extent cx="6057900" cy="2851842"/>
            <wp:effectExtent l="0" t="0" r="0" b="5715"/>
            <wp:wrapNone/>
            <wp:docPr id="640011349" name="Chart 1">
              <a:extLst xmlns:a="http://schemas.openxmlformats.org/drawingml/2006/main">
                <a:ext uri="{FF2B5EF4-FFF2-40B4-BE49-F238E27FC236}">
                  <a16:creationId xmlns:a16="http://schemas.microsoft.com/office/drawing/2014/main" id="{01A0AE84-4622-7271-E889-2A18B00D6A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p>
    <w:p w14:paraId="5D35B114" w14:textId="77777777" w:rsidR="00531A63" w:rsidRPr="00531A63" w:rsidRDefault="00531A63" w:rsidP="00531A63">
      <w:pPr>
        <w:spacing w:line="259" w:lineRule="auto"/>
        <w:jc w:val="both"/>
        <w:rPr>
          <w:rFonts w:ascii="Garamond" w:hAnsi="Garamond"/>
          <w:iCs/>
          <w:sz w:val="20"/>
          <w:szCs w:val="20"/>
        </w:rPr>
      </w:pPr>
    </w:p>
    <w:p w14:paraId="6FD73BFB" w14:textId="77777777" w:rsidR="00531A63" w:rsidRPr="00531A63" w:rsidRDefault="00531A63" w:rsidP="00531A63">
      <w:pPr>
        <w:spacing w:line="259" w:lineRule="auto"/>
        <w:jc w:val="both"/>
        <w:rPr>
          <w:rFonts w:ascii="Garamond" w:hAnsi="Garamond"/>
          <w:iCs/>
          <w:sz w:val="20"/>
          <w:szCs w:val="20"/>
        </w:rPr>
      </w:pPr>
    </w:p>
    <w:p w14:paraId="2F2505B8" w14:textId="77777777" w:rsidR="00531A63" w:rsidRPr="00531A63" w:rsidRDefault="00531A63" w:rsidP="00531A63">
      <w:pPr>
        <w:spacing w:line="259" w:lineRule="auto"/>
        <w:jc w:val="both"/>
        <w:rPr>
          <w:rFonts w:ascii="Garamond" w:hAnsi="Garamond"/>
          <w:iCs/>
          <w:sz w:val="20"/>
          <w:szCs w:val="20"/>
        </w:rPr>
      </w:pPr>
    </w:p>
    <w:p w14:paraId="3A592F4C" w14:textId="77777777" w:rsidR="00531A63" w:rsidRPr="00531A63" w:rsidRDefault="00531A63" w:rsidP="00531A63">
      <w:pPr>
        <w:spacing w:line="259" w:lineRule="auto"/>
        <w:jc w:val="both"/>
        <w:rPr>
          <w:rFonts w:ascii="Garamond" w:hAnsi="Garamond"/>
          <w:iCs/>
          <w:sz w:val="20"/>
          <w:szCs w:val="20"/>
        </w:rPr>
      </w:pPr>
    </w:p>
    <w:p w14:paraId="0A784D15" w14:textId="77777777" w:rsidR="00531A63" w:rsidRPr="00531A63" w:rsidRDefault="00531A63" w:rsidP="00531A63">
      <w:pPr>
        <w:spacing w:line="259" w:lineRule="auto"/>
        <w:jc w:val="both"/>
        <w:rPr>
          <w:rFonts w:ascii="Garamond" w:hAnsi="Garamond"/>
          <w:iCs/>
          <w:sz w:val="20"/>
          <w:szCs w:val="20"/>
        </w:rPr>
      </w:pPr>
    </w:p>
    <w:p w14:paraId="4431C345" w14:textId="77777777" w:rsidR="00531A63" w:rsidRPr="00531A63" w:rsidRDefault="00531A63" w:rsidP="00531A63">
      <w:pPr>
        <w:spacing w:line="259" w:lineRule="auto"/>
        <w:jc w:val="both"/>
        <w:rPr>
          <w:rFonts w:ascii="Garamond" w:hAnsi="Garamond"/>
          <w:iCs/>
          <w:sz w:val="20"/>
          <w:szCs w:val="20"/>
        </w:rPr>
      </w:pPr>
    </w:p>
    <w:p w14:paraId="441D0116" w14:textId="77777777" w:rsidR="00531A63" w:rsidRPr="00531A63" w:rsidRDefault="00531A63" w:rsidP="00531A63">
      <w:pPr>
        <w:spacing w:line="259" w:lineRule="auto"/>
        <w:jc w:val="both"/>
        <w:rPr>
          <w:rFonts w:ascii="Garamond" w:hAnsi="Garamond"/>
          <w:iCs/>
          <w:sz w:val="20"/>
          <w:szCs w:val="20"/>
        </w:rPr>
      </w:pPr>
    </w:p>
    <w:p w14:paraId="27BF8CB9" w14:textId="77777777" w:rsidR="00531A63" w:rsidRPr="00531A63" w:rsidRDefault="00531A63" w:rsidP="00531A63">
      <w:pPr>
        <w:spacing w:line="259" w:lineRule="auto"/>
        <w:jc w:val="both"/>
        <w:rPr>
          <w:rFonts w:ascii="Garamond" w:hAnsi="Garamond"/>
          <w:iCs/>
          <w:sz w:val="20"/>
          <w:szCs w:val="20"/>
        </w:rPr>
      </w:pPr>
    </w:p>
    <w:p w14:paraId="7A8665FA" w14:textId="77777777" w:rsidR="00531A63" w:rsidRPr="00531A63" w:rsidRDefault="00531A63" w:rsidP="00531A63">
      <w:pPr>
        <w:spacing w:line="259" w:lineRule="auto"/>
        <w:jc w:val="both"/>
        <w:rPr>
          <w:rFonts w:ascii="Garamond" w:hAnsi="Garamond"/>
          <w:iCs/>
          <w:sz w:val="20"/>
          <w:szCs w:val="20"/>
        </w:rPr>
      </w:pPr>
    </w:p>
    <w:p w14:paraId="110320AF" w14:textId="77777777" w:rsidR="00531A63" w:rsidRPr="00531A63" w:rsidRDefault="00531A63" w:rsidP="00531A63">
      <w:pPr>
        <w:spacing w:line="259" w:lineRule="auto"/>
        <w:jc w:val="both"/>
        <w:rPr>
          <w:rFonts w:ascii="Garamond" w:hAnsi="Garamond"/>
          <w:iCs/>
          <w:sz w:val="20"/>
          <w:szCs w:val="20"/>
        </w:rPr>
      </w:pPr>
    </w:p>
    <w:p w14:paraId="40098C9A" w14:textId="77777777" w:rsidR="00531A63" w:rsidRPr="00531A63" w:rsidRDefault="00531A63" w:rsidP="00531A63">
      <w:pPr>
        <w:spacing w:line="259" w:lineRule="auto"/>
        <w:jc w:val="both"/>
        <w:rPr>
          <w:rFonts w:ascii="Garamond" w:hAnsi="Garamond"/>
          <w:iCs/>
          <w:sz w:val="20"/>
          <w:szCs w:val="20"/>
        </w:rPr>
      </w:pPr>
    </w:p>
    <w:p w14:paraId="4963BE2C" w14:textId="77777777" w:rsidR="00531A63" w:rsidRPr="00531A63" w:rsidRDefault="00531A63" w:rsidP="00531A63">
      <w:pPr>
        <w:spacing w:line="259" w:lineRule="auto"/>
        <w:jc w:val="both"/>
        <w:rPr>
          <w:rFonts w:ascii="Garamond" w:hAnsi="Garamond"/>
          <w:iCs/>
          <w:sz w:val="20"/>
          <w:szCs w:val="20"/>
        </w:rPr>
      </w:pPr>
    </w:p>
    <w:p w14:paraId="128369BD" w14:textId="77777777" w:rsidR="00531A63" w:rsidRPr="00531A63" w:rsidRDefault="00531A63" w:rsidP="00531A63">
      <w:pPr>
        <w:spacing w:line="259" w:lineRule="auto"/>
        <w:jc w:val="both"/>
        <w:rPr>
          <w:rFonts w:ascii="Garamond" w:hAnsi="Garamond"/>
          <w:iCs/>
          <w:sz w:val="20"/>
          <w:szCs w:val="20"/>
        </w:rPr>
      </w:pPr>
    </w:p>
    <w:p w14:paraId="567C43A3" w14:textId="77777777" w:rsidR="00531A63" w:rsidRPr="00531A63" w:rsidRDefault="00531A63" w:rsidP="00531A63">
      <w:pPr>
        <w:spacing w:line="259" w:lineRule="auto"/>
        <w:jc w:val="both"/>
        <w:rPr>
          <w:rFonts w:ascii="Garamond" w:hAnsi="Garamond"/>
          <w:b/>
          <w:bCs/>
          <w:iCs/>
          <w:sz w:val="20"/>
          <w:szCs w:val="20"/>
        </w:rPr>
      </w:pPr>
    </w:p>
    <w:p w14:paraId="783BA518" w14:textId="77777777" w:rsidR="00531A63" w:rsidRPr="00531A63" w:rsidRDefault="00531A63" w:rsidP="00531A63">
      <w:pPr>
        <w:spacing w:line="259" w:lineRule="auto"/>
        <w:jc w:val="both"/>
        <w:rPr>
          <w:rFonts w:ascii="Garamond" w:hAnsi="Garamond"/>
          <w:b/>
          <w:bCs/>
          <w:iCs/>
          <w:sz w:val="20"/>
          <w:szCs w:val="20"/>
        </w:rPr>
      </w:pPr>
    </w:p>
    <w:p w14:paraId="2339849A" w14:textId="77777777" w:rsidR="00531A63" w:rsidRPr="00531A63" w:rsidRDefault="00531A63" w:rsidP="00531A63">
      <w:pPr>
        <w:spacing w:line="259" w:lineRule="auto"/>
        <w:jc w:val="both"/>
        <w:rPr>
          <w:rFonts w:ascii="Garamond" w:hAnsi="Garamond"/>
          <w:b/>
          <w:bCs/>
          <w:iCs/>
          <w:sz w:val="20"/>
          <w:szCs w:val="20"/>
        </w:rPr>
      </w:pPr>
    </w:p>
    <w:p w14:paraId="70A0DD96" w14:textId="77777777" w:rsidR="00531A63" w:rsidRPr="00531A63" w:rsidRDefault="00531A63" w:rsidP="00531A63">
      <w:pPr>
        <w:spacing w:line="259" w:lineRule="auto"/>
        <w:jc w:val="both"/>
        <w:rPr>
          <w:rFonts w:ascii="Garamond" w:hAnsi="Garamond"/>
          <w:b/>
          <w:bCs/>
          <w:iCs/>
          <w:sz w:val="20"/>
          <w:szCs w:val="20"/>
        </w:rPr>
      </w:pPr>
    </w:p>
    <w:p w14:paraId="6661B4EE" w14:textId="77777777" w:rsidR="00531A63" w:rsidRPr="00531A63" w:rsidRDefault="00531A63" w:rsidP="00531A63">
      <w:pPr>
        <w:spacing w:line="259" w:lineRule="auto"/>
        <w:jc w:val="both"/>
        <w:rPr>
          <w:rFonts w:ascii="Garamond" w:hAnsi="Garamond"/>
          <w:b/>
          <w:bCs/>
          <w:iCs/>
          <w:sz w:val="20"/>
          <w:szCs w:val="20"/>
        </w:rPr>
      </w:pPr>
    </w:p>
    <w:p w14:paraId="4D670EF6" w14:textId="77777777" w:rsidR="00531A63" w:rsidRPr="00531A63" w:rsidRDefault="00531A63" w:rsidP="00531A63">
      <w:pPr>
        <w:spacing w:line="259" w:lineRule="auto"/>
        <w:jc w:val="both"/>
        <w:rPr>
          <w:rFonts w:ascii="Garamond" w:hAnsi="Garamond"/>
          <w:b/>
          <w:bCs/>
          <w:iCs/>
          <w:sz w:val="20"/>
          <w:szCs w:val="20"/>
        </w:rPr>
      </w:pPr>
    </w:p>
    <w:p w14:paraId="072AE4F6" w14:textId="2B5FD63A" w:rsidR="00531A63" w:rsidRPr="00A32F47" w:rsidRDefault="00531A63" w:rsidP="00A32F47">
      <w:pPr>
        <w:jc w:val="both"/>
        <w:rPr>
          <w:rFonts w:ascii="Garamond" w:hAnsi="Garamond"/>
          <w:iCs/>
          <w:sz w:val="16"/>
          <w:szCs w:val="16"/>
        </w:rPr>
      </w:pPr>
      <w:r w:rsidRPr="00A32F47">
        <w:rPr>
          <w:rFonts w:ascii="Garamond" w:hAnsi="Garamond"/>
          <w:b/>
          <w:bCs/>
          <w:iCs/>
          <w:sz w:val="16"/>
          <w:szCs w:val="16"/>
        </w:rPr>
        <w:t>Keys:</w:t>
      </w:r>
      <w:r w:rsidR="00A32F47">
        <w:rPr>
          <w:rFonts w:ascii="Garamond" w:hAnsi="Garamond"/>
          <w:b/>
          <w:bCs/>
          <w:iCs/>
          <w:sz w:val="16"/>
          <w:szCs w:val="16"/>
        </w:rPr>
        <w:t xml:space="preserve"> </w:t>
      </w:r>
      <w:r w:rsidRPr="00A32F47">
        <w:rPr>
          <w:rFonts w:ascii="Garamond" w:hAnsi="Garamond"/>
          <w:iCs/>
          <w:sz w:val="16"/>
          <w:szCs w:val="16"/>
        </w:rPr>
        <w:t>**Correlation is significant at the 0.01 level (2-tailed)</w:t>
      </w:r>
      <w:r w:rsidR="00A32F47">
        <w:rPr>
          <w:rFonts w:ascii="Garamond" w:hAnsi="Garamond"/>
          <w:iCs/>
          <w:sz w:val="16"/>
          <w:szCs w:val="16"/>
        </w:rPr>
        <w:t xml:space="preserve">, </w:t>
      </w:r>
      <w:r w:rsidRPr="00A32F47">
        <w:rPr>
          <w:rFonts w:ascii="Garamond" w:hAnsi="Garamond"/>
          <w:iCs/>
          <w:sz w:val="16"/>
          <w:szCs w:val="16"/>
        </w:rPr>
        <w:t>*Correlation is significant at the 0.05 level (2-tailed)</w:t>
      </w:r>
      <w:r w:rsidR="00A32F47">
        <w:rPr>
          <w:rFonts w:ascii="Garamond" w:hAnsi="Garamond"/>
          <w:iCs/>
          <w:sz w:val="16"/>
          <w:szCs w:val="16"/>
        </w:rPr>
        <w:t xml:space="preserve">, </w:t>
      </w:r>
      <w:r w:rsidRPr="00A32F47">
        <w:rPr>
          <w:rFonts w:ascii="Garamond" w:hAnsi="Garamond"/>
          <w:b/>
          <w:bCs/>
          <w:iCs/>
          <w:sz w:val="16"/>
          <w:szCs w:val="16"/>
        </w:rPr>
        <w:t>NGAL</w:t>
      </w:r>
      <w:r w:rsidRPr="00A32F47">
        <w:rPr>
          <w:rFonts w:ascii="Garamond" w:hAnsi="Garamond"/>
          <w:iCs/>
          <w:sz w:val="16"/>
          <w:szCs w:val="16"/>
        </w:rPr>
        <w:t xml:space="preserve">: Neutrophil Gelatinase-associated Lipocalin, </w:t>
      </w:r>
      <w:r w:rsidRPr="00A32F47">
        <w:rPr>
          <w:rFonts w:ascii="Garamond" w:hAnsi="Garamond"/>
          <w:b/>
          <w:bCs/>
          <w:iCs/>
          <w:sz w:val="16"/>
          <w:szCs w:val="16"/>
        </w:rPr>
        <w:t>HP</w:t>
      </w:r>
      <w:r w:rsidRPr="00A32F47">
        <w:rPr>
          <w:rFonts w:ascii="Garamond" w:hAnsi="Garamond"/>
          <w:iCs/>
          <w:sz w:val="16"/>
          <w:szCs w:val="16"/>
        </w:rPr>
        <w:t>: Haptoglobin</w:t>
      </w:r>
    </w:p>
    <w:p w14:paraId="78CE23E9" w14:textId="77777777" w:rsidR="00531A63" w:rsidRPr="00531A63" w:rsidRDefault="00531A63" w:rsidP="00531A63">
      <w:pPr>
        <w:jc w:val="both"/>
        <w:rPr>
          <w:rFonts w:ascii="Garamond" w:hAnsi="Garamond"/>
          <w:b/>
          <w:bCs/>
          <w:iCs/>
          <w:sz w:val="20"/>
          <w:szCs w:val="20"/>
        </w:rPr>
      </w:pPr>
      <w:r w:rsidRPr="00531A63">
        <w:rPr>
          <w:rFonts w:ascii="Garamond" w:hAnsi="Garamond"/>
          <w:b/>
          <w:bCs/>
          <w:iCs/>
          <w:sz w:val="20"/>
          <w:szCs w:val="20"/>
        </w:rPr>
        <w:t xml:space="preserve">Figure 1: </w:t>
      </w:r>
      <w:r w:rsidRPr="00531A63">
        <w:rPr>
          <w:rFonts w:ascii="Garamond" w:hAnsi="Garamond"/>
          <w:iCs/>
          <w:sz w:val="20"/>
          <w:szCs w:val="20"/>
        </w:rPr>
        <w:t xml:space="preserve">Scattered plot showing Pearson’s correlation between NGAL and haptoglobin of </w:t>
      </w:r>
      <w:proofErr w:type="spellStart"/>
      <w:r w:rsidRPr="00531A63">
        <w:rPr>
          <w:rFonts w:ascii="Garamond" w:hAnsi="Garamond"/>
          <w:iCs/>
          <w:sz w:val="20"/>
          <w:szCs w:val="20"/>
        </w:rPr>
        <w:t>HbSS</w:t>
      </w:r>
      <w:proofErr w:type="spellEnd"/>
      <w:r w:rsidRPr="00531A63">
        <w:rPr>
          <w:rFonts w:ascii="Garamond" w:hAnsi="Garamond"/>
          <w:iCs/>
          <w:sz w:val="20"/>
          <w:szCs w:val="20"/>
        </w:rPr>
        <w:t xml:space="preserve"> subjects in crisis.</w:t>
      </w:r>
    </w:p>
    <w:p w14:paraId="3DCEECCE" w14:textId="77777777" w:rsidR="00531A63" w:rsidRPr="00531A63" w:rsidRDefault="00531A63" w:rsidP="00531A63">
      <w:pPr>
        <w:spacing w:line="259" w:lineRule="auto"/>
        <w:jc w:val="both"/>
        <w:rPr>
          <w:rFonts w:ascii="Garamond" w:hAnsi="Garamond"/>
          <w:b/>
          <w:bCs/>
          <w:iCs/>
          <w:sz w:val="20"/>
          <w:szCs w:val="20"/>
        </w:rPr>
      </w:pPr>
    </w:p>
    <w:p w14:paraId="18564285" w14:textId="304D57D4" w:rsidR="00531A63" w:rsidRPr="00531A63" w:rsidRDefault="00531A63" w:rsidP="00531A63">
      <w:pPr>
        <w:spacing w:line="259" w:lineRule="auto"/>
        <w:jc w:val="both"/>
        <w:rPr>
          <w:rFonts w:ascii="Garamond" w:hAnsi="Garamond"/>
          <w:iCs/>
          <w:sz w:val="20"/>
          <w:szCs w:val="20"/>
        </w:rPr>
      </w:pPr>
      <w:r w:rsidRPr="00531A63">
        <w:rPr>
          <w:rFonts w:ascii="Garamond" w:hAnsi="Garamond"/>
          <w:iCs/>
          <w:noProof/>
          <w:sz w:val="20"/>
          <w:szCs w:val="20"/>
        </w:rPr>
        <w:drawing>
          <wp:anchor distT="0" distB="0" distL="114300" distR="114300" simplePos="0" relativeHeight="251666432" behindDoc="0" locked="0" layoutInCell="1" allowOverlap="1" wp14:anchorId="2DA9562C" wp14:editId="15B2665E">
            <wp:simplePos x="0" y="0"/>
            <wp:positionH relativeFrom="margin">
              <wp:align>left</wp:align>
            </wp:positionH>
            <wp:positionV relativeFrom="paragraph">
              <wp:posOffset>15020</wp:posOffset>
            </wp:positionV>
            <wp:extent cx="5638800" cy="3603280"/>
            <wp:effectExtent l="0" t="0" r="0" b="16510"/>
            <wp:wrapNone/>
            <wp:docPr id="873601797" name="Chart 1">
              <a:extLst xmlns:a="http://schemas.openxmlformats.org/drawingml/2006/main">
                <a:ext uri="{FF2B5EF4-FFF2-40B4-BE49-F238E27FC236}">
                  <a16:creationId xmlns:a16="http://schemas.microsoft.com/office/drawing/2014/main" id="{2BE3D66D-2AA1-C772-B84F-F8690859FA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14:paraId="4042AED3" w14:textId="77777777" w:rsidR="00531A63" w:rsidRPr="00531A63" w:rsidRDefault="00531A63" w:rsidP="00531A63">
      <w:pPr>
        <w:spacing w:line="259" w:lineRule="auto"/>
        <w:jc w:val="both"/>
        <w:rPr>
          <w:rFonts w:ascii="Garamond" w:hAnsi="Garamond"/>
          <w:iCs/>
          <w:sz w:val="20"/>
          <w:szCs w:val="20"/>
        </w:rPr>
      </w:pPr>
    </w:p>
    <w:p w14:paraId="5939AB91" w14:textId="77777777" w:rsidR="00531A63" w:rsidRPr="00531A63" w:rsidRDefault="00531A63" w:rsidP="00531A63">
      <w:pPr>
        <w:spacing w:line="259" w:lineRule="auto"/>
        <w:jc w:val="both"/>
        <w:rPr>
          <w:rFonts w:ascii="Garamond" w:hAnsi="Garamond"/>
          <w:iCs/>
          <w:sz w:val="20"/>
          <w:szCs w:val="20"/>
        </w:rPr>
      </w:pPr>
    </w:p>
    <w:p w14:paraId="1477CE7E" w14:textId="77777777" w:rsidR="00531A63" w:rsidRPr="00531A63" w:rsidRDefault="00531A63" w:rsidP="00531A63">
      <w:pPr>
        <w:spacing w:line="259" w:lineRule="auto"/>
        <w:jc w:val="both"/>
        <w:rPr>
          <w:rFonts w:ascii="Garamond" w:hAnsi="Garamond"/>
          <w:iCs/>
          <w:sz w:val="20"/>
          <w:szCs w:val="20"/>
        </w:rPr>
      </w:pPr>
    </w:p>
    <w:p w14:paraId="53397211" w14:textId="77777777" w:rsidR="00531A63" w:rsidRPr="00531A63" w:rsidRDefault="00531A63" w:rsidP="00531A63">
      <w:pPr>
        <w:spacing w:line="259" w:lineRule="auto"/>
        <w:jc w:val="both"/>
        <w:rPr>
          <w:rFonts w:ascii="Garamond" w:hAnsi="Garamond"/>
          <w:iCs/>
          <w:sz w:val="20"/>
          <w:szCs w:val="20"/>
        </w:rPr>
      </w:pPr>
    </w:p>
    <w:p w14:paraId="5DD9DC27" w14:textId="77777777" w:rsidR="00531A63" w:rsidRPr="00531A63" w:rsidRDefault="00531A63" w:rsidP="00531A63">
      <w:pPr>
        <w:spacing w:line="259" w:lineRule="auto"/>
        <w:jc w:val="both"/>
        <w:rPr>
          <w:rFonts w:ascii="Garamond" w:hAnsi="Garamond"/>
          <w:iCs/>
          <w:sz w:val="20"/>
          <w:szCs w:val="20"/>
        </w:rPr>
      </w:pPr>
    </w:p>
    <w:p w14:paraId="09DFA62E" w14:textId="77777777" w:rsidR="00531A63" w:rsidRPr="00531A63" w:rsidRDefault="00531A63" w:rsidP="00531A63">
      <w:pPr>
        <w:spacing w:line="259" w:lineRule="auto"/>
        <w:jc w:val="both"/>
        <w:rPr>
          <w:rFonts w:ascii="Garamond" w:hAnsi="Garamond"/>
          <w:iCs/>
          <w:sz w:val="20"/>
          <w:szCs w:val="20"/>
        </w:rPr>
      </w:pPr>
    </w:p>
    <w:p w14:paraId="63F6D64D" w14:textId="77777777" w:rsidR="00531A63" w:rsidRPr="00531A63" w:rsidRDefault="00531A63" w:rsidP="00531A63">
      <w:pPr>
        <w:spacing w:line="259" w:lineRule="auto"/>
        <w:jc w:val="both"/>
        <w:rPr>
          <w:rFonts w:ascii="Garamond" w:hAnsi="Garamond"/>
          <w:iCs/>
          <w:sz w:val="20"/>
          <w:szCs w:val="20"/>
          <w:lang w:val="en-GB"/>
        </w:rPr>
      </w:pPr>
    </w:p>
    <w:p w14:paraId="0F882C88" w14:textId="77777777" w:rsidR="00531A63" w:rsidRPr="00531A63" w:rsidRDefault="00531A63" w:rsidP="00531A63">
      <w:pPr>
        <w:spacing w:line="259" w:lineRule="auto"/>
        <w:jc w:val="both"/>
        <w:rPr>
          <w:rFonts w:ascii="Garamond" w:hAnsi="Garamond"/>
          <w:iCs/>
          <w:sz w:val="20"/>
          <w:szCs w:val="20"/>
          <w:lang w:val="en-GB"/>
        </w:rPr>
      </w:pPr>
    </w:p>
    <w:p w14:paraId="762107BD" w14:textId="77777777" w:rsidR="00531A63" w:rsidRPr="00531A63" w:rsidRDefault="00531A63" w:rsidP="00531A63">
      <w:pPr>
        <w:spacing w:line="259" w:lineRule="auto"/>
        <w:jc w:val="both"/>
        <w:rPr>
          <w:rFonts w:ascii="Garamond" w:hAnsi="Garamond"/>
          <w:iCs/>
          <w:sz w:val="20"/>
          <w:szCs w:val="20"/>
          <w:lang w:val="en-GB"/>
        </w:rPr>
      </w:pPr>
    </w:p>
    <w:p w14:paraId="6C32CF8C" w14:textId="77777777" w:rsidR="00531A63" w:rsidRPr="00531A63" w:rsidRDefault="00531A63" w:rsidP="00531A63">
      <w:pPr>
        <w:spacing w:line="259" w:lineRule="auto"/>
        <w:jc w:val="both"/>
        <w:rPr>
          <w:rFonts w:ascii="Garamond" w:hAnsi="Garamond"/>
          <w:b/>
          <w:bCs/>
          <w:iCs/>
          <w:sz w:val="20"/>
          <w:szCs w:val="20"/>
        </w:rPr>
      </w:pPr>
    </w:p>
    <w:p w14:paraId="745131A8" w14:textId="77777777" w:rsidR="00531A63" w:rsidRPr="00531A63" w:rsidRDefault="00531A63" w:rsidP="00531A63">
      <w:pPr>
        <w:spacing w:line="259" w:lineRule="auto"/>
        <w:jc w:val="both"/>
        <w:rPr>
          <w:rFonts w:ascii="Garamond" w:hAnsi="Garamond"/>
          <w:b/>
          <w:bCs/>
          <w:iCs/>
          <w:sz w:val="20"/>
          <w:szCs w:val="20"/>
        </w:rPr>
      </w:pPr>
    </w:p>
    <w:p w14:paraId="69EAE759" w14:textId="77777777" w:rsidR="00531A63" w:rsidRPr="00531A63" w:rsidRDefault="00531A63" w:rsidP="00531A63">
      <w:pPr>
        <w:spacing w:line="259" w:lineRule="auto"/>
        <w:jc w:val="both"/>
        <w:rPr>
          <w:rFonts w:ascii="Garamond" w:hAnsi="Garamond"/>
          <w:b/>
          <w:bCs/>
          <w:iCs/>
          <w:sz w:val="20"/>
          <w:szCs w:val="20"/>
        </w:rPr>
      </w:pPr>
    </w:p>
    <w:p w14:paraId="73BA4222" w14:textId="77777777" w:rsidR="00531A63" w:rsidRPr="00531A63" w:rsidRDefault="00531A63" w:rsidP="00531A63">
      <w:pPr>
        <w:spacing w:line="259" w:lineRule="auto"/>
        <w:jc w:val="both"/>
        <w:rPr>
          <w:rFonts w:ascii="Garamond" w:hAnsi="Garamond"/>
          <w:b/>
          <w:bCs/>
          <w:iCs/>
          <w:sz w:val="20"/>
          <w:szCs w:val="20"/>
        </w:rPr>
      </w:pPr>
    </w:p>
    <w:p w14:paraId="4B87F568" w14:textId="77777777" w:rsidR="00531A63" w:rsidRPr="00531A63" w:rsidRDefault="00531A63" w:rsidP="00531A63">
      <w:pPr>
        <w:spacing w:line="259" w:lineRule="auto"/>
        <w:jc w:val="both"/>
        <w:rPr>
          <w:rFonts w:ascii="Garamond" w:hAnsi="Garamond"/>
          <w:b/>
          <w:bCs/>
          <w:iCs/>
          <w:sz w:val="20"/>
          <w:szCs w:val="20"/>
        </w:rPr>
      </w:pPr>
    </w:p>
    <w:p w14:paraId="39DE75B7" w14:textId="77777777" w:rsidR="00531A63" w:rsidRPr="00531A63" w:rsidRDefault="00531A63" w:rsidP="00531A63">
      <w:pPr>
        <w:spacing w:line="259" w:lineRule="auto"/>
        <w:jc w:val="both"/>
        <w:rPr>
          <w:rFonts w:ascii="Garamond" w:hAnsi="Garamond"/>
          <w:b/>
          <w:bCs/>
          <w:iCs/>
          <w:sz w:val="20"/>
          <w:szCs w:val="20"/>
        </w:rPr>
      </w:pPr>
    </w:p>
    <w:p w14:paraId="2656CCA4" w14:textId="77777777" w:rsidR="00531A63" w:rsidRPr="00531A63" w:rsidRDefault="00531A63" w:rsidP="00531A63">
      <w:pPr>
        <w:spacing w:line="259" w:lineRule="auto"/>
        <w:jc w:val="both"/>
        <w:rPr>
          <w:rFonts w:ascii="Garamond" w:hAnsi="Garamond"/>
          <w:b/>
          <w:bCs/>
          <w:iCs/>
          <w:sz w:val="20"/>
          <w:szCs w:val="20"/>
        </w:rPr>
      </w:pPr>
    </w:p>
    <w:p w14:paraId="6AF57D47" w14:textId="77777777" w:rsidR="00531A63" w:rsidRPr="00531A63" w:rsidRDefault="00531A63" w:rsidP="00531A63">
      <w:pPr>
        <w:spacing w:line="259" w:lineRule="auto"/>
        <w:jc w:val="both"/>
        <w:rPr>
          <w:rFonts w:ascii="Garamond" w:hAnsi="Garamond"/>
          <w:b/>
          <w:bCs/>
          <w:iCs/>
          <w:sz w:val="20"/>
          <w:szCs w:val="20"/>
        </w:rPr>
      </w:pPr>
    </w:p>
    <w:p w14:paraId="7AA81937" w14:textId="77777777" w:rsidR="00531A63" w:rsidRDefault="00531A63" w:rsidP="00531A63">
      <w:pPr>
        <w:spacing w:line="259" w:lineRule="auto"/>
        <w:jc w:val="both"/>
        <w:rPr>
          <w:rFonts w:ascii="Garamond" w:hAnsi="Garamond"/>
          <w:b/>
          <w:bCs/>
          <w:iCs/>
          <w:sz w:val="20"/>
          <w:szCs w:val="20"/>
        </w:rPr>
      </w:pPr>
    </w:p>
    <w:p w14:paraId="266A9B1A" w14:textId="77777777" w:rsidR="00531A63" w:rsidRDefault="00531A63" w:rsidP="00531A63">
      <w:pPr>
        <w:spacing w:line="259" w:lineRule="auto"/>
        <w:jc w:val="both"/>
        <w:rPr>
          <w:rFonts w:ascii="Garamond" w:hAnsi="Garamond"/>
          <w:b/>
          <w:bCs/>
          <w:iCs/>
          <w:sz w:val="20"/>
          <w:szCs w:val="20"/>
        </w:rPr>
      </w:pPr>
    </w:p>
    <w:p w14:paraId="6CD298E9" w14:textId="77777777" w:rsidR="00531A63" w:rsidRDefault="00531A63" w:rsidP="00531A63">
      <w:pPr>
        <w:spacing w:line="259" w:lineRule="auto"/>
        <w:jc w:val="both"/>
        <w:rPr>
          <w:rFonts w:ascii="Garamond" w:hAnsi="Garamond"/>
          <w:b/>
          <w:bCs/>
          <w:iCs/>
          <w:sz w:val="20"/>
          <w:szCs w:val="20"/>
        </w:rPr>
      </w:pPr>
    </w:p>
    <w:p w14:paraId="671747B9" w14:textId="77777777" w:rsidR="00531A63" w:rsidRDefault="00531A63" w:rsidP="00531A63">
      <w:pPr>
        <w:spacing w:line="259" w:lineRule="auto"/>
        <w:jc w:val="both"/>
        <w:rPr>
          <w:rFonts w:ascii="Garamond" w:hAnsi="Garamond"/>
          <w:b/>
          <w:bCs/>
          <w:iCs/>
          <w:sz w:val="20"/>
          <w:szCs w:val="20"/>
        </w:rPr>
      </w:pPr>
    </w:p>
    <w:p w14:paraId="3514E6AB" w14:textId="77777777" w:rsidR="00531A63" w:rsidRDefault="00531A63" w:rsidP="00531A63">
      <w:pPr>
        <w:jc w:val="both"/>
        <w:rPr>
          <w:rFonts w:ascii="Garamond" w:hAnsi="Garamond"/>
          <w:b/>
          <w:bCs/>
          <w:iCs/>
          <w:sz w:val="20"/>
          <w:szCs w:val="20"/>
        </w:rPr>
      </w:pPr>
    </w:p>
    <w:p w14:paraId="43DB9B61" w14:textId="77777777" w:rsidR="00531A63" w:rsidRDefault="00531A63" w:rsidP="00531A63">
      <w:pPr>
        <w:jc w:val="both"/>
        <w:rPr>
          <w:rFonts w:ascii="Garamond" w:hAnsi="Garamond"/>
          <w:b/>
          <w:bCs/>
          <w:iCs/>
          <w:sz w:val="20"/>
          <w:szCs w:val="20"/>
        </w:rPr>
      </w:pPr>
    </w:p>
    <w:p w14:paraId="6C576E99" w14:textId="5AE4A497" w:rsidR="00531A63" w:rsidRPr="00501798" w:rsidRDefault="00531A63" w:rsidP="00531A63">
      <w:pPr>
        <w:jc w:val="both"/>
        <w:rPr>
          <w:rFonts w:ascii="Garamond" w:hAnsi="Garamond"/>
          <w:b/>
          <w:bCs/>
          <w:iCs/>
          <w:sz w:val="16"/>
          <w:szCs w:val="16"/>
        </w:rPr>
      </w:pPr>
      <w:r w:rsidRPr="00531A63">
        <w:rPr>
          <w:rFonts w:ascii="Garamond" w:hAnsi="Garamond"/>
          <w:b/>
          <w:bCs/>
          <w:iCs/>
          <w:sz w:val="20"/>
          <w:szCs w:val="20"/>
        </w:rPr>
        <w:t>Keys:</w:t>
      </w:r>
      <w:r>
        <w:rPr>
          <w:rFonts w:ascii="Garamond" w:hAnsi="Garamond"/>
          <w:b/>
          <w:bCs/>
          <w:iCs/>
          <w:sz w:val="20"/>
          <w:szCs w:val="20"/>
        </w:rPr>
        <w:tab/>
      </w:r>
      <w:r w:rsidRPr="00501798">
        <w:rPr>
          <w:rFonts w:ascii="Garamond" w:hAnsi="Garamond"/>
          <w:iCs/>
          <w:sz w:val="16"/>
          <w:szCs w:val="16"/>
        </w:rPr>
        <w:t>**. Correlation is significant at the 0.01 level (2-tailed).</w:t>
      </w:r>
    </w:p>
    <w:p w14:paraId="713AC1D7" w14:textId="77777777" w:rsidR="00531A63" w:rsidRPr="00501798" w:rsidRDefault="00531A63" w:rsidP="00531A63">
      <w:pPr>
        <w:ind w:firstLine="720"/>
        <w:jc w:val="both"/>
        <w:rPr>
          <w:rFonts w:ascii="Garamond" w:hAnsi="Garamond"/>
          <w:iCs/>
          <w:sz w:val="16"/>
          <w:szCs w:val="16"/>
        </w:rPr>
      </w:pPr>
      <w:r w:rsidRPr="00501798">
        <w:rPr>
          <w:rFonts w:ascii="Garamond" w:hAnsi="Garamond"/>
          <w:iCs/>
          <w:sz w:val="16"/>
          <w:szCs w:val="16"/>
        </w:rPr>
        <w:t>*. Correlation is significant at the 0.05 level (2-tailed).</w:t>
      </w:r>
    </w:p>
    <w:p w14:paraId="762B426C" w14:textId="77777777" w:rsidR="00531A63" w:rsidRPr="00501798" w:rsidRDefault="00531A63" w:rsidP="00531A63">
      <w:pPr>
        <w:ind w:firstLine="720"/>
        <w:jc w:val="both"/>
        <w:rPr>
          <w:rFonts w:ascii="Garamond" w:hAnsi="Garamond"/>
          <w:iCs/>
          <w:sz w:val="16"/>
          <w:szCs w:val="16"/>
        </w:rPr>
      </w:pPr>
      <w:r w:rsidRPr="00501798">
        <w:rPr>
          <w:rFonts w:ascii="Garamond" w:hAnsi="Garamond"/>
          <w:b/>
          <w:bCs/>
          <w:iCs/>
          <w:sz w:val="16"/>
          <w:szCs w:val="16"/>
        </w:rPr>
        <w:t>WBC</w:t>
      </w:r>
      <w:r w:rsidRPr="00501798">
        <w:rPr>
          <w:rFonts w:ascii="Garamond" w:hAnsi="Garamond"/>
          <w:iCs/>
          <w:sz w:val="16"/>
          <w:szCs w:val="16"/>
        </w:rPr>
        <w:t>: White Blood Cells</w:t>
      </w:r>
    </w:p>
    <w:p w14:paraId="67D5A986" w14:textId="77777777" w:rsidR="00477BEB" w:rsidRDefault="00531A63" w:rsidP="00531A63">
      <w:pPr>
        <w:spacing w:line="259" w:lineRule="auto"/>
        <w:jc w:val="both"/>
        <w:rPr>
          <w:rFonts w:ascii="Garamond" w:hAnsi="Garamond"/>
          <w:iCs/>
          <w:sz w:val="20"/>
          <w:szCs w:val="20"/>
        </w:rPr>
        <w:sectPr w:rsidR="00477BEB" w:rsidSect="00716D19">
          <w:footerReference w:type="default" r:id="rId27"/>
          <w:pgSz w:w="12240" w:h="15840"/>
          <w:pgMar w:top="1440" w:right="1440" w:bottom="1440" w:left="1440" w:header="720" w:footer="720" w:gutter="0"/>
          <w:cols w:space="720"/>
          <w:titlePg/>
          <w:docGrid w:linePitch="360"/>
        </w:sectPr>
      </w:pPr>
      <w:r w:rsidRPr="00531A63">
        <w:rPr>
          <w:rFonts w:ascii="Garamond" w:hAnsi="Garamond"/>
          <w:b/>
          <w:bCs/>
          <w:iCs/>
          <w:sz w:val="20"/>
          <w:szCs w:val="20"/>
        </w:rPr>
        <w:t xml:space="preserve">Figure 2: </w:t>
      </w:r>
      <w:r w:rsidRPr="00531A63">
        <w:rPr>
          <w:rFonts w:ascii="Garamond" w:hAnsi="Garamond"/>
          <w:iCs/>
          <w:sz w:val="20"/>
          <w:szCs w:val="20"/>
        </w:rPr>
        <w:t xml:space="preserve">Scattered plot showing Pearson’s correlation between WBC and creatinine of </w:t>
      </w:r>
      <w:proofErr w:type="spellStart"/>
      <w:r w:rsidRPr="00531A63">
        <w:rPr>
          <w:rFonts w:ascii="Garamond" w:hAnsi="Garamond"/>
          <w:iCs/>
          <w:sz w:val="20"/>
          <w:szCs w:val="20"/>
        </w:rPr>
        <w:t>HbSS</w:t>
      </w:r>
      <w:proofErr w:type="spellEnd"/>
      <w:r w:rsidRPr="00531A63">
        <w:rPr>
          <w:rFonts w:ascii="Garamond" w:hAnsi="Garamond"/>
          <w:iCs/>
          <w:sz w:val="20"/>
          <w:szCs w:val="20"/>
        </w:rPr>
        <w:t xml:space="preserve"> subjects in crisis.</w:t>
      </w:r>
    </w:p>
    <w:p w14:paraId="7CE1D8D3" w14:textId="191E7979" w:rsidR="00477BEB" w:rsidRPr="00477BEB" w:rsidRDefault="00A32F47" w:rsidP="00477BEB">
      <w:pPr>
        <w:spacing w:line="259" w:lineRule="auto"/>
        <w:jc w:val="both"/>
        <w:rPr>
          <w:rFonts w:ascii="Garamond" w:hAnsi="Garamond"/>
          <w:b/>
          <w:bCs/>
          <w:iCs/>
          <w:sz w:val="20"/>
          <w:szCs w:val="20"/>
        </w:rPr>
      </w:pPr>
      <w:r w:rsidRPr="00477BEB">
        <w:rPr>
          <w:rFonts w:ascii="Garamond" w:hAnsi="Garamond"/>
          <w:b/>
          <w:bCs/>
          <w:iCs/>
          <w:sz w:val="22"/>
          <w:szCs w:val="22"/>
        </w:rPr>
        <w:lastRenderedPageBreak/>
        <w:t>DISCUSSION</w:t>
      </w:r>
    </w:p>
    <w:p w14:paraId="7F47FFA0" w14:textId="77777777" w:rsidR="00477BEB" w:rsidRPr="00477BEB" w:rsidRDefault="00477BEB" w:rsidP="00477BEB">
      <w:pPr>
        <w:spacing w:line="259" w:lineRule="auto"/>
        <w:jc w:val="both"/>
        <w:rPr>
          <w:rFonts w:ascii="Garamond" w:hAnsi="Garamond"/>
          <w:iCs/>
          <w:sz w:val="20"/>
          <w:szCs w:val="20"/>
        </w:rPr>
      </w:pPr>
      <w:r w:rsidRPr="00477BEB">
        <w:rPr>
          <w:rFonts w:ascii="Garamond" w:hAnsi="Garamond"/>
          <w:iCs/>
          <w:sz w:val="20"/>
          <w:szCs w:val="20"/>
        </w:rPr>
        <w:t>The onset of complications, inability, disability, and the gradual deterioration of essential organs in sickle cell disease (SCD) have consistently raised concerns. SCD is widely prevalent in sub-Saharan Africa, India and the Middle East, with about 300,000 infants born with the disease worldwide annually</w:t>
      </w:r>
      <w:r w:rsidRPr="00477BEB">
        <w:rPr>
          <w:rFonts w:ascii="Garamond" w:hAnsi="Garamond"/>
          <w:iCs/>
          <w:sz w:val="20"/>
          <w:szCs w:val="20"/>
          <w:vertAlign w:val="superscript"/>
        </w:rPr>
        <w:t>25</w:t>
      </w:r>
      <w:r w:rsidRPr="00477BEB">
        <w:rPr>
          <w:rFonts w:ascii="Garamond" w:hAnsi="Garamond"/>
          <w:iCs/>
          <w:sz w:val="20"/>
          <w:szCs w:val="20"/>
        </w:rPr>
        <w:t xml:space="preserve">. Recurrent </w:t>
      </w:r>
      <w:proofErr w:type="spellStart"/>
      <w:r w:rsidRPr="00477BEB">
        <w:rPr>
          <w:rFonts w:ascii="Garamond" w:hAnsi="Garamond"/>
          <w:iCs/>
          <w:sz w:val="20"/>
          <w:szCs w:val="20"/>
        </w:rPr>
        <w:t>vaso</w:t>
      </w:r>
      <w:proofErr w:type="spellEnd"/>
      <w:r w:rsidRPr="00477BEB">
        <w:rPr>
          <w:rFonts w:ascii="Garamond" w:hAnsi="Garamond"/>
          <w:iCs/>
          <w:sz w:val="20"/>
          <w:szCs w:val="20"/>
        </w:rPr>
        <w:t xml:space="preserve">-occlusive pain crises, </w:t>
      </w:r>
      <w:proofErr w:type="spellStart"/>
      <w:r w:rsidRPr="00477BEB">
        <w:rPr>
          <w:rFonts w:ascii="Garamond" w:hAnsi="Garamond"/>
          <w:iCs/>
          <w:sz w:val="20"/>
          <w:szCs w:val="20"/>
        </w:rPr>
        <w:t>characterised</w:t>
      </w:r>
      <w:proofErr w:type="spellEnd"/>
      <w:r w:rsidRPr="00477BEB">
        <w:rPr>
          <w:rFonts w:ascii="Garamond" w:hAnsi="Garamond"/>
          <w:iCs/>
          <w:sz w:val="20"/>
          <w:szCs w:val="20"/>
        </w:rPr>
        <w:t xml:space="preserve"> by sickled erythrocytes obstructing capillaries and causing sudden severe pain and tissue ischemia, are the hallmark of SCD. Over time, ongoing </w:t>
      </w:r>
      <w:proofErr w:type="spellStart"/>
      <w:r w:rsidRPr="00477BEB">
        <w:rPr>
          <w:rFonts w:ascii="Garamond" w:hAnsi="Garamond"/>
          <w:iCs/>
          <w:sz w:val="20"/>
          <w:szCs w:val="20"/>
        </w:rPr>
        <w:t>haemolysis</w:t>
      </w:r>
      <w:proofErr w:type="spellEnd"/>
      <w:r w:rsidRPr="00477BEB">
        <w:rPr>
          <w:rFonts w:ascii="Garamond" w:hAnsi="Garamond"/>
          <w:iCs/>
          <w:sz w:val="20"/>
          <w:szCs w:val="20"/>
        </w:rPr>
        <w:t xml:space="preserve"> and </w:t>
      </w:r>
      <w:proofErr w:type="spellStart"/>
      <w:r w:rsidRPr="00477BEB">
        <w:rPr>
          <w:rFonts w:ascii="Garamond" w:hAnsi="Garamond"/>
          <w:iCs/>
          <w:sz w:val="20"/>
          <w:szCs w:val="20"/>
        </w:rPr>
        <w:t>ischaemia</w:t>
      </w:r>
      <w:proofErr w:type="spellEnd"/>
      <w:r w:rsidRPr="00477BEB">
        <w:rPr>
          <w:rFonts w:ascii="Garamond" w:hAnsi="Garamond"/>
          <w:iCs/>
          <w:sz w:val="20"/>
          <w:szCs w:val="20"/>
        </w:rPr>
        <w:t xml:space="preserve"> increase the risk of stroke, pulmonary hypertension, renal failure, retinopathy, avascular necrosis, and organ damage</w:t>
      </w:r>
      <w:r w:rsidRPr="00477BEB">
        <w:rPr>
          <w:rFonts w:ascii="Garamond" w:hAnsi="Garamond"/>
          <w:iCs/>
          <w:sz w:val="20"/>
          <w:szCs w:val="20"/>
          <w:vertAlign w:val="superscript"/>
        </w:rPr>
        <w:t>26</w:t>
      </w:r>
      <w:r w:rsidRPr="00477BEB">
        <w:rPr>
          <w:rFonts w:ascii="Garamond" w:hAnsi="Garamond"/>
          <w:iCs/>
          <w:sz w:val="20"/>
          <w:szCs w:val="20"/>
        </w:rPr>
        <w:t>. Individuals with SCD frequently have kidney injury, resulting in complications, with approximately 18% advancing to end-stage renal failure</w:t>
      </w:r>
      <w:r w:rsidRPr="00477BEB">
        <w:rPr>
          <w:rFonts w:ascii="Garamond" w:hAnsi="Garamond"/>
          <w:iCs/>
          <w:sz w:val="20"/>
          <w:szCs w:val="20"/>
          <w:vertAlign w:val="superscript"/>
        </w:rPr>
        <w:t>27</w:t>
      </w:r>
      <w:r w:rsidRPr="00477BEB">
        <w:rPr>
          <w:rFonts w:ascii="Garamond" w:hAnsi="Garamond"/>
          <w:iCs/>
          <w:sz w:val="20"/>
          <w:szCs w:val="20"/>
        </w:rPr>
        <w:t xml:space="preserve">. Given the necessity for enhanced clinical results and tailored care for SCD patients, this research was intended to assess the levels of creatinine, KIM-1, NGAL, and IL-18 in both homozygous and heterozygous SCD patients. Additionally, the research aimed to assess and compare the haptoglobin levels between these two patient groups. </w:t>
      </w:r>
    </w:p>
    <w:p w14:paraId="7835047E" w14:textId="4126CFC1" w:rsidR="00477BEB" w:rsidRDefault="00477BEB" w:rsidP="00477BEB">
      <w:pPr>
        <w:spacing w:line="259" w:lineRule="auto"/>
        <w:jc w:val="both"/>
        <w:rPr>
          <w:rFonts w:ascii="Garamond" w:hAnsi="Garamond"/>
          <w:iCs/>
          <w:sz w:val="20"/>
          <w:szCs w:val="20"/>
        </w:rPr>
      </w:pPr>
      <w:r w:rsidRPr="00477BEB">
        <w:rPr>
          <w:rFonts w:ascii="Garamond" w:hAnsi="Garamond"/>
          <w:iCs/>
          <w:sz w:val="20"/>
          <w:szCs w:val="20"/>
        </w:rPr>
        <w:t xml:space="preserve">This study comprised 37 sickle cell disease (SCD) subjects, predominantly children and adolescents (86.5% aged ≤20 years), with a near-equal gender distribution. Most were homozygous (75.68%), and 45.95% were in </w:t>
      </w:r>
      <w:proofErr w:type="spellStart"/>
      <w:r w:rsidRPr="00477BEB">
        <w:rPr>
          <w:rFonts w:ascii="Garamond" w:hAnsi="Garamond"/>
          <w:iCs/>
          <w:sz w:val="20"/>
          <w:szCs w:val="20"/>
        </w:rPr>
        <w:t>vaso</w:t>
      </w:r>
      <w:proofErr w:type="spellEnd"/>
      <w:r w:rsidRPr="00477BEB">
        <w:rPr>
          <w:rFonts w:ascii="Garamond" w:hAnsi="Garamond"/>
          <w:iCs/>
          <w:sz w:val="20"/>
          <w:szCs w:val="20"/>
        </w:rPr>
        <w:t xml:space="preserve">-occlusive crisis during the study. This finding aligns with Kato </w:t>
      </w:r>
      <w:r w:rsidRPr="00477BEB">
        <w:rPr>
          <w:rFonts w:ascii="Garamond" w:hAnsi="Garamond"/>
          <w:i/>
          <w:iCs/>
          <w:sz w:val="20"/>
          <w:szCs w:val="20"/>
        </w:rPr>
        <w:t>et al.'s</w:t>
      </w:r>
      <w:r w:rsidRPr="00477BEB">
        <w:rPr>
          <w:rFonts w:ascii="Garamond" w:hAnsi="Garamond"/>
          <w:iCs/>
          <w:sz w:val="20"/>
          <w:szCs w:val="20"/>
        </w:rPr>
        <w:t xml:space="preserve"> (2018)</w:t>
      </w:r>
      <w:r w:rsidRPr="00477BEB">
        <w:rPr>
          <w:rFonts w:ascii="Garamond" w:hAnsi="Garamond"/>
          <w:iCs/>
          <w:sz w:val="20"/>
          <w:szCs w:val="20"/>
          <w:vertAlign w:val="superscript"/>
        </w:rPr>
        <w:t xml:space="preserve">28 </w:t>
      </w:r>
      <w:r w:rsidRPr="00477BEB">
        <w:rPr>
          <w:rFonts w:ascii="Garamond" w:hAnsi="Garamond"/>
          <w:iCs/>
          <w:sz w:val="20"/>
          <w:szCs w:val="20"/>
        </w:rPr>
        <w:t>study on SCD epidemiology, where pediatric populations bear the highest disease burden, and homozygous (</w:t>
      </w:r>
      <w:proofErr w:type="spellStart"/>
      <w:r w:rsidRPr="00477BEB">
        <w:rPr>
          <w:rFonts w:ascii="Garamond" w:hAnsi="Garamond"/>
          <w:iCs/>
          <w:sz w:val="20"/>
          <w:szCs w:val="20"/>
        </w:rPr>
        <w:t>HbSS</w:t>
      </w:r>
      <w:proofErr w:type="spellEnd"/>
      <w:r w:rsidRPr="00477BEB">
        <w:rPr>
          <w:rFonts w:ascii="Garamond" w:hAnsi="Garamond"/>
          <w:iCs/>
          <w:sz w:val="20"/>
          <w:szCs w:val="20"/>
        </w:rPr>
        <w:t>) genotypes experience more severe complications.</w:t>
      </w:r>
      <w:bookmarkStart w:id="19" w:name="_Hlk202094062"/>
    </w:p>
    <w:p w14:paraId="475ADC6A" w14:textId="08FCECD1" w:rsidR="00477BEB" w:rsidRDefault="00477BEB" w:rsidP="00477BEB">
      <w:pPr>
        <w:spacing w:line="259" w:lineRule="auto"/>
        <w:jc w:val="both"/>
        <w:rPr>
          <w:rFonts w:ascii="Garamond" w:hAnsi="Garamond"/>
          <w:iCs/>
          <w:sz w:val="20"/>
          <w:szCs w:val="20"/>
        </w:rPr>
      </w:pPr>
      <w:proofErr w:type="spellStart"/>
      <w:r w:rsidRPr="00477BEB">
        <w:rPr>
          <w:rFonts w:ascii="Garamond" w:hAnsi="Garamond"/>
          <w:iCs/>
          <w:sz w:val="20"/>
          <w:szCs w:val="20"/>
        </w:rPr>
        <w:t>Anaemia</w:t>
      </w:r>
      <w:proofErr w:type="spellEnd"/>
      <w:r w:rsidRPr="00477BEB">
        <w:rPr>
          <w:rFonts w:ascii="Garamond" w:hAnsi="Garamond"/>
          <w:iCs/>
          <w:sz w:val="20"/>
          <w:szCs w:val="20"/>
        </w:rPr>
        <w:t xml:space="preserve"> markers (Hb and PCV) were significantly lower in SCD (p &lt; 0.001), while WBC and platelet count were significantly elevated (p &lt; 0.001). This finding was consistent with SCD-related inflammation and compensatory erythropoiesis reported by Achebe </w:t>
      </w:r>
      <w:r w:rsidRPr="00477BEB">
        <w:rPr>
          <w:rFonts w:ascii="Garamond" w:hAnsi="Garamond"/>
          <w:i/>
          <w:iCs/>
          <w:sz w:val="20"/>
          <w:szCs w:val="20"/>
        </w:rPr>
        <w:t>et al.</w:t>
      </w:r>
      <w:r w:rsidRPr="00477BEB">
        <w:rPr>
          <w:rFonts w:ascii="Garamond" w:hAnsi="Garamond"/>
          <w:iCs/>
          <w:sz w:val="20"/>
          <w:szCs w:val="20"/>
        </w:rPr>
        <w:t xml:space="preserve"> (2022), who noted that leukocytosis in SCD reflects a chronic inflammatory state</w:t>
      </w:r>
      <w:r w:rsidRPr="00477BEB">
        <w:rPr>
          <w:rFonts w:ascii="Garamond" w:hAnsi="Garamond"/>
          <w:iCs/>
          <w:sz w:val="20"/>
          <w:szCs w:val="20"/>
          <w:vertAlign w:val="superscript"/>
        </w:rPr>
        <w:t>29</w:t>
      </w:r>
      <w:r w:rsidRPr="00477BEB">
        <w:rPr>
          <w:rFonts w:ascii="Garamond" w:hAnsi="Garamond"/>
          <w:iCs/>
          <w:sz w:val="20"/>
          <w:szCs w:val="20"/>
        </w:rPr>
        <w:t xml:space="preserve">. A positive correlation between WBC and creatinine levels in homozygous crisis subjects indicates that inflammation may worsen renal dysfunction. PCV and Hb were significantly lower in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patients relative to the controls. This reflects the chronic </w:t>
      </w:r>
      <w:proofErr w:type="spellStart"/>
      <w:r w:rsidRPr="00477BEB">
        <w:rPr>
          <w:rFonts w:ascii="Garamond" w:hAnsi="Garamond"/>
          <w:iCs/>
          <w:sz w:val="20"/>
          <w:szCs w:val="20"/>
        </w:rPr>
        <w:t>anaemia</w:t>
      </w:r>
      <w:proofErr w:type="spellEnd"/>
      <w:r w:rsidRPr="00477BEB">
        <w:rPr>
          <w:rFonts w:ascii="Garamond" w:hAnsi="Garamond"/>
          <w:iCs/>
          <w:sz w:val="20"/>
          <w:szCs w:val="20"/>
        </w:rPr>
        <w:t xml:space="preserve"> observed in SCD due to increased </w:t>
      </w:r>
      <w:proofErr w:type="spellStart"/>
      <w:r w:rsidRPr="00477BEB">
        <w:rPr>
          <w:rFonts w:ascii="Garamond" w:hAnsi="Garamond"/>
          <w:iCs/>
          <w:sz w:val="20"/>
          <w:szCs w:val="20"/>
        </w:rPr>
        <w:t>haemolysis</w:t>
      </w:r>
      <w:proofErr w:type="spellEnd"/>
      <w:r w:rsidRPr="00477BEB">
        <w:rPr>
          <w:rFonts w:ascii="Garamond" w:hAnsi="Garamond"/>
          <w:iCs/>
          <w:sz w:val="20"/>
          <w:szCs w:val="20"/>
        </w:rPr>
        <w:t xml:space="preserve">, bone marrow suppression, and nutrient deficiencies. An increased TWBC was observed, most notably in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patients. An increased white blood cell count is </w:t>
      </w:r>
      <w:proofErr w:type="spellStart"/>
      <w:r w:rsidRPr="00477BEB">
        <w:rPr>
          <w:rFonts w:ascii="Garamond" w:hAnsi="Garamond"/>
          <w:iCs/>
          <w:sz w:val="20"/>
          <w:szCs w:val="20"/>
        </w:rPr>
        <w:t>recognised</w:t>
      </w:r>
      <w:proofErr w:type="spellEnd"/>
      <w:r w:rsidRPr="00477BEB">
        <w:rPr>
          <w:rFonts w:ascii="Garamond" w:hAnsi="Garamond"/>
          <w:iCs/>
          <w:sz w:val="20"/>
          <w:szCs w:val="20"/>
        </w:rPr>
        <w:t xml:space="preserve"> as being linked to systemic inflammation and serves as a sign of stroke risk and early mortality in SCD.</w:t>
      </w:r>
      <w:r w:rsidRPr="00477BEB">
        <w:rPr>
          <w:rFonts w:ascii="Garamond" w:hAnsi="Garamond"/>
          <w:iCs/>
          <w:sz w:val="20"/>
          <w:szCs w:val="20"/>
          <w:vertAlign w:val="superscript"/>
        </w:rPr>
        <w:t>30,31</w:t>
      </w:r>
      <w:r w:rsidRPr="00477BEB">
        <w:rPr>
          <w:rFonts w:ascii="Garamond" w:hAnsi="Garamond"/>
          <w:iCs/>
          <w:sz w:val="20"/>
          <w:szCs w:val="20"/>
        </w:rPr>
        <w:t xml:space="preserve"> Additionally, platelet counts were markedly higher in homozygous patients, particularly </w:t>
      </w:r>
      <w:r w:rsidRPr="00477BEB">
        <w:rPr>
          <w:rFonts w:ascii="Garamond" w:hAnsi="Garamond"/>
          <w:iCs/>
          <w:sz w:val="20"/>
          <w:szCs w:val="20"/>
        </w:rPr>
        <w:t xml:space="preserve">during crises. This thrombocytosis may be reactive due to splenic dysfunction or inflammation. High PLT counts can contribute to </w:t>
      </w:r>
      <w:proofErr w:type="spellStart"/>
      <w:r w:rsidRPr="00477BEB">
        <w:rPr>
          <w:rFonts w:ascii="Garamond" w:hAnsi="Garamond"/>
          <w:iCs/>
          <w:sz w:val="20"/>
          <w:szCs w:val="20"/>
        </w:rPr>
        <w:t>vaso</w:t>
      </w:r>
      <w:proofErr w:type="spellEnd"/>
      <w:r w:rsidRPr="00477BEB">
        <w:rPr>
          <w:rFonts w:ascii="Garamond" w:hAnsi="Garamond"/>
          <w:iCs/>
          <w:sz w:val="20"/>
          <w:szCs w:val="20"/>
        </w:rPr>
        <w:t>-occlusion crises (VOC) and are linked to an increased thrombotic risk in SCD. This supports Conran and Belcher (2020), who described thrombocytosis as part of the pro-thrombotic state in SCD</w:t>
      </w:r>
      <w:r w:rsidRPr="00477BEB">
        <w:rPr>
          <w:rFonts w:ascii="Garamond" w:hAnsi="Garamond"/>
          <w:iCs/>
          <w:sz w:val="20"/>
          <w:szCs w:val="20"/>
          <w:vertAlign w:val="superscript"/>
        </w:rPr>
        <w:t>4</w:t>
      </w:r>
      <w:r w:rsidRPr="00477BEB">
        <w:rPr>
          <w:rFonts w:ascii="Garamond" w:hAnsi="Garamond"/>
          <w:iCs/>
          <w:sz w:val="20"/>
          <w:szCs w:val="20"/>
        </w:rPr>
        <w:t xml:space="preserve">. Similarly, in </w:t>
      </w:r>
      <w:proofErr w:type="spellStart"/>
      <w:r w:rsidRPr="00477BEB">
        <w:rPr>
          <w:rFonts w:ascii="Garamond" w:hAnsi="Garamond"/>
          <w:iCs/>
          <w:sz w:val="20"/>
          <w:szCs w:val="20"/>
        </w:rPr>
        <w:t>HbSC</w:t>
      </w:r>
      <w:proofErr w:type="spellEnd"/>
      <w:r w:rsidRPr="00477BEB">
        <w:rPr>
          <w:rFonts w:ascii="Garamond" w:hAnsi="Garamond"/>
          <w:iCs/>
          <w:sz w:val="20"/>
          <w:szCs w:val="20"/>
        </w:rPr>
        <w:t xml:space="preserve"> patients, </w:t>
      </w:r>
      <w:proofErr w:type="spellStart"/>
      <w:r w:rsidRPr="00477BEB">
        <w:rPr>
          <w:rFonts w:ascii="Garamond" w:hAnsi="Garamond"/>
          <w:iCs/>
          <w:sz w:val="20"/>
          <w:szCs w:val="20"/>
        </w:rPr>
        <w:t>vaso</w:t>
      </w:r>
      <w:proofErr w:type="spellEnd"/>
      <w:r w:rsidRPr="00477BEB">
        <w:rPr>
          <w:rFonts w:ascii="Garamond" w:hAnsi="Garamond"/>
          <w:iCs/>
          <w:sz w:val="20"/>
          <w:szCs w:val="20"/>
        </w:rPr>
        <w:t xml:space="preserve">-occlusive events resulted in elevated levels of creatinine and IL-18, but these increases were not as pronounced as those observed in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Supporting this observation, Conran and Belcher (2013) proposed that significantly elevated platelet counts during crises in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may worsen VOC by enhancing clot formation and endothelial adhesion</w:t>
      </w:r>
      <w:r w:rsidRPr="00477BEB">
        <w:rPr>
          <w:rFonts w:ascii="Garamond" w:hAnsi="Garamond"/>
          <w:iCs/>
          <w:sz w:val="20"/>
          <w:szCs w:val="20"/>
          <w:vertAlign w:val="superscript"/>
        </w:rPr>
        <w:t>32</w:t>
      </w:r>
      <w:r w:rsidRPr="00477BEB">
        <w:rPr>
          <w:rFonts w:ascii="Garamond" w:hAnsi="Garamond"/>
          <w:iCs/>
          <w:sz w:val="20"/>
          <w:szCs w:val="20"/>
        </w:rPr>
        <w:t xml:space="preserve">. The correlation analysis in this study revealed that TWBC correlated with creatinine (r = 0.649; p = 0.042) among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subjects in crisis, suggesting a leukocyte-driven renal injury during crises.</w:t>
      </w:r>
      <w:r w:rsidRPr="00477BEB">
        <w:rPr>
          <w:rFonts w:ascii="Garamond" w:hAnsi="Garamond"/>
          <w:iCs/>
          <w:sz w:val="20"/>
          <w:szCs w:val="20"/>
          <w:vertAlign w:val="superscript"/>
        </w:rPr>
        <w:t>33</w:t>
      </w:r>
      <w:r w:rsidRPr="00477BEB">
        <w:rPr>
          <w:rFonts w:ascii="Garamond" w:hAnsi="Garamond"/>
          <w:iCs/>
          <w:sz w:val="20"/>
          <w:szCs w:val="20"/>
        </w:rPr>
        <w:t xml:space="preserve"> Likewise, haptoglobin correlated with NGAL (r = 0.648; p = 0.043), implying that </w:t>
      </w:r>
      <w:proofErr w:type="spellStart"/>
      <w:r w:rsidRPr="00477BEB">
        <w:rPr>
          <w:rFonts w:ascii="Garamond" w:hAnsi="Garamond"/>
          <w:iCs/>
          <w:sz w:val="20"/>
          <w:szCs w:val="20"/>
        </w:rPr>
        <w:t>haemolysis</w:t>
      </w:r>
      <w:proofErr w:type="spellEnd"/>
      <w:r w:rsidRPr="00477BEB">
        <w:rPr>
          <w:rFonts w:ascii="Garamond" w:hAnsi="Garamond"/>
          <w:iCs/>
          <w:sz w:val="20"/>
          <w:szCs w:val="20"/>
        </w:rPr>
        <w:t xml:space="preserve"> intensifies tubular damage.</w:t>
      </w:r>
      <w:r w:rsidRPr="00477BEB">
        <w:rPr>
          <w:rFonts w:ascii="Garamond" w:hAnsi="Garamond"/>
          <w:iCs/>
          <w:sz w:val="20"/>
          <w:szCs w:val="20"/>
          <w:vertAlign w:val="superscript"/>
        </w:rPr>
        <w:t>34</w:t>
      </w:r>
      <w:r w:rsidRPr="00477BEB">
        <w:rPr>
          <w:rFonts w:ascii="Garamond" w:hAnsi="Garamond"/>
          <w:iCs/>
          <w:sz w:val="20"/>
          <w:szCs w:val="20"/>
        </w:rPr>
        <w:t xml:space="preserve"> Significant correlations observed in homozygous patients during crises, particularly between WBC and creatinine (r = 0.649, p &lt; 0.05), and between HP and NGAL (r = 0.648, p &lt; 0.05), justify the interplay between inflammation, </w:t>
      </w:r>
      <w:proofErr w:type="spellStart"/>
      <w:r w:rsidRPr="00477BEB">
        <w:rPr>
          <w:rFonts w:ascii="Garamond" w:hAnsi="Garamond"/>
          <w:iCs/>
          <w:sz w:val="20"/>
          <w:szCs w:val="20"/>
        </w:rPr>
        <w:t>haemolysis</w:t>
      </w:r>
      <w:proofErr w:type="spellEnd"/>
      <w:r w:rsidRPr="00477BEB">
        <w:rPr>
          <w:rFonts w:ascii="Garamond" w:hAnsi="Garamond"/>
          <w:iCs/>
          <w:sz w:val="20"/>
          <w:szCs w:val="20"/>
        </w:rPr>
        <w:t>, and renal injury in severe SCD phenotypes.</w:t>
      </w:r>
      <w:r w:rsidRPr="00477BEB">
        <w:rPr>
          <w:rFonts w:ascii="Garamond" w:hAnsi="Garamond"/>
          <w:iCs/>
          <w:sz w:val="20"/>
          <w:szCs w:val="20"/>
          <w:vertAlign w:val="superscript"/>
        </w:rPr>
        <w:t>35</w:t>
      </w:r>
      <w:r w:rsidRPr="00477BEB">
        <w:rPr>
          <w:rFonts w:ascii="Garamond" w:hAnsi="Garamond"/>
          <w:iCs/>
          <w:sz w:val="20"/>
          <w:szCs w:val="20"/>
        </w:rPr>
        <w:t xml:space="preserve"> However, no significant correlations were observed between the newer AKI markers and </w:t>
      </w:r>
      <w:proofErr w:type="spellStart"/>
      <w:r w:rsidRPr="00477BEB">
        <w:rPr>
          <w:rFonts w:ascii="Garamond" w:hAnsi="Garamond"/>
          <w:iCs/>
          <w:sz w:val="20"/>
          <w:szCs w:val="20"/>
        </w:rPr>
        <w:t>haematological</w:t>
      </w:r>
      <w:proofErr w:type="spellEnd"/>
      <w:r w:rsidRPr="00477BEB">
        <w:rPr>
          <w:rFonts w:ascii="Garamond" w:hAnsi="Garamond"/>
          <w:iCs/>
          <w:sz w:val="20"/>
          <w:szCs w:val="20"/>
        </w:rPr>
        <w:t xml:space="preserve"> parameters in heterozygous SCD patients, indicating less predictable biomarker interactions in this group, potentially due to milder pathophysiology.  </w:t>
      </w:r>
      <w:bookmarkEnd w:id="19"/>
    </w:p>
    <w:p w14:paraId="2F76EF89" w14:textId="6A15CF43" w:rsidR="00477BEB" w:rsidRDefault="00477BEB" w:rsidP="00477BEB">
      <w:pPr>
        <w:spacing w:line="259" w:lineRule="auto"/>
        <w:jc w:val="both"/>
        <w:rPr>
          <w:rFonts w:ascii="Garamond" w:hAnsi="Garamond"/>
          <w:iCs/>
          <w:sz w:val="20"/>
          <w:szCs w:val="20"/>
        </w:rPr>
      </w:pPr>
      <w:r w:rsidRPr="00477BEB">
        <w:rPr>
          <w:rFonts w:ascii="Garamond" w:hAnsi="Garamond"/>
          <w:iCs/>
          <w:sz w:val="20"/>
          <w:szCs w:val="20"/>
        </w:rPr>
        <w:t xml:space="preserve">Haptoglobin (HP) is a liver-derived acute-phase plasma glycoprotein whose major role is to bind free </w:t>
      </w:r>
      <w:proofErr w:type="spellStart"/>
      <w:r w:rsidRPr="00477BEB">
        <w:rPr>
          <w:rFonts w:ascii="Garamond" w:hAnsi="Garamond"/>
          <w:iCs/>
          <w:sz w:val="20"/>
          <w:szCs w:val="20"/>
        </w:rPr>
        <w:t>haemoglobin</w:t>
      </w:r>
      <w:proofErr w:type="spellEnd"/>
      <w:r w:rsidRPr="00477BEB">
        <w:rPr>
          <w:rFonts w:ascii="Garamond" w:hAnsi="Garamond"/>
          <w:iCs/>
          <w:sz w:val="20"/>
          <w:szCs w:val="20"/>
        </w:rPr>
        <w:t xml:space="preserve"> (Hb) released during erythrocyte breakdown.</w:t>
      </w:r>
      <w:r w:rsidRPr="00477BEB">
        <w:rPr>
          <w:rFonts w:ascii="Garamond" w:hAnsi="Garamond"/>
          <w:iCs/>
          <w:sz w:val="20"/>
          <w:szCs w:val="20"/>
          <w:vertAlign w:val="superscript"/>
        </w:rPr>
        <w:t>36,37</w:t>
      </w:r>
      <w:r w:rsidRPr="00477BEB">
        <w:rPr>
          <w:rFonts w:ascii="Garamond" w:hAnsi="Garamond"/>
          <w:iCs/>
          <w:sz w:val="20"/>
          <w:szCs w:val="20"/>
        </w:rPr>
        <w:t xml:space="preserve"> By sequestering Hb, HP reduces the formation of free heme and iron-driven reactive oxygen species (ROS); this antioxidant function helps protect blood vessels and organs from oxidative stress.</w:t>
      </w:r>
      <w:r w:rsidRPr="00477BEB">
        <w:rPr>
          <w:rFonts w:ascii="Garamond" w:hAnsi="Garamond"/>
          <w:iCs/>
          <w:sz w:val="20"/>
          <w:szCs w:val="20"/>
          <w:vertAlign w:val="superscript"/>
        </w:rPr>
        <w:t>36</w:t>
      </w:r>
      <w:r w:rsidRPr="00477BEB">
        <w:rPr>
          <w:rFonts w:ascii="Garamond" w:hAnsi="Garamond"/>
          <w:iCs/>
          <w:sz w:val="20"/>
          <w:szCs w:val="20"/>
        </w:rPr>
        <w:t xml:space="preserve"> Haptoglobin (HP) was significantly reduced in SCD (80.7 ± 47.1 vs. 140.6 ± 32.4 ng/mL; p&lt; 0.001), indicating chronic </w:t>
      </w:r>
      <w:proofErr w:type="spellStart"/>
      <w:r w:rsidRPr="00477BEB">
        <w:rPr>
          <w:rFonts w:ascii="Garamond" w:hAnsi="Garamond"/>
          <w:iCs/>
          <w:sz w:val="20"/>
          <w:szCs w:val="20"/>
        </w:rPr>
        <w:t>haemolysis</w:t>
      </w:r>
      <w:proofErr w:type="spellEnd"/>
      <w:r w:rsidRPr="00477BEB">
        <w:rPr>
          <w:rFonts w:ascii="Garamond" w:hAnsi="Garamond"/>
          <w:iCs/>
          <w:sz w:val="20"/>
          <w:szCs w:val="20"/>
        </w:rPr>
        <w:t xml:space="preserve"> and </w:t>
      </w:r>
      <w:proofErr w:type="spellStart"/>
      <w:r w:rsidRPr="00477BEB">
        <w:rPr>
          <w:rFonts w:ascii="Garamond" w:hAnsi="Garamond"/>
          <w:iCs/>
          <w:sz w:val="20"/>
          <w:szCs w:val="20"/>
        </w:rPr>
        <w:t>haemoglobin</w:t>
      </w:r>
      <w:proofErr w:type="spellEnd"/>
      <w:r w:rsidRPr="00477BEB">
        <w:rPr>
          <w:rFonts w:ascii="Garamond" w:hAnsi="Garamond"/>
          <w:iCs/>
          <w:sz w:val="20"/>
          <w:szCs w:val="20"/>
        </w:rPr>
        <w:t xml:space="preserve"> scavenging.</w:t>
      </w:r>
      <w:r w:rsidRPr="00477BEB">
        <w:rPr>
          <w:rFonts w:ascii="Garamond" w:hAnsi="Garamond"/>
          <w:iCs/>
          <w:sz w:val="20"/>
          <w:szCs w:val="20"/>
          <w:vertAlign w:val="superscript"/>
        </w:rPr>
        <w:t>8</w:t>
      </w:r>
      <w:r w:rsidRPr="00477BEB">
        <w:rPr>
          <w:rFonts w:ascii="Garamond" w:hAnsi="Garamond"/>
          <w:iCs/>
          <w:sz w:val="20"/>
          <w:szCs w:val="20"/>
        </w:rPr>
        <w:t xml:space="preserve"> The levels remained consistently lower in SCD subjects, especially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individuals, due to their consumption during intravascular </w:t>
      </w:r>
      <w:proofErr w:type="spellStart"/>
      <w:r w:rsidRPr="00477BEB">
        <w:rPr>
          <w:rFonts w:ascii="Garamond" w:hAnsi="Garamond"/>
          <w:iCs/>
          <w:sz w:val="20"/>
          <w:szCs w:val="20"/>
        </w:rPr>
        <w:t>haemolysis</w:t>
      </w:r>
      <w:proofErr w:type="spellEnd"/>
      <w:r w:rsidRPr="00477BEB">
        <w:rPr>
          <w:rFonts w:ascii="Garamond" w:hAnsi="Garamond"/>
          <w:iCs/>
          <w:sz w:val="20"/>
          <w:szCs w:val="20"/>
        </w:rPr>
        <w:t xml:space="preserve">, a hallmark of SCD. </w:t>
      </w:r>
      <w:bookmarkStart w:id="20" w:name="_Hlk202094008"/>
      <w:r w:rsidRPr="00477BEB">
        <w:rPr>
          <w:rFonts w:ascii="Garamond" w:hAnsi="Garamond"/>
          <w:iCs/>
          <w:sz w:val="20"/>
          <w:szCs w:val="20"/>
        </w:rPr>
        <w:t xml:space="preserve">According to </w:t>
      </w:r>
      <w:proofErr w:type="spellStart"/>
      <w:r w:rsidRPr="00477BEB">
        <w:rPr>
          <w:rFonts w:ascii="Garamond" w:hAnsi="Garamond"/>
          <w:iCs/>
          <w:sz w:val="20"/>
          <w:szCs w:val="20"/>
        </w:rPr>
        <w:t>Nnodu</w:t>
      </w:r>
      <w:proofErr w:type="spellEnd"/>
      <w:r w:rsidRPr="00477BEB">
        <w:rPr>
          <w:rFonts w:ascii="Garamond" w:hAnsi="Garamond"/>
          <w:iCs/>
          <w:sz w:val="20"/>
          <w:szCs w:val="20"/>
        </w:rPr>
        <w:t xml:space="preserve"> </w:t>
      </w:r>
      <w:r w:rsidRPr="00477BEB">
        <w:rPr>
          <w:rFonts w:ascii="Garamond" w:hAnsi="Garamond"/>
          <w:i/>
          <w:iCs/>
          <w:sz w:val="20"/>
          <w:szCs w:val="20"/>
        </w:rPr>
        <w:t>et al</w:t>
      </w:r>
      <w:r w:rsidRPr="00477BEB">
        <w:rPr>
          <w:rFonts w:ascii="Garamond" w:hAnsi="Garamond"/>
          <w:iCs/>
          <w:sz w:val="20"/>
          <w:szCs w:val="20"/>
        </w:rPr>
        <w:t>. (2021), lower levels of haptoglobin indicate a greater severity of haemolysis</w:t>
      </w:r>
      <w:r w:rsidRPr="00477BEB">
        <w:rPr>
          <w:rFonts w:ascii="Garamond" w:hAnsi="Garamond"/>
          <w:iCs/>
          <w:sz w:val="20"/>
          <w:szCs w:val="20"/>
          <w:vertAlign w:val="superscript"/>
        </w:rPr>
        <w:t>38</w:t>
      </w:r>
      <w:r w:rsidRPr="00477BEB">
        <w:rPr>
          <w:rFonts w:ascii="Garamond" w:hAnsi="Garamond"/>
          <w:iCs/>
          <w:sz w:val="20"/>
          <w:szCs w:val="20"/>
        </w:rPr>
        <w:t xml:space="preserve">, which supports the conclusions of the present study. Additionally, the observed negative correlation between NGAL and haptoglobin in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individuals experiencing a crisis implies a connection between </w:t>
      </w:r>
      <w:proofErr w:type="spellStart"/>
      <w:r w:rsidRPr="00477BEB">
        <w:rPr>
          <w:rFonts w:ascii="Garamond" w:hAnsi="Garamond"/>
          <w:iCs/>
          <w:sz w:val="20"/>
          <w:szCs w:val="20"/>
        </w:rPr>
        <w:t>haemolytic</w:t>
      </w:r>
      <w:proofErr w:type="spellEnd"/>
      <w:r w:rsidRPr="00477BEB">
        <w:rPr>
          <w:rFonts w:ascii="Garamond" w:hAnsi="Garamond"/>
          <w:iCs/>
          <w:sz w:val="20"/>
          <w:szCs w:val="20"/>
        </w:rPr>
        <w:t xml:space="preserve"> processes and indicators of renal </w:t>
      </w:r>
      <w:r w:rsidRPr="00477BEB">
        <w:rPr>
          <w:rFonts w:ascii="Garamond" w:hAnsi="Garamond"/>
          <w:iCs/>
          <w:sz w:val="20"/>
          <w:szCs w:val="20"/>
        </w:rPr>
        <w:lastRenderedPageBreak/>
        <w:t xml:space="preserve">stress. A decrease in haptoglobin is widely </w:t>
      </w:r>
      <w:proofErr w:type="spellStart"/>
      <w:r w:rsidRPr="00477BEB">
        <w:rPr>
          <w:rFonts w:ascii="Garamond" w:hAnsi="Garamond"/>
          <w:iCs/>
          <w:sz w:val="20"/>
          <w:szCs w:val="20"/>
        </w:rPr>
        <w:t>recognised</w:t>
      </w:r>
      <w:proofErr w:type="spellEnd"/>
      <w:r w:rsidRPr="00477BEB">
        <w:rPr>
          <w:rFonts w:ascii="Garamond" w:hAnsi="Garamond"/>
          <w:iCs/>
          <w:sz w:val="20"/>
          <w:szCs w:val="20"/>
        </w:rPr>
        <w:t xml:space="preserve"> as a signal of </w:t>
      </w:r>
      <w:proofErr w:type="spellStart"/>
      <w:r w:rsidRPr="00477BEB">
        <w:rPr>
          <w:rFonts w:ascii="Garamond" w:hAnsi="Garamond"/>
          <w:iCs/>
          <w:sz w:val="20"/>
          <w:szCs w:val="20"/>
        </w:rPr>
        <w:t>haemolysis</w:t>
      </w:r>
      <w:proofErr w:type="spellEnd"/>
      <w:r w:rsidRPr="00477BEB">
        <w:rPr>
          <w:rFonts w:ascii="Garamond" w:hAnsi="Garamond"/>
          <w:iCs/>
          <w:sz w:val="20"/>
          <w:szCs w:val="20"/>
        </w:rPr>
        <w:t xml:space="preserve"> among those with sickle cell disease.</w:t>
      </w:r>
      <w:r w:rsidRPr="00477BEB">
        <w:rPr>
          <w:rFonts w:ascii="Garamond" w:hAnsi="Garamond"/>
          <w:iCs/>
          <w:sz w:val="20"/>
          <w:szCs w:val="20"/>
          <w:vertAlign w:val="superscript"/>
        </w:rPr>
        <w:t>35</w:t>
      </w:r>
      <w:bookmarkStart w:id="21" w:name="_Hlk202094036"/>
      <w:bookmarkEnd w:id="20"/>
    </w:p>
    <w:p w14:paraId="470F0232" w14:textId="5F660C2D" w:rsidR="00477BEB" w:rsidRPr="00477BEB" w:rsidRDefault="00477BEB" w:rsidP="00477BEB">
      <w:pPr>
        <w:spacing w:line="259" w:lineRule="auto"/>
        <w:jc w:val="both"/>
        <w:rPr>
          <w:rFonts w:ascii="Garamond" w:hAnsi="Garamond"/>
          <w:iCs/>
          <w:sz w:val="20"/>
          <w:szCs w:val="20"/>
        </w:rPr>
      </w:pPr>
      <w:r w:rsidRPr="00477BEB">
        <w:rPr>
          <w:rFonts w:ascii="Garamond" w:hAnsi="Garamond"/>
          <w:iCs/>
          <w:sz w:val="20"/>
          <w:szCs w:val="20"/>
        </w:rPr>
        <w:t>Creatinine is a non-protein nitrogenous waste product of the metabolism of creatine and its derivatives. The synthesis of creatinine occurs in the liver, pancreas, and kidneys, which involves the transamination of amino acids.</w:t>
      </w:r>
      <w:r w:rsidRPr="00477BEB">
        <w:rPr>
          <w:rFonts w:ascii="Garamond" w:hAnsi="Garamond"/>
          <w:iCs/>
          <w:sz w:val="20"/>
          <w:szCs w:val="20"/>
          <w:vertAlign w:val="superscript"/>
        </w:rPr>
        <w:t>12</w:t>
      </w:r>
      <w:r w:rsidRPr="00477BEB">
        <w:rPr>
          <w:rFonts w:ascii="Garamond" w:hAnsi="Garamond"/>
          <w:iCs/>
          <w:sz w:val="20"/>
          <w:szCs w:val="20"/>
        </w:rPr>
        <w:t xml:space="preserve"> One limitation of using creatinine to evaluate glomerular and kidney function is that serum creatinine levels do not serve as reliable markers for early-stage glomerulopathy in individuals with SCD due to increased estimated glomerular filtration rate (eGFR), reduced muscle mass, and increased tubular secretion of creatinine in these patients.</w:t>
      </w:r>
      <w:r w:rsidRPr="00477BEB">
        <w:rPr>
          <w:rFonts w:ascii="Garamond" w:hAnsi="Garamond"/>
          <w:iCs/>
          <w:sz w:val="20"/>
          <w:szCs w:val="20"/>
          <w:vertAlign w:val="superscript"/>
        </w:rPr>
        <w:t>14</w:t>
      </w:r>
      <w:r w:rsidRPr="00477BEB">
        <w:rPr>
          <w:rFonts w:ascii="Garamond" w:hAnsi="Garamond"/>
          <w:iCs/>
          <w:sz w:val="20"/>
          <w:szCs w:val="20"/>
        </w:rPr>
        <w:t xml:space="preserve"> In this study, creatinine levels were notably higher in both homozygous and heterozygous SCD patients relative to the control group, indicating impaired renal function. Although creatinine is a traditional marker for kidney function, this result contradicts the findings of </w:t>
      </w:r>
      <w:proofErr w:type="spellStart"/>
      <w:r w:rsidRPr="00477BEB">
        <w:rPr>
          <w:rFonts w:ascii="Garamond" w:hAnsi="Garamond"/>
          <w:iCs/>
          <w:sz w:val="20"/>
          <w:szCs w:val="20"/>
        </w:rPr>
        <w:t>Gausch</w:t>
      </w:r>
      <w:proofErr w:type="spellEnd"/>
      <w:r w:rsidRPr="00477BEB">
        <w:rPr>
          <w:rFonts w:ascii="Garamond" w:hAnsi="Garamond"/>
          <w:iCs/>
          <w:sz w:val="20"/>
          <w:szCs w:val="20"/>
        </w:rPr>
        <w:t xml:space="preserve"> </w:t>
      </w:r>
      <w:r w:rsidRPr="00477BEB">
        <w:rPr>
          <w:rFonts w:ascii="Garamond" w:hAnsi="Garamond"/>
          <w:i/>
          <w:iCs/>
          <w:sz w:val="20"/>
          <w:szCs w:val="20"/>
        </w:rPr>
        <w:t>et al</w:t>
      </w:r>
      <w:r w:rsidRPr="00477BEB">
        <w:rPr>
          <w:rFonts w:ascii="Garamond" w:hAnsi="Garamond"/>
          <w:iCs/>
          <w:sz w:val="20"/>
          <w:szCs w:val="20"/>
        </w:rPr>
        <w:t>. (2006), who indicated that using creatinine levels to assess kidney injury may underestimate early renal damage in SCD because of hyperfiltration and variations in muscle mass</w:t>
      </w:r>
      <w:r w:rsidRPr="00477BEB">
        <w:rPr>
          <w:rFonts w:ascii="Garamond" w:hAnsi="Garamond"/>
          <w:iCs/>
          <w:sz w:val="20"/>
          <w:szCs w:val="20"/>
          <w:vertAlign w:val="superscript"/>
        </w:rPr>
        <w:t>39</w:t>
      </w:r>
      <w:r w:rsidRPr="00477BEB">
        <w:rPr>
          <w:rFonts w:ascii="Garamond" w:hAnsi="Garamond"/>
          <w:iCs/>
          <w:sz w:val="20"/>
          <w:szCs w:val="20"/>
        </w:rPr>
        <w:t xml:space="preserve">. On the other hand, the findings in this study agree with </w:t>
      </w:r>
      <w:proofErr w:type="spellStart"/>
      <w:r w:rsidRPr="00477BEB">
        <w:rPr>
          <w:rFonts w:ascii="Garamond" w:hAnsi="Garamond"/>
          <w:iCs/>
          <w:sz w:val="20"/>
          <w:szCs w:val="20"/>
        </w:rPr>
        <w:t>Alkhunaizi</w:t>
      </w:r>
      <w:proofErr w:type="spellEnd"/>
      <w:r w:rsidRPr="00477BEB">
        <w:rPr>
          <w:rFonts w:ascii="Garamond" w:hAnsi="Garamond"/>
          <w:iCs/>
          <w:sz w:val="20"/>
          <w:szCs w:val="20"/>
        </w:rPr>
        <w:t xml:space="preserve"> </w:t>
      </w:r>
      <w:r w:rsidRPr="00477BEB">
        <w:rPr>
          <w:rFonts w:ascii="Garamond" w:hAnsi="Garamond"/>
          <w:i/>
          <w:iCs/>
          <w:sz w:val="20"/>
          <w:szCs w:val="20"/>
        </w:rPr>
        <w:t>et al</w:t>
      </w:r>
      <w:r w:rsidRPr="00477BEB">
        <w:rPr>
          <w:rFonts w:ascii="Garamond" w:hAnsi="Garamond"/>
          <w:iCs/>
          <w:sz w:val="20"/>
          <w:szCs w:val="20"/>
        </w:rPr>
        <w:t>. (2021), who concluded that increased creatinine levels are a prevalent sign of renal dysfunction in patients with SCD</w:t>
      </w:r>
      <w:r w:rsidR="00A32F47">
        <w:rPr>
          <w:rFonts w:ascii="Garamond" w:hAnsi="Garamond"/>
          <w:iCs/>
          <w:sz w:val="20"/>
          <w:szCs w:val="20"/>
        </w:rPr>
        <w:t>.</w:t>
      </w:r>
      <w:r w:rsidRPr="00477BEB">
        <w:rPr>
          <w:rFonts w:ascii="Garamond" w:hAnsi="Garamond"/>
          <w:iCs/>
          <w:sz w:val="20"/>
          <w:szCs w:val="20"/>
          <w:vertAlign w:val="superscript"/>
        </w:rPr>
        <w:t>40</w:t>
      </w:r>
      <w:r w:rsidRPr="00477BEB">
        <w:rPr>
          <w:rFonts w:ascii="Garamond" w:hAnsi="Garamond"/>
          <w:iCs/>
          <w:sz w:val="20"/>
          <w:szCs w:val="20"/>
        </w:rPr>
        <w:t xml:space="preserve"> Nevertheless, various studies have indicated more severe renal impairment in homozygous individuals due to the compounded impact of frequent sickling events.</w:t>
      </w:r>
      <w:r w:rsidRPr="00477BEB">
        <w:rPr>
          <w:rFonts w:ascii="Garamond" w:hAnsi="Garamond"/>
          <w:iCs/>
          <w:sz w:val="20"/>
          <w:szCs w:val="20"/>
          <w:vertAlign w:val="superscript"/>
        </w:rPr>
        <w:t>41</w:t>
      </w:r>
    </w:p>
    <w:p w14:paraId="4D7F41DA" w14:textId="0E7547D1" w:rsidR="00477BEB" w:rsidRDefault="00477BEB" w:rsidP="00477BEB">
      <w:pPr>
        <w:spacing w:line="259" w:lineRule="auto"/>
        <w:jc w:val="both"/>
        <w:rPr>
          <w:rFonts w:ascii="Garamond" w:hAnsi="Garamond"/>
          <w:iCs/>
          <w:sz w:val="20"/>
          <w:szCs w:val="20"/>
        </w:rPr>
      </w:pPr>
      <w:r w:rsidRPr="00477BEB">
        <w:rPr>
          <w:rFonts w:ascii="Garamond" w:hAnsi="Garamond"/>
          <w:iCs/>
          <w:sz w:val="20"/>
          <w:szCs w:val="20"/>
        </w:rPr>
        <w:t>Neutrophil gelatinase-associated lipocalin, also referred to as lipocalin-2, is a newly discovered adipokine which is an integral member of the lipocalin superfamily. The recognition of NGAL as a critical biomarker for renal pathology has been progressively acknowledged within the scientific community. Specifically, NGAL has been delineated as a pertinent biomarker for acute kidney injury, even among individuals with pre-existing chronic kidney disease. Notably, its concentrations rise within hours post-injury, preceding any alterations in serum creatinine levels</w:t>
      </w:r>
      <w:r w:rsidR="00A32F47">
        <w:rPr>
          <w:rFonts w:ascii="Garamond" w:hAnsi="Garamond"/>
          <w:iCs/>
          <w:sz w:val="20"/>
          <w:szCs w:val="20"/>
        </w:rPr>
        <w:t>.</w:t>
      </w:r>
      <w:r w:rsidRPr="00477BEB">
        <w:rPr>
          <w:rFonts w:ascii="Garamond" w:hAnsi="Garamond"/>
          <w:iCs/>
          <w:sz w:val="20"/>
          <w:szCs w:val="20"/>
          <w:vertAlign w:val="superscript"/>
        </w:rPr>
        <w:t>42</w:t>
      </w:r>
      <w:r w:rsidRPr="00477BEB">
        <w:rPr>
          <w:rFonts w:ascii="Garamond" w:hAnsi="Garamond"/>
          <w:iCs/>
          <w:sz w:val="20"/>
          <w:szCs w:val="20"/>
        </w:rPr>
        <w:t xml:space="preserve"> Empirical investigations have demonstrated that NGAL levels are significantly increased in patients with SCD when compared to healthy control subjects (p&lt;0.05); particularly, elevated levels were observed in both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and </w:t>
      </w:r>
      <w:proofErr w:type="spellStart"/>
      <w:r w:rsidRPr="00477BEB">
        <w:rPr>
          <w:rFonts w:ascii="Garamond" w:hAnsi="Garamond"/>
          <w:iCs/>
          <w:sz w:val="20"/>
          <w:szCs w:val="20"/>
        </w:rPr>
        <w:t>HbSC</w:t>
      </w:r>
      <w:proofErr w:type="spellEnd"/>
      <w:r w:rsidRPr="00477BEB">
        <w:rPr>
          <w:rFonts w:ascii="Garamond" w:hAnsi="Garamond"/>
          <w:iCs/>
          <w:sz w:val="20"/>
          <w:szCs w:val="20"/>
        </w:rPr>
        <w:t xml:space="preserve"> phenotypes relative to controls, indicating the potential presence of subclinical renal impairment. Findings articulated by Ware </w:t>
      </w:r>
      <w:r w:rsidRPr="00477BEB">
        <w:rPr>
          <w:rFonts w:ascii="Garamond" w:hAnsi="Garamond"/>
          <w:i/>
          <w:iCs/>
          <w:sz w:val="20"/>
          <w:szCs w:val="20"/>
        </w:rPr>
        <w:t>et al</w:t>
      </w:r>
      <w:r w:rsidRPr="00477BEB">
        <w:rPr>
          <w:rFonts w:ascii="Garamond" w:hAnsi="Garamond"/>
          <w:iCs/>
          <w:sz w:val="20"/>
          <w:szCs w:val="20"/>
        </w:rPr>
        <w:t xml:space="preserve">. (2023) corroborate that NGAL concentrations were also markedly increased in </w:t>
      </w:r>
      <w:proofErr w:type="spellStart"/>
      <w:r w:rsidRPr="00477BEB">
        <w:rPr>
          <w:rFonts w:ascii="Garamond" w:hAnsi="Garamond"/>
          <w:iCs/>
          <w:sz w:val="20"/>
          <w:szCs w:val="20"/>
        </w:rPr>
        <w:t>HbSS</w:t>
      </w:r>
      <w:proofErr w:type="spellEnd"/>
      <w:r w:rsidRPr="00477BEB">
        <w:rPr>
          <w:rFonts w:ascii="Garamond" w:hAnsi="Garamond"/>
          <w:iCs/>
          <w:sz w:val="20"/>
          <w:szCs w:val="20"/>
        </w:rPr>
        <w:t xml:space="preserve"> and </w:t>
      </w:r>
      <w:proofErr w:type="spellStart"/>
      <w:r w:rsidRPr="00477BEB">
        <w:rPr>
          <w:rFonts w:ascii="Garamond" w:hAnsi="Garamond"/>
          <w:iCs/>
          <w:sz w:val="20"/>
          <w:szCs w:val="20"/>
        </w:rPr>
        <w:t>HbSC</w:t>
      </w:r>
      <w:proofErr w:type="spellEnd"/>
      <w:r w:rsidRPr="00477BEB">
        <w:rPr>
          <w:rFonts w:ascii="Garamond" w:hAnsi="Garamond"/>
          <w:iCs/>
          <w:sz w:val="20"/>
          <w:szCs w:val="20"/>
        </w:rPr>
        <w:t xml:space="preserve"> patients when juxtaposed with controls, with the most pronounced levels identified in homozygous </w:t>
      </w:r>
      <w:r w:rsidRPr="00477BEB">
        <w:rPr>
          <w:rFonts w:ascii="Garamond" w:hAnsi="Garamond"/>
          <w:iCs/>
          <w:sz w:val="20"/>
          <w:szCs w:val="20"/>
        </w:rPr>
        <w:t>patients undergoing a crisis</w:t>
      </w:r>
      <w:r w:rsidR="00A32F47">
        <w:rPr>
          <w:rFonts w:ascii="Garamond" w:hAnsi="Garamond"/>
          <w:iCs/>
          <w:sz w:val="20"/>
          <w:szCs w:val="20"/>
        </w:rPr>
        <w:t>.</w:t>
      </w:r>
      <w:r w:rsidRPr="00477BEB">
        <w:rPr>
          <w:rFonts w:ascii="Garamond" w:hAnsi="Garamond"/>
          <w:iCs/>
          <w:sz w:val="20"/>
          <w:szCs w:val="20"/>
          <w:vertAlign w:val="superscript"/>
        </w:rPr>
        <w:t>43</w:t>
      </w:r>
      <w:r w:rsidRPr="00477BEB">
        <w:rPr>
          <w:rFonts w:ascii="Garamond" w:hAnsi="Garamond"/>
          <w:iCs/>
          <w:sz w:val="20"/>
          <w:szCs w:val="20"/>
        </w:rPr>
        <w:t xml:space="preserve"> This observation is consistent with the assertions made by Batte </w:t>
      </w:r>
      <w:r w:rsidRPr="00477BEB">
        <w:rPr>
          <w:rFonts w:ascii="Garamond" w:hAnsi="Garamond"/>
          <w:i/>
          <w:iCs/>
          <w:sz w:val="20"/>
          <w:szCs w:val="20"/>
        </w:rPr>
        <w:t>et al</w:t>
      </w:r>
      <w:r w:rsidRPr="00477BEB">
        <w:rPr>
          <w:rFonts w:ascii="Garamond" w:hAnsi="Garamond"/>
          <w:iCs/>
          <w:sz w:val="20"/>
          <w:szCs w:val="20"/>
        </w:rPr>
        <w:t>. (2022), who indicated that NGAL possesses significant applicability in crises for SCD patients</w:t>
      </w:r>
      <w:r w:rsidR="00A32F47">
        <w:rPr>
          <w:rFonts w:ascii="Garamond" w:hAnsi="Garamond"/>
          <w:iCs/>
          <w:sz w:val="20"/>
          <w:szCs w:val="20"/>
        </w:rPr>
        <w:t>.</w:t>
      </w:r>
      <w:r w:rsidRPr="00477BEB">
        <w:rPr>
          <w:rFonts w:ascii="Garamond" w:hAnsi="Garamond"/>
          <w:iCs/>
          <w:sz w:val="20"/>
          <w:szCs w:val="20"/>
          <w:vertAlign w:val="superscript"/>
        </w:rPr>
        <w:t>44</w:t>
      </w:r>
      <w:r w:rsidRPr="00477BEB">
        <w:rPr>
          <w:rFonts w:ascii="Garamond" w:hAnsi="Garamond"/>
          <w:iCs/>
          <w:sz w:val="20"/>
          <w:szCs w:val="20"/>
        </w:rPr>
        <w:t xml:space="preserve"> Consequently, NGAL is </w:t>
      </w:r>
      <w:proofErr w:type="spellStart"/>
      <w:r w:rsidRPr="00477BEB">
        <w:rPr>
          <w:rFonts w:ascii="Garamond" w:hAnsi="Garamond"/>
          <w:iCs/>
          <w:sz w:val="20"/>
          <w:szCs w:val="20"/>
        </w:rPr>
        <w:t>recognised</w:t>
      </w:r>
      <w:proofErr w:type="spellEnd"/>
      <w:r w:rsidRPr="00477BEB">
        <w:rPr>
          <w:rFonts w:ascii="Garamond" w:hAnsi="Garamond"/>
          <w:iCs/>
          <w:sz w:val="20"/>
          <w:szCs w:val="20"/>
        </w:rPr>
        <w:t xml:space="preserve"> for its rapid elevation after tubular injury and has been substantiated as a valuable biomarker for the detection of AKI in SCD. These results imply that renal stress is amplified during </w:t>
      </w:r>
      <w:proofErr w:type="spellStart"/>
      <w:r w:rsidRPr="00477BEB">
        <w:rPr>
          <w:rFonts w:ascii="Garamond" w:hAnsi="Garamond"/>
          <w:iCs/>
          <w:sz w:val="20"/>
          <w:szCs w:val="20"/>
        </w:rPr>
        <w:t>vaso</w:t>
      </w:r>
      <w:proofErr w:type="spellEnd"/>
      <w:r w:rsidRPr="00477BEB">
        <w:rPr>
          <w:rFonts w:ascii="Garamond" w:hAnsi="Garamond"/>
          <w:iCs/>
          <w:sz w:val="20"/>
          <w:szCs w:val="20"/>
        </w:rPr>
        <w:t>-occlusive crises, with NGAL acting as a sensitive biomarker for acute sickle cell nephropathy</w:t>
      </w:r>
      <w:r w:rsidR="00A32F47">
        <w:rPr>
          <w:rFonts w:ascii="Garamond" w:hAnsi="Garamond"/>
          <w:iCs/>
          <w:sz w:val="20"/>
          <w:szCs w:val="20"/>
        </w:rPr>
        <w:t>.</w:t>
      </w:r>
      <w:r w:rsidRPr="00477BEB">
        <w:rPr>
          <w:rFonts w:ascii="Garamond" w:hAnsi="Garamond"/>
          <w:iCs/>
          <w:sz w:val="20"/>
          <w:szCs w:val="20"/>
          <w:vertAlign w:val="superscript"/>
        </w:rPr>
        <w:t>45</w:t>
      </w:r>
    </w:p>
    <w:p w14:paraId="0A644C12" w14:textId="6F47F6C2" w:rsidR="00477BEB" w:rsidRDefault="00477BEB" w:rsidP="00477BEB">
      <w:pPr>
        <w:spacing w:line="259" w:lineRule="auto"/>
        <w:jc w:val="both"/>
        <w:rPr>
          <w:rFonts w:ascii="Garamond" w:hAnsi="Garamond"/>
          <w:iCs/>
          <w:sz w:val="20"/>
          <w:szCs w:val="20"/>
        </w:rPr>
      </w:pPr>
      <w:r w:rsidRPr="00477BEB">
        <w:rPr>
          <w:rFonts w:ascii="Garamond" w:hAnsi="Garamond"/>
          <w:iCs/>
          <w:sz w:val="20"/>
          <w:szCs w:val="20"/>
        </w:rPr>
        <w:t xml:space="preserve">KIM-1 is a type 1 transmembrane glycoprotein </w:t>
      </w:r>
      <w:proofErr w:type="spellStart"/>
      <w:r w:rsidRPr="00477BEB">
        <w:rPr>
          <w:rFonts w:ascii="Garamond" w:hAnsi="Garamond"/>
          <w:iCs/>
          <w:sz w:val="20"/>
          <w:szCs w:val="20"/>
        </w:rPr>
        <w:t>characterised</w:t>
      </w:r>
      <w:proofErr w:type="spellEnd"/>
      <w:r w:rsidRPr="00477BEB">
        <w:rPr>
          <w:rFonts w:ascii="Garamond" w:hAnsi="Garamond"/>
          <w:iCs/>
          <w:sz w:val="20"/>
          <w:szCs w:val="20"/>
        </w:rPr>
        <w:t xml:space="preserve"> by the presence of immunoglobulin-like and mucin domains. Typically, the expression of this protein within the renal system is minimal; however, it exhibits a significant elevation in instances of ischemic or toxic renal injury</w:t>
      </w:r>
      <w:r w:rsidR="00A32F47">
        <w:rPr>
          <w:rFonts w:ascii="Garamond" w:hAnsi="Garamond"/>
          <w:iCs/>
          <w:sz w:val="20"/>
          <w:szCs w:val="20"/>
        </w:rPr>
        <w:t>.</w:t>
      </w:r>
      <w:r w:rsidRPr="00477BEB">
        <w:rPr>
          <w:rFonts w:ascii="Garamond" w:hAnsi="Garamond"/>
          <w:iCs/>
          <w:sz w:val="20"/>
          <w:szCs w:val="20"/>
          <w:vertAlign w:val="superscript"/>
        </w:rPr>
        <w:t>20</w:t>
      </w:r>
      <w:r w:rsidRPr="00477BEB">
        <w:rPr>
          <w:rFonts w:ascii="Garamond" w:hAnsi="Garamond"/>
          <w:iCs/>
          <w:sz w:val="20"/>
          <w:szCs w:val="20"/>
        </w:rPr>
        <w:t xml:space="preserve"> In this study, the levels of KIM-1 were markedly higher in subjects diagnosed with SCD relative to the control (p &lt; 0.05), thereby suggesting the existence of subclinical renal impairment. This biomarker was particularly elevated in homozygous patients and during episodes of </w:t>
      </w:r>
      <w:proofErr w:type="spellStart"/>
      <w:r w:rsidRPr="00477BEB">
        <w:rPr>
          <w:rFonts w:ascii="Garamond" w:hAnsi="Garamond"/>
          <w:iCs/>
          <w:sz w:val="20"/>
          <w:szCs w:val="20"/>
        </w:rPr>
        <w:t>vaso</w:t>
      </w:r>
      <w:proofErr w:type="spellEnd"/>
      <w:r w:rsidRPr="00477BEB">
        <w:rPr>
          <w:rFonts w:ascii="Garamond" w:hAnsi="Garamond"/>
          <w:iCs/>
          <w:sz w:val="20"/>
          <w:szCs w:val="20"/>
        </w:rPr>
        <w:t xml:space="preserve">-occlusive crises. These observations align with findings from other correlational studies, such as </w:t>
      </w:r>
      <w:proofErr w:type="spellStart"/>
      <w:r w:rsidRPr="00477BEB">
        <w:rPr>
          <w:rFonts w:ascii="Garamond" w:hAnsi="Garamond"/>
          <w:iCs/>
          <w:sz w:val="20"/>
          <w:szCs w:val="20"/>
        </w:rPr>
        <w:t>Ataga</w:t>
      </w:r>
      <w:proofErr w:type="spellEnd"/>
      <w:r w:rsidRPr="00477BEB">
        <w:rPr>
          <w:rFonts w:ascii="Garamond" w:hAnsi="Garamond"/>
          <w:iCs/>
          <w:sz w:val="20"/>
          <w:szCs w:val="20"/>
        </w:rPr>
        <w:t xml:space="preserve"> </w:t>
      </w:r>
      <w:r w:rsidRPr="00477BEB">
        <w:rPr>
          <w:rFonts w:ascii="Garamond" w:hAnsi="Garamond"/>
          <w:i/>
          <w:iCs/>
          <w:sz w:val="20"/>
          <w:szCs w:val="20"/>
        </w:rPr>
        <w:t>et al</w:t>
      </w:r>
      <w:r w:rsidRPr="00477BEB">
        <w:rPr>
          <w:rFonts w:ascii="Garamond" w:hAnsi="Garamond"/>
          <w:iCs/>
          <w:sz w:val="20"/>
          <w:szCs w:val="20"/>
        </w:rPr>
        <w:t xml:space="preserve">. (2020), which demonstrated the predictive validity of KIM-1 and NGAL as early indicators of acute kidney injury (AKI) in patients with SCD, particularly during periods </w:t>
      </w:r>
      <w:proofErr w:type="spellStart"/>
      <w:r w:rsidRPr="00477BEB">
        <w:rPr>
          <w:rFonts w:ascii="Garamond" w:hAnsi="Garamond"/>
          <w:iCs/>
          <w:sz w:val="20"/>
          <w:szCs w:val="20"/>
        </w:rPr>
        <w:t>characterised</w:t>
      </w:r>
      <w:proofErr w:type="spellEnd"/>
      <w:r w:rsidRPr="00477BEB">
        <w:rPr>
          <w:rFonts w:ascii="Garamond" w:hAnsi="Garamond"/>
          <w:iCs/>
          <w:sz w:val="20"/>
          <w:szCs w:val="20"/>
        </w:rPr>
        <w:t xml:space="preserve"> by ischemia or inflammation</w:t>
      </w:r>
      <w:r w:rsidR="00A32F47">
        <w:rPr>
          <w:rFonts w:ascii="Garamond" w:hAnsi="Garamond"/>
          <w:iCs/>
          <w:sz w:val="20"/>
          <w:szCs w:val="20"/>
        </w:rPr>
        <w:t>.</w:t>
      </w:r>
      <w:r w:rsidRPr="00477BEB">
        <w:rPr>
          <w:rFonts w:ascii="Garamond" w:hAnsi="Garamond"/>
          <w:iCs/>
          <w:sz w:val="20"/>
          <w:szCs w:val="20"/>
          <w:vertAlign w:val="superscript"/>
        </w:rPr>
        <w:t>46</w:t>
      </w:r>
      <w:r w:rsidRPr="00477BEB">
        <w:rPr>
          <w:rFonts w:ascii="Garamond" w:hAnsi="Garamond"/>
          <w:iCs/>
          <w:sz w:val="20"/>
          <w:szCs w:val="20"/>
        </w:rPr>
        <w:t xml:space="preserve"> The results of this study underscore that KIM-1 serves as a sensitive and specific biomarker for proximal tubular damage and was significantly heightened in individuals afflicted with SCD, particularly among homozygous patients and during </w:t>
      </w:r>
      <w:proofErr w:type="spellStart"/>
      <w:r w:rsidRPr="00477BEB">
        <w:rPr>
          <w:rFonts w:ascii="Garamond" w:hAnsi="Garamond"/>
          <w:iCs/>
          <w:sz w:val="20"/>
          <w:szCs w:val="20"/>
        </w:rPr>
        <w:t>vaso</w:t>
      </w:r>
      <w:proofErr w:type="spellEnd"/>
      <w:r w:rsidRPr="00477BEB">
        <w:rPr>
          <w:rFonts w:ascii="Garamond" w:hAnsi="Garamond"/>
          <w:iCs/>
          <w:sz w:val="20"/>
          <w:szCs w:val="20"/>
        </w:rPr>
        <w:t>-occlusive crises. This is consistent with investigations that have established KIM-1 as an outstanding biomarker for the early identification of tubular injury in chronic hemoglobinopathy conditions</w:t>
      </w:r>
      <w:r w:rsidR="00A32F47">
        <w:rPr>
          <w:rFonts w:ascii="Garamond" w:hAnsi="Garamond"/>
          <w:iCs/>
          <w:sz w:val="20"/>
          <w:szCs w:val="20"/>
        </w:rPr>
        <w:t>.</w:t>
      </w:r>
      <w:r w:rsidRPr="00477BEB">
        <w:rPr>
          <w:rFonts w:ascii="Garamond" w:hAnsi="Garamond"/>
          <w:iCs/>
          <w:sz w:val="20"/>
          <w:szCs w:val="20"/>
          <w:vertAlign w:val="superscript"/>
        </w:rPr>
        <w:t>47</w:t>
      </w:r>
    </w:p>
    <w:p w14:paraId="2C39F0EA" w14:textId="6B4C519B" w:rsidR="00477BEB" w:rsidRPr="00A32F47" w:rsidRDefault="00477BEB" w:rsidP="00477BEB">
      <w:pPr>
        <w:spacing w:line="259" w:lineRule="auto"/>
        <w:jc w:val="both"/>
        <w:rPr>
          <w:rFonts w:ascii="Garamond" w:hAnsi="Garamond"/>
          <w:iCs/>
          <w:sz w:val="20"/>
          <w:szCs w:val="20"/>
        </w:rPr>
      </w:pPr>
      <w:r w:rsidRPr="00477BEB">
        <w:rPr>
          <w:rFonts w:ascii="Garamond" w:hAnsi="Garamond"/>
          <w:iCs/>
          <w:sz w:val="20"/>
          <w:szCs w:val="20"/>
        </w:rPr>
        <w:t>IL-18 is a pro-inflammatory cytokine that is generated by damaged tubular cells and macrophages, with levels increasing in acute kidney injury before the rise in serum creatinine</w:t>
      </w:r>
      <w:r w:rsidR="00A32F47">
        <w:rPr>
          <w:rFonts w:ascii="Garamond" w:hAnsi="Garamond"/>
          <w:iCs/>
          <w:sz w:val="20"/>
          <w:szCs w:val="20"/>
        </w:rPr>
        <w:t>.</w:t>
      </w:r>
      <w:r w:rsidRPr="00477BEB">
        <w:rPr>
          <w:rFonts w:ascii="Garamond" w:hAnsi="Garamond"/>
          <w:iCs/>
          <w:sz w:val="20"/>
          <w:szCs w:val="20"/>
          <w:vertAlign w:val="superscript"/>
        </w:rPr>
        <w:t>42</w:t>
      </w:r>
      <w:r w:rsidRPr="00477BEB">
        <w:rPr>
          <w:rFonts w:ascii="Garamond" w:hAnsi="Garamond"/>
          <w:iCs/>
          <w:sz w:val="20"/>
          <w:szCs w:val="20"/>
        </w:rPr>
        <w:t xml:space="preserve"> However, no published African studies have directly assessed IL-18 for AKI in SCD patients (pediatric or adult). Thus, its role remains theoretical. It is often measured alongside NGAL/KIM-1 in AKI research, but currently, IL-18 is not established for SCD-AKI detection. IL-18 was notably elevated in homozygous and heterozygous patients, particularly during crisis, consistent with Akinkunmi </w:t>
      </w:r>
      <w:r w:rsidRPr="00477BEB">
        <w:rPr>
          <w:rFonts w:ascii="Garamond" w:hAnsi="Garamond"/>
          <w:i/>
          <w:iCs/>
          <w:sz w:val="20"/>
          <w:szCs w:val="20"/>
        </w:rPr>
        <w:t>et al.</w:t>
      </w:r>
      <w:r w:rsidRPr="00477BEB">
        <w:rPr>
          <w:rFonts w:ascii="Garamond" w:hAnsi="Garamond"/>
          <w:iCs/>
          <w:sz w:val="20"/>
          <w:szCs w:val="20"/>
        </w:rPr>
        <w:t xml:space="preserve"> (2023)</w:t>
      </w:r>
      <w:r w:rsidR="00A32F47">
        <w:rPr>
          <w:rFonts w:ascii="Garamond" w:hAnsi="Garamond"/>
          <w:iCs/>
          <w:sz w:val="20"/>
          <w:szCs w:val="20"/>
        </w:rPr>
        <w:t>.</w:t>
      </w:r>
      <w:r w:rsidRPr="00477BEB">
        <w:rPr>
          <w:rFonts w:ascii="Garamond" w:hAnsi="Garamond"/>
          <w:iCs/>
          <w:sz w:val="20"/>
          <w:szCs w:val="20"/>
          <w:vertAlign w:val="superscript"/>
        </w:rPr>
        <w:t>48</w:t>
      </w:r>
      <w:r w:rsidRPr="00477BEB">
        <w:rPr>
          <w:rFonts w:ascii="Garamond" w:hAnsi="Garamond"/>
          <w:iCs/>
          <w:sz w:val="20"/>
          <w:szCs w:val="20"/>
        </w:rPr>
        <w:t xml:space="preserve"> Its elevation indicates an underlying chronic inflammatory environment and renal </w:t>
      </w:r>
      <w:proofErr w:type="spellStart"/>
      <w:r w:rsidRPr="00477BEB">
        <w:rPr>
          <w:rFonts w:ascii="Garamond" w:hAnsi="Garamond"/>
          <w:iCs/>
          <w:sz w:val="20"/>
          <w:szCs w:val="20"/>
        </w:rPr>
        <w:t>ischaemia</w:t>
      </w:r>
      <w:proofErr w:type="spellEnd"/>
      <w:r w:rsidRPr="00477BEB">
        <w:rPr>
          <w:rFonts w:ascii="Garamond" w:hAnsi="Garamond"/>
          <w:iCs/>
          <w:sz w:val="20"/>
          <w:szCs w:val="20"/>
        </w:rPr>
        <w:t xml:space="preserve"> characteristic of SCD</w:t>
      </w:r>
      <w:r w:rsidR="00A32F47">
        <w:rPr>
          <w:rFonts w:ascii="Garamond" w:hAnsi="Garamond"/>
          <w:iCs/>
          <w:sz w:val="20"/>
          <w:szCs w:val="20"/>
        </w:rPr>
        <w:t>.</w:t>
      </w:r>
      <w:r w:rsidRPr="00477BEB">
        <w:rPr>
          <w:rFonts w:ascii="Garamond" w:hAnsi="Garamond"/>
          <w:iCs/>
          <w:sz w:val="20"/>
          <w:szCs w:val="20"/>
          <w:vertAlign w:val="superscript"/>
        </w:rPr>
        <w:t>49</w:t>
      </w:r>
      <w:bookmarkEnd w:id="21"/>
    </w:p>
    <w:p w14:paraId="264CC6FA" w14:textId="37434EFC" w:rsidR="00477BEB" w:rsidRPr="00477BEB" w:rsidRDefault="00477BEB" w:rsidP="00477BEB">
      <w:pPr>
        <w:spacing w:line="259" w:lineRule="auto"/>
        <w:jc w:val="both"/>
        <w:rPr>
          <w:rFonts w:ascii="Garamond" w:hAnsi="Garamond"/>
          <w:b/>
          <w:bCs/>
          <w:iCs/>
          <w:sz w:val="20"/>
          <w:szCs w:val="20"/>
        </w:rPr>
      </w:pPr>
      <w:r w:rsidRPr="00477BEB">
        <w:rPr>
          <w:rFonts w:ascii="Garamond" w:hAnsi="Garamond"/>
          <w:b/>
          <w:bCs/>
          <w:iCs/>
          <w:sz w:val="20"/>
          <w:szCs w:val="20"/>
        </w:rPr>
        <w:lastRenderedPageBreak/>
        <w:t>Strengths and Weaknesses of the Study</w:t>
      </w:r>
    </w:p>
    <w:p w14:paraId="6A7A2CAD" w14:textId="77777777" w:rsidR="00477BEB" w:rsidRPr="00477BEB" w:rsidRDefault="00477BEB" w:rsidP="00477BEB">
      <w:pPr>
        <w:spacing w:line="259" w:lineRule="auto"/>
        <w:jc w:val="both"/>
        <w:rPr>
          <w:rFonts w:ascii="Garamond" w:hAnsi="Garamond"/>
          <w:iCs/>
          <w:sz w:val="20"/>
          <w:szCs w:val="20"/>
        </w:rPr>
      </w:pPr>
      <w:r w:rsidRPr="00477BEB">
        <w:rPr>
          <w:rFonts w:ascii="Garamond" w:hAnsi="Garamond"/>
          <w:iCs/>
          <w:sz w:val="20"/>
          <w:szCs w:val="20"/>
        </w:rPr>
        <w:t>The</w:t>
      </w:r>
      <w:r w:rsidRPr="00477BEB">
        <w:rPr>
          <w:rFonts w:ascii="Garamond" w:hAnsi="Garamond"/>
          <w:b/>
          <w:bCs/>
          <w:iCs/>
          <w:sz w:val="20"/>
          <w:szCs w:val="20"/>
        </w:rPr>
        <w:t xml:space="preserve"> </w:t>
      </w:r>
      <w:r w:rsidRPr="00477BEB">
        <w:rPr>
          <w:rFonts w:ascii="Garamond" w:hAnsi="Garamond"/>
          <w:iCs/>
          <w:sz w:val="20"/>
          <w:szCs w:val="20"/>
        </w:rPr>
        <w:t xml:space="preserve">study area is a research-oriented hospital that supports clinical research and medical education through rigorous ethical review by an independent ethics board and meticulous patient documentation. The hospital’s patient demography spans Ekiti State and </w:t>
      </w:r>
      <w:proofErr w:type="spellStart"/>
      <w:r w:rsidRPr="00477BEB">
        <w:rPr>
          <w:rFonts w:ascii="Garamond" w:hAnsi="Garamond"/>
          <w:iCs/>
          <w:sz w:val="20"/>
          <w:szCs w:val="20"/>
        </w:rPr>
        <w:t>neighbouring</w:t>
      </w:r>
      <w:proofErr w:type="spellEnd"/>
      <w:r w:rsidRPr="00477BEB">
        <w:rPr>
          <w:rFonts w:ascii="Garamond" w:hAnsi="Garamond"/>
          <w:iCs/>
          <w:sz w:val="20"/>
          <w:szCs w:val="20"/>
        </w:rPr>
        <w:t xml:space="preserve"> areas, which ensures a comprehensive and varied clinical population.</w:t>
      </w:r>
    </w:p>
    <w:p w14:paraId="6C10CA1A" w14:textId="77777777" w:rsidR="00477BEB" w:rsidRPr="00477BEB" w:rsidRDefault="00477BEB" w:rsidP="00477BEB">
      <w:pPr>
        <w:spacing w:line="259" w:lineRule="auto"/>
        <w:jc w:val="both"/>
        <w:rPr>
          <w:rFonts w:ascii="Garamond" w:hAnsi="Garamond"/>
          <w:iCs/>
          <w:sz w:val="20"/>
          <w:szCs w:val="20"/>
        </w:rPr>
      </w:pPr>
      <w:r w:rsidRPr="00477BEB">
        <w:rPr>
          <w:rFonts w:ascii="Garamond" w:hAnsi="Garamond"/>
          <w:iCs/>
          <w:sz w:val="20"/>
          <w:szCs w:val="20"/>
        </w:rPr>
        <w:t>The research was affected by the prevalence of sickle cell disease and the literacy levels of potential subjects, which contributed to the difficulty of recruiting participants for the study.</w:t>
      </w:r>
    </w:p>
    <w:p w14:paraId="512C3CEA" w14:textId="77777777" w:rsidR="00DB3EE2" w:rsidRDefault="00DB3EE2" w:rsidP="008B0BAA">
      <w:pPr>
        <w:spacing w:line="259" w:lineRule="auto"/>
        <w:jc w:val="both"/>
        <w:rPr>
          <w:rFonts w:ascii="Garamond" w:hAnsi="Garamond"/>
          <w:iCs/>
          <w:sz w:val="20"/>
          <w:szCs w:val="20"/>
        </w:rPr>
      </w:pPr>
    </w:p>
    <w:p w14:paraId="6D70EEC3" w14:textId="23CB79DE" w:rsidR="00DB3EE2" w:rsidRPr="00DB3EE2" w:rsidRDefault="00DB3EE2" w:rsidP="00DB3EE2">
      <w:pPr>
        <w:spacing w:line="259" w:lineRule="auto"/>
        <w:jc w:val="both"/>
        <w:rPr>
          <w:rFonts w:ascii="Garamond" w:hAnsi="Garamond"/>
          <w:b/>
          <w:bCs/>
          <w:iCs/>
          <w:sz w:val="20"/>
          <w:szCs w:val="20"/>
        </w:rPr>
      </w:pPr>
      <w:r w:rsidRPr="00DB3EE2">
        <w:rPr>
          <w:rFonts w:ascii="Garamond" w:hAnsi="Garamond"/>
          <w:b/>
          <w:bCs/>
          <w:iCs/>
          <w:sz w:val="20"/>
          <w:szCs w:val="20"/>
        </w:rPr>
        <w:t>Implications of the Findings of the Study</w:t>
      </w:r>
    </w:p>
    <w:p w14:paraId="6C76092B" w14:textId="69E3912E" w:rsidR="00DB3EE2" w:rsidRPr="00A32F47" w:rsidRDefault="00DB3EE2" w:rsidP="00DB3EE2">
      <w:pPr>
        <w:spacing w:line="259" w:lineRule="auto"/>
        <w:jc w:val="both"/>
        <w:rPr>
          <w:rFonts w:ascii="Garamond" w:hAnsi="Garamond"/>
          <w:b/>
          <w:bCs/>
          <w:iCs/>
          <w:sz w:val="20"/>
          <w:szCs w:val="20"/>
        </w:rPr>
      </w:pPr>
      <w:r w:rsidRPr="00DB3EE2">
        <w:rPr>
          <w:rFonts w:ascii="Garamond" w:hAnsi="Garamond"/>
          <w:iCs/>
          <w:sz w:val="20"/>
          <w:szCs w:val="20"/>
        </w:rPr>
        <w:t xml:space="preserve">Effective management of sickle cell disease requires thorough assessment of AKI markers such as KIM-1, NGAL, and IL-18. Sickle cell disease (SCD) frequently culminates in nephropathy and acute kidney injury (AKI). However, AKI is often insufficiently recognized during episodes of </w:t>
      </w:r>
      <w:proofErr w:type="spellStart"/>
      <w:r w:rsidRPr="00DB3EE2">
        <w:rPr>
          <w:rFonts w:ascii="Garamond" w:hAnsi="Garamond"/>
          <w:iCs/>
          <w:sz w:val="20"/>
          <w:szCs w:val="20"/>
        </w:rPr>
        <w:t>vaso</w:t>
      </w:r>
      <w:proofErr w:type="spellEnd"/>
      <w:r w:rsidRPr="00DB3EE2">
        <w:rPr>
          <w:rFonts w:ascii="Garamond" w:hAnsi="Garamond"/>
          <w:iCs/>
          <w:sz w:val="20"/>
          <w:szCs w:val="20"/>
        </w:rPr>
        <w:t xml:space="preserve">-occlusive crises due to the inadequacy of the traditionally employed marker, creatinine, which serves as a late indicator in SCD given the phenomena of hyperfiltration and tubular secretion, thus underscoring the necessity for innovative biomarkers. KIM-1 and NGAL demonstrate a correlation with renal impairment in SCD, as they facilitate the detection of early tubulointerstitial injury prior to a significant elevation in creatinine levels. These biomarkers exhibit sensitivity to tubular damage and hold considerable potential as early indicators of nephropathy in SCD, although they require validation in extensive, prospective cohorts of SCD patients. IL-18 has been documented to increase during </w:t>
      </w:r>
      <w:proofErr w:type="spellStart"/>
      <w:r w:rsidRPr="00DB3EE2">
        <w:rPr>
          <w:rFonts w:ascii="Garamond" w:hAnsi="Garamond"/>
          <w:iCs/>
          <w:sz w:val="20"/>
          <w:szCs w:val="20"/>
        </w:rPr>
        <w:t>vaso</w:t>
      </w:r>
      <w:proofErr w:type="spellEnd"/>
      <w:r w:rsidRPr="00DB3EE2">
        <w:rPr>
          <w:rFonts w:ascii="Garamond" w:hAnsi="Garamond"/>
          <w:iCs/>
          <w:sz w:val="20"/>
          <w:szCs w:val="20"/>
        </w:rPr>
        <w:t>-occlusive episodes in SCD and is associated with hemolysis and inflammatory responses, indicating that it may also be elevated during renal crises. The standard management protocol for SCD predominantly centers on monitoring albuminuria and creatinine levels. There exists a pressing necessity to integrate novel biomarkers into standard clinical practice.</w:t>
      </w:r>
    </w:p>
    <w:p w14:paraId="6BED2548" w14:textId="3807662F" w:rsidR="00DB3EE2" w:rsidRPr="00A32F47" w:rsidRDefault="00DB3EE2" w:rsidP="00DB3EE2">
      <w:pPr>
        <w:spacing w:line="259" w:lineRule="auto"/>
        <w:jc w:val="both"/>
        <w:rPr>
          <w:rFonts w:ascii="Garamond" w:hAnsi="Garamond"/>
          <w:b/>
          <w:bCs/>
          <w:iCs/>
          <w:sz w:val="20"/>
          <w:szCs w:val="20"/>
        </w:rPr>
      </w:pPr>
      <w:r w:rsidRPr="00DB3EE2">
        <w:rPr>
          <w:rFonts w:ascii="Garamond" w:hAnsi="Garamond"/>
          <w:iCs/>
          <w:sz w:val="20"/>
          <w:szCs w:val="20"/>
        </w:rPr>
        <w:t xml:space="preserve">The understanding of the newer AKI markers and a complete blood count in sickle cell disease is needed for the development of more efficient therapeutic drugs for addressing kidney injury in sickle cell disease. It is noteworthy that the incorporation of these biomarkers alongside standard complete blood count findings has the potential to augment risk stratification, as studies have established a correlation between diminished hemoglobin levels and elevated hemolysis markers with sickle cell disease nephropathy. Consequently, a </w:t>
      </w:r>
      <w:r w:rsidRPr="00DB3EE2">
        <w:rPr>
          <w:rFonts w:ascii="Garamond" w:hAnsi="Garamond"/>
          <w:iCs/>
          <w:sz w:val="20"/>
          <w:szCs w:val="20"/>
        </w:rPr>
        <w:t>biomarker–CBC profile could effectively identify SCD patients who are at the highest risk for renal complications, thereby facilitating timely intervention. Nonetheless, significant deficiencies remain in the literature, as the majority of available data are either cross-sectional in nature or derived from small sample sizes.</w:t>
      </w:r>
    </w:p>
    <w:p w14:paraId="63139A12" w14:textId="5A4584E0" w:rsidR="00DB3EE2" w:rsidRPr="00A32F47" w:rsidRDefault="00DB3EE2" w:rsidP="00DB3EE2">
      <w:pPr>
        <w:spacing w:line="259" w:lineRule="auto"/>
        <w:jc w:val="both"/>
        <w:rPr>
          <w:rFonts w:ascii="Garamond" w:hAnsi="Garamond"/>
          <w:b/>
          <w:bCs/>
          <w:iCs/>
          <w:sz w:val="20"/>
          <w:szCs w:val="20"/>
        </w:rPr>
      </w:pPr>
      <w:r w:rsidRPr="00DB3EE2">
        <w:rPr>
          <w:rFonts w:ascii="Garamond" w:hAnsi="Garamond"/>
          <w:iCs/>
          <w:sz w:val="20"/>
          <w:szCs w:val="20"/>
        </w:rPr>
        <w:t xml:space="preserve">A genotypic-specific management strategy is required for the treatment of sickle cell disease. Sickle cell disease genotypes exhibit notable variations in their pathophysiological mechanisms and clinical trajectories, thereby rendering a universal treatment strategy inadequate. Erythrocytes bearing the </w:t>
      </w:r>
      <w:proofErr w:type="spellStart"/>
      <w:r w:rsidRPr="00DB3EE2">
        <w:rPr>
          <w:rFonts w:ascii="Garamond" w:hAnsi="Garamond"/>
          <w:iCs/>
          <w:sz w:val="20"/>
          <w:szCs w:val="20"/>
        </w:rPr>
        <w:t>HbSC</w:t>
      </w:r>
      <w:proofErr w:type="spellEnd"/>
      <w:r w:rsidRPr="00DB3EE2">
        <w:rPr>
          <w:rFonts w:ascii="Garamond" w:hAnsi="Garamond"/>
          <w:iCs/>
          <w:sz w:val="20"/>
          <w:szCs w:val="20"/>
        </w:rPr>
        <w:t xml:space="preserve"> genotype are predisposed to dehydration, resulting in the formation of target cells, which consequently increases blood viscosity significantly. Clinically, individuals with the </w:t>
      </w:r>
      <w:proofErr w:type="spellStart"/>
      <w:r w:rsidRPr="00DB3EE2">
        <w:rPr>
          <w:rFonts w:ascii="Garamond" w:hAnsi="Garamond"/>
          <w:iCs/>
          <w:sz w:val="20"/>
          <w:szCs w:val="20"/>
        </w:rPr>
        <w:t>HbSC</w:t>
      </w:r>
      <w:proofErr w:type="spellEnd"/>
      <w:r w:rsidRPr="00DB3EE2">
        <w:rPr>
          <w:rFonts w:ascii="Garamond" w:hAnsi="Garamond"/>
          <w:iCs/>
          <w:sz w:val="20"/>
          <w:szCs w:val="20"/>
        </w:rPr>
        <w:t xml:space="preserve"> genotype experience less severe </w:t>
      </w:r>
      <w:proofErr w:type="spellStart"/>
      <w:r w:rsidRPr="00DB3EE2">
        <w:rPr>
          <w:rFonts w:ascii="Garamond" w:hAnsi="Garamond"/>
          <w:iCs/>
          <w:sz w:val="20"/>
          <w:szCs w:val="20"/>
        </w:rPr>
        <w:t>anaemia</w:t>
      </w:r>
      <w:proofErr w:type="spellEnd"/>
      <w:r w:rsidRPr="00DB3EE2">
        <w:rPr>
          <w:rFonts w:ascii="Garamond" w:hAnsi="Garamond"/>
          <w:iCs/>
          <w:sz w:val="20"/>
          <w:szCs w:val="20"/>
        </w:rPr>
        <w:t xml:space="preserve"> and a reduced incidence of acute crises or cerebrovascular accidents compared to those with the </w:t>
      </w:r>
      <w:proofErr w:type="spellStart"/>
      <w:r w:rsidRPr="00DB3EE2">
        <w:rPr>
          <w:rFonts w:ascii="Garamond" w:hAnsi="Garamond"/>
          <w:iCs/>
          <w:sz w:val="20"/>
          <w:szCs w:val="20"/>
        </w:rPr>
        <w:t>HbSS</w:t>
      </w:r>
      <w:proofErr w:type="spellEnd"/>
      <w:r w:rsidRPr="00DB3EE2">
        <w:rPr>
          <w:rFonts w:ascii="Garamond" w:hAnsi="Garamond"/>
          <w:iCs/>
          <w:sz w:val="20"/>
          <w:szCs w:val="20"/>
        </w:rPr>
        <w:t xml:space="preserve"> genotype. However, they demonstrate markedly elevated rates of certain complications. Summarily, the genotype-specific pathophysiology exerts a profound influence on the risk of complications and the response to treatment, thereby underscoring the necessity for individualized management approaches.</w:t>
      </w:r>
    </w:p>
    <w:p w14:paraId="099B81F8" w14:textId="03BC1F90" w:rsidR="00DB3EE2" w:rsidRPr="00DB3EE2" w:rsidRDefault="00DB3EE2" w:rsidP="00DB3EE2">
      <w:pPr>
        <w:spacing w:line="259" w:lineRule="auto"/>
        <w:jc w:val="both"/>
        <w:rPr>
          <w:rFonts w:ascii="Garamond" w:hAnsi="Garamond"/>
          <w:b/>
          <w:bCs/>
          <w:iCs/>
          <w:sz w:val="20"/>
          <w:szCs w:val="20"/>
        </w:rPr>
      </w:pPr>
      <w:r w:rsidRPr="00DB3EE2">
        <w:rPr>
          <w:rFonts w:ascii="Garamond" w:hAnsi="Garamond"/>
          <w:iCs/>
          <w:sz w:val="20"/>
          <w:szCs w:val="20"/>
        </w:rPr>
        <w:t>Additional research into the link between haptoglobin and NGAL is essential to improve their application as predictive indicators for evaluating oxidative stress in the kidneys and protein damage in red blood cells among sickle cell disease patients in crisis.</w:t>
      </w:r>
    </w:p>
    <w:p w14:paraId="68F3BDA2" w14:textId="77777777" w:rsidR="00DB3EE2" w:rsidRPr="00DB3EE2" w:rsidRDefault="00DB3EE2" w:rsidP="00DB3EE2">
      <w:pPr>
        <w:spacing w:line="259" w:lineRule="auto"/>
        <w:jc w:val="both"/>
        <w:rPr>
          <w:rFonts w:ascii="Garamond" w:hAnsi="Garamond"/>
          <w:b/>
          <w:bCs/>
          <w:iCs/>
          <w:sz w:val="20"/>
          <w:szCs w:val="20"/>
        </w:rPr>
      </w:pPr>
    </w:p>
    <w:p w14:paraId="69BECD0F" w14:textId="32B37024" w:rsidR="00DB3EE2" w:rsidRPr="00DB3EE2" w:rsidRDefault="00501798" w:rsidP="00DB3EE2">
      <w:pPr>
        <w:spacing w:line="259" w:lineRule="auto"/>
        <w:jc w:val="both"/>
        <w:rPr>
          <w:rFonts w:ascii="Garamond" w:hAnsi="Garamond"/>
          <w:b/>
          <w:bCs/>
          <w:iCs/>
          <w:sz w:val="22"/>
          <w:szCs w:val="22"/>
        </w:rPr>
      </w:pPr>
      <w:r w:rsidRPr="00DB3EE2">
        <w:rPr>
          <w:rFonts w:ascii="Garamond" w:hAnsi="Garamond"/>
          <w:b/>
          <w:bCs/>
          <w:iCs/>
          <w:sz w:val="22"/>
          <w:szCs w:val="22"/>
        </w:rPr>
        <w:t>CONCLUSION</w:t>
      </w:r>
    </w:p>
    <w:p w14:paraId="57CDB727" w14:textId="77777777" w:rsidR="00DB3EE2" w:rsidRPr="00DB3EE2" w:rsidRDefault="00DB3EE2" w:rsidP="00DB3EE2">
      <w:pPr>
        <w:spacing w:line="259" w:lineRule="auto"/>
        <w:jc w:val="both"/>
        <w:rPr>
          <w:rFonts w:ascii="Garamond" w:hAnsi="Garamond"/>
          <w:iCs/>
          <w:sz w:val="20"/>
          <w:szCs w:val="20"/>
        </w:rPr>
      </w:pPr>
      <w:r w:rsidRPr="00DB3EE2">
        <w:rPr>
          <w:rFonts w:ascii="Garamond" w:hAnsi="Garamond"/>
          <w:iCs/>
          <w:sz w:val="20"/>
          <w:szCs w:val="20"/>
        </w:rPr>
        <w:t xml:space="preserve">This study concluded that zygosity could affect the severity of SCD. There are significantly higher markers of AKI in SCD subjects compared to the controls. It was also found that homozygous SCD shows considerable renal and </w:t>
      </w:r>
      <w:proofErr w:type="spellStart"/>
      <w:r w:rsidRPr="00DB3EE2">
        <w:rPr>
          <w:rFonts w:ascii="Garamond" w:hAnsi="Garamond"/>
          <w:iCs/>
          <w:sz w:val="20"/>
          <w:szCs w:val="20"/>
        </w:rPr>
        <w:t>haematological</w:t>
      </w:r>
      <w:proofErr w:type="spellEnd"/>
      <w:r w:rsidRPr="00DB3EE2">
        <w:rPr>
          <w:rFonts w:ascii="Garamond" w:hAnsi="Garamond"/>
          <w:iCs/>
          <w:sz w:val="20"/>
          <w:szCs w:val="20"/>
        </w:rPr>
        <w:t xml:space="preserve"> dysfunction, which worsens during crises, while heterozygous SCD exhibits intermediate severity, with notable increases in inflammation and newer renal markers during crises. Post-hoc tests confirmed significant differences between homozygous and heterozygous groups in PCV, Hb, PLTs, and AKI markers (p &lt; 0.05), although creatinine levels did not differ by genotype during crises (p = 0.777). Steady-state homozygous individuals still showed elevated AKI markers and cytopenia compared to controls (p &lt; 0.001), whereas heterozygous steady-state values often overlapped with controls, indicating milder baseline pathology. It was also found that KIM-1 and NGAL are better markers of kidney injury, as they can </w:t>
      </w:r>
      <w:r w:rsidRPr="00DB3EE2">
        <w:rPr>
          <w:rFonts w:ascii="Garamond" w:hAnsi="Garamond"/>
          <w:iCs/>
          <w:sz w:val="20"/>
          <w:szCs w:val="20"/>
        </w:rPr>
        <w:lastRenderedPageBreak/>
        <w:t>be elevated in both steady and crisis states, regardless of zygosity.</w:t>
      </w:r>
    </w:p>
    <w:p w14:paraId="590DE0DF" w14:textId="77777777" w:rsidR="006F3641" w:rsidRDefault="006F3641" w:rsidP="008B0BAA">
      <w:pPr>
        <w:spacing w:line="259" w:lineRule="auto"/>
        <w:jc w:val="both"/>
        <w:rPr>
          <w:rFonts w:ascii="Garamond" w:hAnsi="Garamond"/>
          <w:b/>
          <w:bCs/>
          <w:iCs/>
          <w:sz w:val="20"/>
          <w:szCs w:val="20"/>
        </w:rPr>
      </w:pPr>
    </w:p>
    <w:p w14:paraId="34F95BAA" w14:textId="342E4C57" w:rsidR="008B0BAA" w:rsidRPr="00501798" w:rsidRDefault="008B0BAA" w:rsidP="008B0BAA">
      <w:pPr>
        <w:spacing w:line="259" w:lineRule="auto"/>
        <w:jc w:val="both"/>
        <w:rPr>
          <w:rFonts w:ascii="Garamond" w:hAnsi="Garamond"/>
          <w:bCs/>
          <w:iCs/>
          <w:sz w:val="20"/>
          <w:szCs w:val="20"/>
          <w:lang w:val="en-GB"/>
        </w:rPr>
      </w:pPr>
      <w:r w:rsidRPr="00501798">
        <w:rPr>
          <w:rFonts w:ascii="Garamond" w:hAnsi="Garamond"/>
          <w:b/>
          <w:bCs/>
          <w:i/>
          <w:sz w:val="20"/>
          <w:szCs w:val="20"/>
        </w:rPr>
        <w:t>Ethical Approval</w:t>
      </w:r>
      <w:r w:rsidRPr="008B0BAA">
        <w:rPr>
          <w:rFonts w:ascii="Garamond" w:hAnsi="Garamond"/>
          <w:b/>
          <w:bCs/>
          <w:iCs/>
          <w:sz w:val="20"/>
          <w:szCs w:val="20"/>
        </w:rPr>
        <w:t xml:space="preserve">: </w:t>
      </w:r>
      <w:r w:rsidRPr="008B0BAA">
        <w:rPr>
          <w:rFonts w:ascii="Garamond" w:hAnsi="Garamond"/>
          <w:bCs/>
          <w:iCs/>
          <w:sz w:val="20"/>
          <w:szCs w:val="20"/>
        </w:rPr>
        <w:t xml:space="preserve">Ethical approval for this study was obtained from the </w:t>
      </w:r>
      <w:r w:rsidRPr="008B0BAA">
        <w:rPr>
          <w:rFonts w:ascii="Garamond" w:hAnsi="Garamond"/>
          <w:bCs/>
          <w:iCs/>
          <w:sz w:val="20"/>
          <w:szCs w:val="20"/>
          <w:lang w:val="en-GB"/>
        </w:rPr>
        <w:t>Ethics and Research Committee, College of Medicine and Health Sciences, Afe Babalola University, Ado-Ekiti, Ekiti State (ABUADHREC/27/03/2025/626) and Human Research and Ethics Committee, Federal Teaching Hospital, Ido Ekiti (ERC/2025/03/24/1227B).</w:t>
      </w:r>
    </w:p>
    <w:p w14:paraId="75C68DE3" w14:textId="3BEEB0B6" w:rsidR="008B0BAA" w:rsidRPr="00501798" w:rsidRDefault="008B0BAA" w:rsidP="008B0BAA">
      <w:pPr>
        <w:spacing w:line="259" w:lineRule="auto"/>
        <w:jc w:val="both"/>
        <w:rPr>
          <w:rFonts w:ascii="Garamond" w:hAnsi="Garamond"/>
          <w:bCs/>
          <w:iCs/>
          <w:sz w:val="20"/>
          <w:szCs w:val="20"/>
        </w:rPr>
      </w:pPr>
      <w:r w:rsidRPr="00501798">
        <w:rPr>
          <w:rFonts w:ascii="Garamond" w:hAnsi="Garamond"/>
          <w:b/>
          <w:bCs/>
          <w:i/>
          <w:sz w:val="20"/>
          <w:szCs w:val="20"/>
        </w:rPr>
        <w:t>Informed Consent:</w:t>
      </w:r>
      <w:r w:rsidRPr="008B0BAA">
        <w:rPr>
          <w:rFonts w:ascii="Garamond" w:hAnsi="Garamond"/>
          <w:bCs/>
          <w:iCs/>
          <w:sz w:val="20"/>
          <w:szCs w:val="20"/>
        </w:rPr>
        <w:t xml:space="preserve"> Written informed consent was obtained for </w:t>
      </w:r>
      <w:proofErr w:type="spellStart"/>
      <w:r w:rsidRPr="008B0BAA">
        <w:rPr>
          <w:rFonts w:ascii="Garamond" w:hAnsi="Garamond"/>
          <w:bCs/>
          <w:iCs/>
          <w:sz w:val="20"/>
          <w:szCs w:val="20"/>
        </w:rPr>
        <w:t>anonymised</w:t>
      </w:r>
      <w:proofErr w:type="spellEnd"/>
      <w:r w:rsidRPr="008B0BAA">
        <w:rPr>
          <w:rFonts w:ascii="Garamond" w:hAnsi="Garamond"/>
          <w:bCs/>
          <w:iCs/>
          <w:sz w:val="20"/>
          <w:szCs w:val="20"/>
        </w:rPr>
        <w:t xml:space="preserve"> patient information to be published in this article.</w:t>
      </w:r>
    </w:p>
    <w:p w14:paraId="42A2284B" w14:textId="1886F152" w:rsidR="004955D1" w:rsidRDefault="008B0BAA" w:rsidP="007A1526">
      <w:pPr>
        <w:spacing w:line="259" w:lineRule="auto"/>
        <w:jc w:val="both"/>
        <w:rPr>
          <w:rFonts w:ascii="Garamond" w:hAnsi="Garamond"/>
          <w:bCs/>
          <w:iCs/>
          <w:sz w:val="20"/>
          <w:szCs w:val="20"/>
        </w:rPr>
      </w:pPr>
      <w:r w:rsidRPr="00501798">
        <w:rPr>
          <w:rFonts w:ascii="Garamond" w:hAnsi="Garamond"/>
          <w:b/>
          <w:bCs/>
          <w:i/>
          <w:sz w:val="20"/>
          <w:szCs w:val="20"/>
        </w:rPr>
        <w:t>Conflict of Interest:</w:t>
      </w:r>
      <w:r w:rsidRPr="008B0BAA">
        <w:rPr>
          <w:rFonts w:ascii="Garamond" w:hAnsi="Garamond"/>
          <w:bCs/>
          <w:iCs/>
          <w:sz w:val="20"/>
          <w:szCs w:val="20"/>
        </w:rPr>
        <w:t xml:space="preserve"> The authors whose names are listed above certify that they have no affiliations with or involvement in any </w:t>
      </w:r>
      <w:proofErr w:type="spellStart"/>
      <w:r w:rsidRPr="008B0BAA">
        <w:rPr>
          <w:rFonts w:ascii="Garamond" w:hAnsi="Garamond"/>
          <w:bCs/>
          <w:iCs/>
          <w:sz w:val="20"/>
          <w:szCs w:val="20"/>
        </w:rPr>
        <w:t>organisation</w:t>
      </w:r>
      <w:proofErr w:type="spellEnd"/>
      <w:r w:rsidRPr="008B0BAA">
        <w:rPr>
          <w:rFonts w:ascii="Garamond" w:hAnsi="Garamond"/>
          <w:bCs/>
          <w:iCs/>
          <w:sz w:val="20"/>
          <w:szCs w:val="20"/>
        </w:rPr>
        <w:t xml:space="preserve"> or entity with any financial or non-financial interest in the subject matter or materials discussed in this manuscript</w:t>
      </w:r>
      <w:r w:rsidR="00580893">
        <w:rPr>
          <w:rFonts w:ascii="Garamond" w:hAnsi="Garamond"/>
          <w:bCs/>
          <w:iCs/>
          <w:sz w:val="20"/>
          <w:szCs w:val="20"/>
        </w:rPr>
        <w:t>.</w:t>
      </w:r>
    </w:p>
    <w:p w14:paraId="3A5D1167" w14:textId="77777777" w:rsidR="00580893" w:rsidRDefault="00580893" w:rsidP="007A1526">
      <w:pPr>
        <w:spacing w:line="259" w:lineRule="auto"/>
        <w:jc w:val="both"/>
        <w:rPr>
          <w:rFonts w:ascii="Garamond" w:hAnsi="Garamond"/>
          <w:bCs/>
          <w:iCs/>
          <w:sz w:val="20"/>
          <w:szCs w:val="20"/>
        </w:rPr>
      </w:pPr>
    </w:p>
    <w:p w14:paraId="78109763" w14:textId="142F37C6" w:rsidR="00A03F41" w:rsidRPr="00A03F41" w:rsidRDefault="00501798" w:rsidP="00A03F41">
      <w:pPr>
        <w:spacing w:line="259" w:lineRule="auto"/>
        <w:jc w:val="both"/>
        <w:rPr>
          <w:rFonts w:ascii="Garamond" w:hAnsi="Garamond"/>
          <w:b/>
          <w:bCs/>
          <w:iCs/>
          <w:sz w:val="22"/>
          <w:szCs w:val="22"/>
        </w:rPr>
      </w:pPr>
      <w:r w:rsidRPr="00A03F41">
        <w:rPr>
          <w:rFonts w:ascii="Garamond" w:hAnsi="Garamond"/>
          <w:b/>
          <w:bCs/>
          <w:iCs/>
          <w:sz w:val="22"/>
          <w:szCs w:val="22"/>
        </w:rPr>
        <w:t>REFERENCES</w:t>
      </w:r>
    </w:p>
    <w:p w14:paraId="3F8D3D60" w14:textId="1E8C6DD0"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 National Health Service (NHS). (2023, May 10). </w:t>
      </w:r>
      <w:r w:rsidRPr="00A03F41">
        <w:rPr>
          <w:rFonts w:ascii="Garamond" w:hAnsi="Garamond"/>
          <w:bCs/>
          <w:i/>
          <w:iCs/>
          <w:sz w:val="20"/>
          <w:szCs w:val="20"/>
        </w:rPr>
        <w:t>Sickle cell anemia</w:t>
      </w:r>
      <w:r w:rsidRPr="00A03F41">
        <w:rPr>
          <w:rFonts w:ascii="Garamond" w:hAnsi="Garamond"/>
          <w:bCs/>
          <w:iCs/>
          <w:sz w:val="20"/>
          <w:szCs w:val="20"/>
        </w:rPr>
        <w:t>.</w:t>
      </w:r>
      <w:r>
        <w:rPr>
          <w:rFonts w:ascii="Garamond" w:hAnsi="Garamond"/>
          <w:bCs/>
          <w:iCs/>
          <w:sz w:val="20"/>
          <w:szCs w:val="20"/>
        </w:rPr>
        <w:t xml:space="preserve"> </w:t>
      </w:r>
      <w:hyperlink r:id="rId28" w:history="1">
        <w:r w:rsidRPr="00A03F41">
          <w:rPr>
            <w:rStyle w:val="Hyperlink"/>
            <w:rFonts w:ascii="Garamond" w:hAnsi="Garamond"/>
            <w:bCs/>
            <w:iCs/>
            <w:sz w:val="20"/>
            <w:szCs w:val="20"/>
          </w:rPr>
          <w:t>https://www.nhs.uk/conditions/Sickle-cell-anemia/Pages/Introduction.aspx</w:t>
        </w:r>
      </w:hyperlink>
    </w:p>
    <w:p w14:paraId="2878548F"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 Ameh, S. J., </w:t>
      </w:r>
      <w:proofErr w:type="spellStart"/>
      <w:r w:rsidRPr="00A03F41">
        <w:rPr>
          <w:rFonts w:ascii="Garamond" w:hAnsi="Garamond"/>
          <w:bCs/>
          <w:iCs/>
          <w:sz w:val="20"/>
          <w:szCs w:val="20"/>
        </w:rPr>
        <w:t>Tarfa</w:t>
      </w:r>
      <w:proofErr w:type="spellEnd"/>
      <w:r w:rsidRPr="00A03F41">
        <w:rPr>
          <w:rFonts w:ascii="Garamond" w:hAnsi="Garamond"/>
          <w:bCs/>
          <w:iCs/>
          <w:sz w:val="20"/>
          <w:szCs w:val="20"/>
        </w:rPr>
        <w:t xml:space="preserve">, F. D., &amp; </w:t>
      </w:r>
      <w:proofErr w:type="spellStart"/>
      <w:r w:rsidRPr="00A03F41">
        <w:rPr>
          <w:rFonts w:ascii="Garamond" w:hAnsi="Garamond"/>
          <w:bCs/>
          <w:iCs/>
          <w:sz w:val="20"/>
          <w:szCs w:val="20"/>
        </w:rPr>
        <w:t>Ebeshi</w:t>
      </w:r>
      <w:proofErr w:type="spellEnd"/>
      <w:r w:rsidRPr="00A03F41">
        <w:rPr>
          <w:rFonts w:ascii="Garamond" w:hAnsi="Garamond"/>
          <w:bCs/>
          <w:iCs/>
          <w:sz w:val="20"/>
          <w:szCs w:val="20"/>
        </w:rPr>
        <w:t xml:space="preserve">, B. U. (2012). Traditional herbal management of sickle cell anemia: Lessons from Nigeria. </w:t>
      </w:r>
      <w:r w:rsidRPr="00A03F41">
        <w:rPr>
          <w:rFonts w:ascii="Garamond" w:hAnsi="Garamond"/>
          <w:bCs/>
          <w:i/>
          <w:iCs/>
          <w:sz w:val="20"/>
          <w:szCs w:val="20"/>
        </w:rPr>
        <w:t>Anemia, 2012</w:t>
      </w:r>
      <w:r w:rsidRPr="00A03F41">
        <w:rPr>
          <w:rFonts w:ascii="Garamond" w:hAnsi="Garamond"/>
          <w:bCs/>
          <w:iCs/>
          <w:sz w:val="20"/>
          <w:szCs w:val="20"/>
        </w:rPr>
        <w:t xml:space="preserve">, Article 74369. </w:t>
      </w:r>
      <w:hyperlink r:id="rId29" w:history="1">
        <w:r w:rsidRPr="00A03F41">
          <w:rPr>
            <w:rStyle w:val="Hyperlink"/>
            <w:rFonts w:ascii="Garamond" w:hAnsi="Garamond"/>
            <w:bCs/>
            <w:iCs/>
            <w:sz w:val="20"/>
            <w:szCs w:val="20"/>
          </w:rPr>
          <w:t>https://doi.org/10.1155/2012/607436</w:t>
        </w:r>
      </w:hyperlink>
    </w:p>
    <w:p w14:paraId="5100CB98"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 Nader, E, Romana, M, </w:t>
      </w:r>
      <w:proofErr w:type="spellStart"/>
      <w:r w:rsidRPr="00A03F41">
        <w:rPr>
          <w:rFonts w:ascii="Garamond" w:hAnsi="Garamond"/>
          <w:bCs/>
          <w:iCs/>
          <w:sz w:val="20"/>
          <w:szCs w:val="20"/>
        </w:rPr>
        <w:t>Connes</w:t>
      </w:r>
      <w:proofErr w:type="spellEnd"/>
      <w:r w:rsidRPr="00A03F41">
        <w:rPr>
          <w:rFonts w:ascii="Garamond" w:hAnsi="Garamond"/>
          <w:bCs/>
          <w:iCs/>
          <w:sz w:val="20"/>
          <w:szCs w:val="20"/>
        </w:rPr>
        <w:t>, P. (2020). The red blood cell-inflammation vicious circle in</w:t>
      </w:r>
    </w:p>
    <w:p w14:paraId="268F71BE"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sickle cell disease. </w:t>
      </w:r>
      <w:r w:rsidRPr="00A03F41">
        <w:rPr>
          <w:rFonts w:ascii="Garamond" w:hAnsi="Garamond"/>
          <w:bCs/>
          <w:i/>
          <w:iCs/>
          <w:sz w:val="20"/>
          <w:szCs w:val="20"/>
        </w:rPr>
        <w:t>Frontiers in Immunology, 11</w:t>
      </w:r>
      <w:r w:rsidRPr="00A03F41">
        <w:rPr>
          <w:rFonts w:ascii="Garamond" w:hAnsi="Garamond"/>
          <w:bCs/>
          <w:iCs/>
          <w:sz w:val="20"/>
          <w:szCs w:val="20"/>
        </w:rPr>
        <w:t xml:space="preserve">, 454. </w:t>
      </w:r>
      <w:hyperlink r:id="rId30" w:history="1">
        <w:r w:rsidRPr="00A03F41">
          <w:rPr>
            <w:rStyle w:val="Hyperlink"/>
            <w:rFonts w:ascii="Garamond" w:hAnsi="Garamond"/>
            <w:bCs/>
            <w:iCs/>
            <w:sz w:val="20"/>
            <w:szCs w:val="20"/>
          </w:rPr>
          <w:t>https://doi.org/10.3389/fimmu.2020.00454</w:t>
        </w:r>
      </w:hyperlink>
    </w:p>
    <w:p w14:paraId="680B5299"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 Conran, N., &amp; Belcher, J. D. (2020). Inflammation in sickle cell disease. Clinical Hemorheology and Microcirculation, 75(1), 3–19. </w:t>
      </w:r>
      <w:hyperlink r:id="rId31" w:history="1">
        <w:r w:rsidRPr="00A03F41">
          <w:rPr>
            <w:rStyle w:val="Hyperlink"/>
            <w:rFonts w:ascii="Garamond" w:hAnsi="Garamond"/>
            <w:bCs/>
            <w:iCs/>
            <w:sz w:val="20"/>
            <w:szCs w:val="20"/>
          </w:rPr>
          <w:t>https://doi.org/10.3233/CH-209009</w:t>
        </w:r>
      </w:hyperlink>
    </w:p>
    <w:p w14:paraId="156CA9DA"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5. Olaniran, K. O., Allegretti, A. S., Zhao, S. H., Achebe, M. M., </w:t>
      </w:r>
      <w:proofErr w:type="spellStart"/>
      <w:r w:rsidRPr="00A03F41">
        <w:rPr>
          <w:rFonts w:ascii="Garamond" w:hAnsi="Garamond"/>
          <w:bCs/>
          <w:iCs/>
          <w:sz w:val="20"/>
          <w:szCs w:val="20"/>
        </w:rPr>
        <w:t>Eneanya</w:t>
      </w:r>
      <w:proofErr w:type="spellEnd"/>
      <w:r w:rsidRPr="00A03F41">
        <w:rPr>
          <w:rFonts w:ascii="Garamond" w:hAnsi="Garamond"/>
          <w:bCs/>
          <w:iCs/>
          <w:sz w:val="20"/>
          <w:szCs w:val="20"/>
        </w:rPr>
        <w:t xml:space="preserve">, N. D., </w:t>
      </w:r>
      <w:proofErr w:type="spellStart"/>
      <w:r w:rsidRPr="00A03F41">
        <w:rPr>
          <w:rFonts w:ascii="Garamond" w:hAnsi="Garamond"/>
          <w:bCs/>
          <w:iCs/>
          <w:sz w:val="20"/>
          <w:szCs w:val="20"/>
        </w:rPr>
        <w:t>Thadhani</w:t>
      </w:r>
      <w:proofErr w:type="spellEnd"/>
      <w:r w:rsidRPr="00A03F41">
        <w:rPr>
          <w:rFonts w:ascii="Garamond" w:hAnsi="Garamond"/>
          <w:bCs/>
          <w:iCs/>
          <w:sz w:val="20"/>
          <w:szCs w:val="20"/>
        </w:rPr>
        <w:t xml:space="preserve">, R. I., Nigwekar, S. U., &amp; Kalim, S. (2020). Kidney function decline among Black patients with sickle cell trait and sickle cell disease: An observational cohort study. </w:t>
      </w:r>
      <w:r w:rsidRPr="00A03F41">
        <w:rPr>
          <w:rFonts w:ascii="Garamond" w:hAnsi="Garamond"/>
          <w:bCs/>
          <w:i/>
          <w:iCs/>
          <w:sz w:val="20"/>
          <w:szCs w:val="20"/>
        </w:rPr>
        <w:t>Journal of the American Society of Nephrology, 31</w:t>
      </w:r>
      <w:r w:rsidRPr="00A03F41">
        <w:rPr>
          <w:rFonts w:ascii="Garamond" w:hAnsi="Garamond"/>
          <w:bCs/>
          <w:iCs/>
          <w:sz w:val="20"/>
          <w:szCs w:val="20"/>
        </w:rPr>
        <w:t xml:space="preserve">(2), 393–404. </w:t>
      </w:r>
      <w:hyperlink r:id="rId32" w:history="1">
        <w:r w:rsidRPr="00A03F41">
          <w:rPr>
            <w:rStyle w:val="Hyperlink"/>
            <w:rFonts w:ascii="Garamond" w:hAnsi="Garamond"/>
            <w:bCs/>
            <w:iCs/>
            <w:sz w:val="20"/>
            <w:szCs w:val="20"/>
          </w:rPr>
          <w:t>https://doi.org/10.1681/ASN.2019050501</w:t>
        </w:r>
      </w:hyperlink>
    </w:p>
    <w:p w14:paraId="04BCC3C0"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6. Piel, F. B., Patil, A. P., Howes, R. E., </w:t>
      </w:r>
      <w:proofErr w:type="spellStart"/>
      <w:r w:rsidRPr="00A03F41">
        <w:rPr>
          <w:rFonts w:ascii="Garamond" w:hAnsi="Garamond"/>
          <w:bCs/>
          <w:iCs/>
          <w:sz w:val="20"/>
          <w:szCs w:val="20"/>
        </w:rPr>
        <w:t>Nyangiri</w:t>
      </w:r>
      <w:proofErr w:type="spellEnd"/>
      <w:r w:rsidRPr="00A03F41">
        <w:rPr>
          <w:rFonts w:ascii="Garamond" w:hAnsi="Garamond"/>
          <w:bCs/>
          <w:iCs/>
          <w:sz w:val="20"/>
          <w:szCs w:val="20"/>
        </w:rPr>
        <w:t xml:space="preserve">, O. A., Gething, P. W., Dewi, M., &amp; Hay, S. I. (2013). Global epidemiology of sickle hemoglobin in neonates: A contemporary geostatistical model-based map and population estimates. </w:t>
      </w:r>
      <w:r w:rsidRPr="00A03F41">
        <w:rPr>
          <w:rFonts w:ascii="Garamond" w:hAnsi="Garamond"/>
          <w:bCs/>
          <w:i/>
          <w:iCs/>
          <w:sz w:val="20"/>
          <w:szCs w:val="20"/>
        </w:rPr>
        <w:t>The Lancet, 381</w:t>
      </w:r>
      <w:r w:rsidRPr="00A03F41">
        <w:rPr>
          <w:rFonts w:ascii="Garamond" w:hAnsi="Garamond"/>
          <w:bCs/>
          <w:iCs/>
          <w:sz w:val="20"/>
          <w:szCs w:val="20"/>
        </w:rPr>
        <w:t xml:space="preserve">(9861), 142–151. </w:t>
      </w:r>
      <w:hyperlink r:id="rId33" w:history="1">
        <w:r w:rsidRPr="00A03F41">
          <w:rPr>
            <w:rStyle w:val="Hyperlink"/>
            <w:rFonts w:ascii="Garamond" w:hAnsi="Garamond"/>
            <w:bCs/>
            <w:iCs/>
            <w:sz w:val="20"/>
            <w:szCs w:val="20"/>
          </w:rPr>
          <w:t>https://doi.org/10.1016/S0140-6736(12)61229-X</w:t>
        </w:r>
      </w:hyperlink>
    </w:p>
    <w:p w14:paraId="58AE4F07"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7. Edwards, O., Burris, A., Lua, J., Wilkie, D. J., Ezenwa, M. O., &amp; Doré, S. (2022). Influence of haptoglobin polymorphism on stroke in sickle cell disease patients. </w:t>
      </w:r>
      <w:r w:rsidRPr="00A03F41">
        <w:rPr>
          <w:rFonts w:ascii="Garamond" w:hAnsi="Garamond"/>
          <w:bCs/>
          <w:i/>
          <w:iCs/>
          <w:sz w:val="20"/>
          <w:szCs w:val="20"/>
        </w:rPr>
        <w:t>Genes, 13</w:t>
      </w:r>
      <w:r w:rsidRPr="00A03F41">
        <w:rPr>
          <w:rFonts w:ascii="Garamond" w:hAnsi="Garamond"/>
          <w:bCs/>
          <w:iCs/>
          <w:sz w:val="20"/>
          <w:szCs w:val="20"/>
        </w:rPr>
        <w:t xml:space="preserve">(1),144. </w:t>
      </w:r>
    </w:p>
    <w:p w14:paraId="321A94D0"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8. Schaer, D. J., Buehler, P. W., </w:t>
      </w:r>
      <w:proofErr w:type="spellStart"/>
      <w:r w:rsidRPr="00A03F41">
        <w:rPr>
          <w:rFonts w:ascii="Garamond" w:hAnsi="Garamond"/>
          <w:bCs/>
          <w:iCs/>
          <w:sz w:val="20"/>
          <w:szCs w:val="20"/>
        </w:rPr>
        <w:t>Alayash</w:t>
      </w:r>
      <w:proofErr w:type="spellEnd"/>
      <w:r w:rsidRPr="00A03F41">
        <w:rPr>
          <w:rFonts w:ascii="Garamond" w:hAnsi="Garamond"/>
          <w:bCs/>
          <w:iCs/>
          <w:sz w:val="20"/>
          <w:szCs w:val="20"/>
        </w:rPr>
        <w:t>, A. I., Belcher, J. D., &amp; Vercellotti, G. M. (2013). Hemolysis and free hemoglobin revisited: Exploring hemoglobin and hemin</w:t>
      </w:r>
      <w:r w:rsidRPr="00A03F41">
        <w:rPr>
          <w:rFonts w:ascii="Garamond" w:hAnsi="Garamond"/>
          <w:bCs/>
          <w:iCs/>
          <w:sz w:val="20"/>
          <w:szCs w:val="20"/>
        </w:rPr>
        <w:tab/>
        <w:t xml:space="preserve">scavengers as a novel class of therapeutic proteins. </w:t>
      </w:r>
      <w:r w:rsidRPr="00A03F41">
        <w:rPr>
          <w:rFonts w:ascii="Garamond" w:hAnsi="Garamond"/>
          <w:bCs/>
          <w:i/>
          <w:iCs/>
          <w:sz w:val="20"/>
          <w:szCs w:val="20"/>
        </w:rPr>
        <w:t>Blood</w:t>
      </w:r>
      <w:r w:rsidRPr="00A03F41">
        <w:rPr>
          <w:rFonts w:ascii="Garamond" w:hAnsi="Garamond"/>
          <w:bCs/>
          <w:iCs/>
          <w:sz w:val="20"/>
          <w:szCs w:val="20"/>
        </w:rPr>
        <w:t>,</w:t>
      </w:r>
      <w:r w:rsidRPr="00A03F41">
        <w:rPr>
          <w:rFonts w:ascii="Garamond" w:hAnsi="Garamond"/>
          <w:bCs/>
          <w:i/>
          <w:iCs/>
          <w:sz w:val="20"/>
          <w:szCs w:val="20"/>
        </w:rPr>
        <w:t xml:space="preserve"> 121</w:t>
      </w:r>
      <w:r w:rsidRPr="00A03F41">
        <w:rPr>
          <w:rFonts w:ascii="Garamond" w:hAnsi="Garamond"/>
          <w:bCs/>
          <w:iCs/>
          <w:sz w:val="20"/>
          <w:szCs w:val="20"/>
        </w:rPr>
        <w:t>(8), 1276–1284.</w:t>
      </w:r>
    </w:p>
    <w:p w14:paraId="634B197D"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9. Pereira, P. S., Pereira, D. A., </w:t>
      </w:r>
      <w:proofErr w:type="spellStart"/>
      <w:r w:rsidRPr="00A03F41">
        <w:rPr>
          <w:rFonts w:ascii="Garamond" w:hAnsi="Garamond"/>
          <w:bCs/>
          <w:iCs/>
          <w:sz w:val="20"/>
          <w:szCs w:val="20"/>
        </w:rPr>
        <w:t>Calmasini</w:t>
      </w:r>
      <w:proofErr w:type="spellEnd"/>
      <w:r w:rsidRPr="00A03F41">
        <w:rPr>
          <w:rFonts w:ascii="Garamond" w:hAnsi="Garamond"/>
          <w:bCs/>
          <w:iCs/>
          <w:sz w:val="20"/>
          <w:szCs w:val="20"/>
        </w:rPr>
        <w:t>, F. B., Reis, L. O., Brinkman, N., Burnett, A. L., Costa, F. F., &amp; Silva, F. H. (2022). Haptoglobin treatment contributes to regulating nitric oxide signal and reduces oxidative stress in the penis: A preventive treatment</w:t>
      </w:r>
      <w:r w:rsidRPr="00A03F41">
        <w:rPr>
          <w:rFonts w:ascii="Garamond" w:hAnsi="Garamond"/>
          <w:bCs/>
          <w:iCs/>
          <w:sz w:val="20"/>
          <w:szCs w:val="20"/>
        </w:rPr>
        <w:tab/>
        <w:t xml:space="preserve">for priapism in sickle cell disease. </w:t>
      </w:r>
      <w:r w:rsidRPr="00A03F41">
        <w:rPr>
          <w:rFonts w:ascii="Garamond" w:hAnsi="Garamond"/>
          <w:bCs/>
          <w:i/>
          <w:iCs/>
          <w:sz w:val="20"/>
          <w:szCs w:val="20"/>
        </w:rPr>
        <w:t>Frontiers in Physiology, 13</w:t>
      </w:r>
      <w:r w:rsidRPr="00A03F41">
        <w:rPr>
          <w:rFonts w:ascii="Garamond" w:hAnsi="Garamond"/>
          <w:bCs/>
          <w:iCs/>
          <w:sz w:val="20"/>
          <w:szCs w:val="20"/>
        </w:rPr>
        <w:t>, 961534.</w:t>
      </w:r>
    </w:p>
    <w:p w14:paraId="531DAE25"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10. </w:t>
      </w:r>
      <w:proofErr w:type="spellStart"/>
      <w:r w:rsidRPr="00A03F41">
        <w:rPr>
          <w:rFonts w:ascii="Garamond" w:hAnsi="Garamond"/>
          <w:bCs/>
          <w:iCs/>
          <w:sz w:val="20"/>
          <w:szCs w:val="20"/>
        </w:rPr>
        <w:t>Gbotosho</w:t>
      </w:r>
      <w:proofErr w:type="spellEnd"/>
      <w:r w:rsidRPr="00A03F41">
        <w:rPr>
          <w:rFonts w:ascii="Garamond" w:hAnsi="Garamond"/>
          <w:bCs/>
          <w:iCs/>
          <w:sz w:val="20"/>
          <w:szCs w:val="20"/>
        </w:rPr>
        <w:t xml:space="preserve">, O. T., </w:t>
      </w:r>
      <w:proofErr w:type="spellStart"/>
      <w:r w:rsidRPr="00A03F41">
        <w:rPr>
          <w:rFonts w:ascii="Garamond" w:hAnsi="Garamond"/>
          <w:bCs/>
          <w:iCs/>
          <w:sz w:val="20"/>
          <w:szCs w:val="20"/>
        </w:rPr>
        <w:t>Kapetanaki</w:t>
      </w:r>
      <w:proofErr w:type="spellEnd"/>
      <w:r w:rsidRPr="00A03F41">
        <w:rPr>
          <w:rFonts w:ascii="Garamond" w:hAnsi="Garamond"/>
          <w:bCs/>
          <w:iCs/>
          <w:sz w:val="20"/>
          <w:szCs w:val="20"/>
        </w:rPr>
        <w:t xml:space="preserve">, M. G., &amp; Kato, G. J. (2021). The worst things in life are free: The role of free heme in sickle cell disease. </w:t>
      </w:r>
      <w:r w:rsidRPr="00A03F41">
        <w:rPr>
          <w:rFonts w:ascii="Garamond" w:hAnsi="Garamond"/>
          <w:bCs/>
          <w:i/>
          <w:iCs/>
          <w:sz w:val="20"/>
          <w:szCs w:val="20"/>
        </w:rPr>
        <w:t>Frontiers in Immunology, 11</w:t>
      </w:r>
      <w:r w:rsidRPr="00A03F41">
        <w:rPr>
          <w:rFonts w:ascii="Garamond" w:hAnsi="Garamond"/>
          <w:bCs/>
          <w:iCs/>
          <w:sz w:val="20"/>
          <w:szCs w:val="20"/>
        </w:rPr>
        <w:t xml:space="preserve">, 561917. </w:t>
      </w:r>
    </w:p>
    <w:p w14:paraId="34AEA433" w14:textId="77777777" w:rsidR="00A03F41" w:rsidRPr="00A03F41" w:rsidRDefault="00A03F41" w:rsidP="00501798">
      <w:pPr>
        <w:ind w:left="284" w:hanging="284"/>
        <w:rPr>
          <w:rFonts w:ascii="Garamond" w:hAnsi="Garamond"/>
          <w:bCs/>
          <w:iCs/>
          <w:sz w:val="20"/>
          <w:szCs w:val="20"/>
        </w:rPr>
      </w:pPr>
      <w:bookmarkStart w:id="22" w:name="_Hlk202096408"/>
      <w:r w:rsidRPr="00A03F41">
        <w:rPr>
          <w:rFonts w:ascii="Garamond" w:hAnsi="Garamond"/>
          <w:bCs/>
          <w:iCs/>
          <w:sz w:val="20"/>
          <w:szCs w:val="20"/>
        </w:rPr>
        <w:t xml:space="preserve">11. Xue, J., &amp; Li, X. (2024). Therapeutics for sickle cell disease intravascular hemolysis. </w:t>
      </w:r>
      <w:r w:rsidRPr="00A03F41">
        <w:rPr>
          <w:rFonts w:ascii="Garamond" w:hAnsi="Garamond"/>
          <w:bCs/>
          <w:i/>
          <w:iCs/>
          <w:sz w:val="20"/>
          <w:szCs w:val="20"/>
        </w:rPr>
        <w:t>Frontiers in</w:t>
      </w:r>
      <w:r w:rsidRPr="00A03F41">
        <w:rPr>
          <w:rFonts w:ascii="Garamond" w:hAnsi="Garamond"/>
          <w:bCs/>
          <w:iCs/>
          <w:sz w:val="20"/>
          <w:szCs w:val="20"/>
        </w:rPr>
        <w:t xml:space="preserve"> </w:t>
      </w:r>
      <w:r w:rsidRPr="00A03F41">
        <w:rPr>
          <w:rFonts w:ascii="Garamond" w:hAnsi="Garamond"/>
          <w:bCs/>
          <w:i/>
          <w:iCs/>
          <w:sz w:val="20"/>
          <w:szCs w:val="20"/>
        </w:rPr>
        <w:t>Physiology</w:t>
      </w:r>
      <w:r w:rsidRPr="00A03F41">
        <w:rPr>
          <w:rFonts w:ascii="Garamond" w:hAnsi="Garamond"/>
          <w:bCs/>
          <w:iCs/>
          <w:sz w:val="20"/>
          <w:szCs w:val="20"/>
        </w:rPr>
        <w:t>,</w:t>
      </w:r>
      <w:r w:rsidRPr="00A03F41">
        <w:rPr>
          <w:rFonts w:ascii="Garamond" w:hAnsi="Garamond"/>
          <w:bCs/>
          <w:i/>
          <w:iCs/>
          <w:sz w:val="20"/>
          <w:szCs w:val="20"/>
        </w:rPr>
        <w:t xml:space="preserve"> 15</w:t>
      </w:r>
      <w:r w:rsidRPr="00A03F41">
        <w:rPr>
          <w:rFonts w:ascii="Garamond" w:hAnsi="Garamond"/>
          <w:bCs/>
          <w:iCs/>
          <w:sz w:val="20"/>
          <w:szCs w:val="20"/>
        </w:rPr>
        <w:t xml:space="preserve">, 1474569. </w:t>
      </w:r>
      <w:bookmarkEnd w:id="22"/>
    </w:p>
    <w:p w14:paraId="2ADDFB71"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12. Barcelos, R. P., Stefanello, S. T., </w:t>
      </w:r>
      <w:proofErr w:type="spellStart"/>
      <w:r w:rsidRPr="00A03F41">
        <w:rPr>
          <w:rFonts w:ascii="Garamond" w:hAnsi="Garamond"/>
          <w:bCs/>
          <w:iCs/>
          <w:sz w:val="20"/>
          <w:szCs w:val="20"/>
        </w:rPr>
        <w:t>Mauriz</w:t>
      </w:r>
      <w:proofErr w:type="spellEnd"/>
      <w:r w:rsidRPr="00A03F41">
        <w:rPr>
          <w:rFonts w:ascii="Garamond" w:hAnsi="Garamond"/>
          <w:bCs/>
          <w:iCs/>
          <w:sz w:val="20"/>
          <w:szCs w:val="20"/>
        </w:rPr>
        <w:t xml:space="preserve">, J. L., Gonzalez-Gallego, J., Soares, F. A. (2016). Creatine and the Liver: Metabolism and Possible Interactions. </w:t>
      </w:r>
      <w:r w:rsidRPr="00A03F41">
        <w:rPr>
          <w:rFonts w:ascii="Garamond" w:hAnsi="Garamond"/>
          <w:bCs/>
          <w:i/>
          <w:iCs/>
          <w:sz w:val="20"/>
          <w:szCs w:val="20"/>
        </w:rPr>
        <w:t>Mini Reviews in</w:t>
      </w:r>
      <w:r w:rsidRPr="00A03F41">
        <w:rPr>
          <w:rFonts w:ascii="Garamond" w:hAnsi="Garamond"/>
          <w:bCs/>
          <w:i/>
          <w:iCs/>
          <w:sz w:val="20"/>
          <w:szCs w:val="20"/>
        </w:rPr>
        <w:tab/>
        <w:t>Medicinal Chemistry</w:t>
      </w:r>
      <w:r w:rsidRPr="00A03F41">
        <w:rPr>
          <w:rFonts w:ascii="Garamond" w:hAnsi="Garamond"/>
          <w:bCs/>
          <w:iCs/>
          <w:sz w:val="20"/>
          <w:szCs w:val="20"/>
        </w:rPr>
        <w:t xml:space="preserve">, </w:t>
      </w:r>
      <w:r w:rsidRPr="00A03F41">
        <w:rPr>
          <w:rFonts w:ascii="Garamond" w:hAnsi="Garamond"/>
          <w:bCs/>
          <w:i/>
          <w:iCs/>
          <w:sz w:val="20"/>
          <w:szCs w:val="20"/>
        </w:rPr>
        <w:t>16</w:t>
      </w:r>
      <w:r w:rsidRPr="00A03F41">
        <w:rPr>
          <w:rFonts w:ascii="Garamond" w:hAnsi="Garamond"/>
          <w:bCs/>
          <w:iCs/>
          <w:sz w:val="20"/>
          <w:szCs w:val="20"/>
        </w:rPr>
        <w:t>(1), 12–18.</w:t>
      </w:r>
    </w:p>
    <w:p w14:paraId="2103D965"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13. Samra, M., &amp; </w:t>
      </w:r>
      <w:proofErr w:type="spellStart"/>
      <w:r w:rsidRPr="00A03F41">
        <w:rPr>
          <w:rFonts w:ascii="Garamond" w:hAnsi="Garamond"/>
          <w:bCs/>
          <w:iCs/>
          <w:sz w:val="20"/>
          <w:szCs w:val="20"/>
        </w:rPr>
        <w:t>Abcar</w:t>
      </w:r>
      <w:proofErr w:type="spellEnd"/>
      <w:r w:rsidRPr="00A03F41">
        <w:rPr>
          <w:rFonts w:ascii="Garamond" w:hAnsi="Garamond"/>
          <w:bCs/>
          <w:iCs/>
          <w:sz w:val="20"/>
          <w:szCs w:val="20"/>
        </w:rPr>
        <w:t xml:space="preserve">, A. C. (2012). False estimates of elevated creatinine. </w:t>
      </w:r>
      <w:r w:rsidRPr="00A03F41">
        <w:rPr>
          <w:rFonts w:ascii="Garamond" w:hAnsi="Garamond"/>
          <w:bCs/>
          <w:i/>
          <w:iCs/>
          <w:sz w:val="20"/>
          <w:szCs w:val="20"/>
        </w:rPr>
        <w:t>The Permanente Journal,</w:t>
      </w:r>
      <w:r w:rsidRPr="00A03F41">
        <w:rPr>
          <w:rFonts w:ascii="Garamond" w:hAnsi="Garamond"/>
          <w:bCs/>
          <w:iCs/>
          <w:sz w:val="20"/>
          <w:szCs w:val="20"/>
        </w:rPr>
        <w:t xml:space="preserve"> </w:t>
      </w:r>
      <w:r w:rsidRPr="00A03F41">
        <w:rPr>
          <w:rFonts w:ascii="Garamond" w:hAnsi="Garamond"/>
          <w:bCs/>
          <w:i/>
          <w:iCs/>
          <w:sz w:val="20"/>
          <w:szCs w:val="20"/>
        </w:rPr>
        <w:t>16</w:t>
      </w:r>
      <w:r w:rsidRPr="00A03F41">
        <w:rPr>
          <w:rFonts w:ascii="Garamond" w:hAnsi="Garamond"/>
          <w:bCs/>
          <w:iCs/>
          <w:sz w:val="20"/>
          <w:szCs w:val="20"/>
        </w:rPr>
        <w:t xml:space="preserve">(2), 51–52. </w:t>
      </w:r>
      <w:hyperlink r:id="rId34" w:history="1">
        <w:r w:rsidRPr="00A03F41">
          <w:rPr>
            <w:rStyle w:val="Hyperlink"/>
            <w:rFonts w:ascii="Garamond" w:hAnsi="Garamond"/>
            <w:bCs/>
            <w:iCs/>
            <w:sz w:val="20"/>
            <w:szCs w:val="20"/>
          </w:rPr>
          <w:t>https://doi.org/10.7812/tpp/11-125</w:t>
        </w:r>
      </w:hyperlink>
    </w:p>
    <w:p w14:paraId="2BB7CC23"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14. Schmitt, F., Martinez, F., Brillet, G., Giatras, I., </w:t>
      </w:r>
      <w:proofErr w:type="spellStart"/>
      <w:r w:rsidRPr="00A03F41">
        <w:rPr>
          <w:rFonts w:ascii="Garamond" w:hAnsi="Garamond"/>
          <w:bCs/>
          <w:iCs/>
          <w:sz w:val="20"/>
          <w:szCs w:val="20"/>
        </w:rPr>
        <w:t>Choukroun</w:t>
      </w:r>
      <w:proofErr w:type="spellEnd"/>
      <w:r w:rsidRPr="00A03F41">
        <w:rPr>
          <w:rFonts w:ascii="Garamond" w:hAnsi="Garamond"/>
          <w:bCs/>
          <w:iCs/>
          <w:sz w:val="20"/>
          <w:szCs w:val="20"/>
        </w:rPr>
        <w:t>, G., &amp; Girot, R. (1998). Early</w:t>
      </w:r>
    </w:p>
    <w:p w14:paraId="451F2964" w14:textId="60CEC029"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glomerular dysfunction in patients with sickle cell anemia. </w:t>
      </w:r>
      <w:r w:rsidRPr="00A03F41">
        <w:rPr>
          <w:rFonts w:ascii="Garamond" w:hAnsi="Garamond"/>
          <w:bCs/>
          <w:i/>
          <w:iCs/>
          <w:sz w:val="20"/>
          <w:szCs w:val="20"/>
        </w:rPr>
        <w:t>American Journal of Kidney Diseases, 32</w:t>
      </w:r>
      <w:r w:rsidRPr="00A03F41">
        <w:rPr>
          <w:rFonts w:ascii="Garamond" w:hAnsi="Garamond"/>
          <w:bCs/>
          <w:iCs/>
          <w:sz w:val="20"/>
          <w:szCs w:val="20"/>
        </w:rPr>
        <w:t xml:space="preserve">(2), 208–214. </w:t>
      </w:r>
      <w:hyperlink r:id="rId35" w:history="1">
        <w:r w:rsidRPr="00A03F41">
          <w:rPr>
            <w:rStyle w:val="Hyperlink"/>
            <w:rFonts w:ascii="Garamond" w:hAnsi="Garamond"/>
            <w:bCs/>
            <w:iCs/>
            <w:sz w:val="20"/>
            <w:szCs w:val="20"/>
          </w:rPr>
          <w:t>https://doi.org/10.1053/ajkd.1998.v32.pm9696716</w:t>
        </w:r>
      </w:hyperlink>
    </w:p>
    <w:p w14:paraId="721804A8"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15. </w:t>
      </w:r>
      <w:proofErr w:type="spellStart"/>
      <w:r w:rsidRPr="00A03F41">
        <w:rPr>
          <w:rFonts w:ascii="Garamond" w:hAnsi="Garamond"/>
          <w:bCs/>
          <w:iCs/>
          <w:sz w:val="20"/>
          <w:szCs w:val="20"/>
        </w:rPr>
        <w:t>Alaje</w:t>
      </w:r>
      <w:proofErr w:type="spellEnd"/>
      <w:r w:rsidRPr="00A03F41">
        <w:rPr>
          <w:rFonts w:ascii="Garamond" w:hAnsi="Garamond"/>
          <w:bCs/>
          <w:iCs/>
          <w:sz w:val="20"/>
          <w:szCs w:val="20"/>
        </w:rPr>
        <w:t xml:space="preserve">-Abiodun </w:t>
      </w:r>
      <w:proofErr w:type="gramStart"/>
      <w:r w:rsidRPr="00A03F41">
        <w:rPr>
          <w:rFonts w:ascii="Garamond" w:hAnsi="Garamond"/>
          <w:bCs/>
          <w:iCs/>
          <w:sz w:val="20"/>
          <w:szCs w:val="20"/>
        </w:rPr>
        <w:t>K. ,</w:t>
      </w:r>
      <w:proofErr w:type="gramEnd"/>
      <w:r w:rsidRPr="00A03F41">
        <w:rPr>
          <w:rFonts w:ascii="Garamond" w:hAnsi="Garamond"/>
          <w:bCs/>
          <w:iCs/>
          <w:sz w:val="20"/>
          <w:szCs w:val="20"/>
        </w:rPr>
        <w:t xml:space="preserve"> </w:t>
      </w:r>
      <w:proofErr w:type="spellStart"/>
      <w:r w:rsidRPr="00A03F41">
        <w:rPr>
          <w:rFonts w:ascii="Garamond" w:hAnsi="Garamond"/>
          <w:bCs/>
          <w:iCs/>
          <w:sz w:val="20"/>
          <w:szCs w:val="20"/>
        </w:rPr>
        <w:t>Nwogoh</w:t>
      </w:r>
      <w:proofErr w:type="spellEnd"/>
      <w:r w:rsidRPr="00A03F41">
        <w:rPr>
          <w:rFonts w:ascii="Garamond" w:hAnsi="Garamond"/>
          <w:bCs/>
          <w:iCs/>
          <w:sz w:val="20"/>
          <w:szCs w:val="20"/>
        </w:rPr>
        <w:t xml:space="preserve"> B., &amp; </w:t>
      </w:r>
      <w:proofErr w:type="spellStart"/>
      <w:r w:rsidRPr="00A03F41">
        <w:rPr>
          <w:rFonts w:ascii="Garamond" w:hAnsi="Garamond"/>
          <w:bCs/>
          <w:iCs/>
          <w:sz w:val="20"/>
          <w:szCs w:val="20"/>
        </w:rPr>
        <w:t>Idogun</w:t>
      </w:r>
      <w:proofErr w:type="spellEnd"/>
      <w:r w:rsidRPr="00A03F41">
        <w:rPr>
          <w:rFonts w:ascii="Garamond" w:hAnsi="Garamond"/>
          <w:bCs/>
          <w:iCs/>
          <w:sz w:val="20"/>
          <w:szCs w:val="20"/>
        </w:rPr>
        <w:t xml:space="preserve"> S. (2016). β2 </w:t>
      </w:r>
      <w:proofErr w:type="spellStart"/>
      <w:r w:rsidRPr="00A03F41">
        <w:rPr>
          <w:rFonts w:ascii="Garamond" w:hAnsi="Garamond"/>
          <w:bCs/>
          <w:iCs/>
          <w:sz w:val="20"/>
          <w:szCs w:val="20"/>
        </w:rPr>
        <w:t>Microglobulin</w:t>
      </w:r>
      <w:proofErr w:type="spellEnd"/>
      <w:r w:rsidRPr="00A03F41">
        <w:rPr>
          <w:rFonts w:ascii="Garamond" w:hAnsi="Garamond"/>
          <w:bCs/>
          <w:iCs/>
          <w:sz w:val="20"/>
          <w:szCs w:val="20"/>
        </w:rPr>
        <w:t xml:space="preserve"> as A Marker of Early Renal Damage in Patients with Sickle Cell Nephropathy. Journal of Dental and Medical Sciences, 15(8) 2279-0861.</w:t>
      </w:r>
    </w:p>
    <w:p w14:paraId="1E77842A"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16. Marouf, R., </w:t>
      </w:r>
      <w:proofErr w:type="spellStart"/>
      <w:r w:rsidRPr="00A03F41">
        <w:rPr>
          <w:rFonts w:ascii="Garamond" w:hAnsi="Garamond"/>
          <w:bCs/>
          <w:iCs/>
          <w:sz w:val="20"/>
          <w:szCs w:val="20"/>
        </w:rPr>
        <w:t>Mojiminiyi</w:t>
      </w:r>
      <w:proofErr w:type="spellEnd"/>
      <w:r w:rsidRPr="00A03F41">
        <w:rPr>
          <w:rFonts w:ascii="Garamond" w:hAnsi="Garamond"/>
          <w:bCs/>
          <w:iCs/>
          <w:sz w:val="20"/>
          <w:szCs w:val="20"/>
        </w:rPr>
        <w:t xml:space="preserve">, O., Abdella, N., </w:t>
      </w:r>
      <w:proofErr w:type="spellStart"/>
      <w:r w:rsidRPr="00A03F41">
        <w:rPr>
          <w:rFonts w:ascii="Garamond" w:hAnsi="Garamond"/>
          <w:bCs/>
          <w:iCs/>
          <w:sz w:val="20"/>
          <w:szCs w:val="20"/>
        </w:rPr>
        <w:t>Kortom</w:t>
      </w:r>
      <w:proofErr w:type="spellEnd"/>
      <w:r w:rsidRPr="00A03F41">
        <w:rPr>
          <w:rFonts w:ascii="Garamond" w:hAnsi="Garamond"/>
          <w:bCs/>
          <w:iCs/>
          <w:sz w:val="20"/>
          <w:szCs w:val="20"/>
        </w:rPr>
        <w:t xml:space="preserve">, M., &amp; Al Wazzan, H. (2006). Comparison of renal function markers in Kuwaiti patients with sickle cell disease. </w:t>
      </w:r>
      <w:r w:rsidRPr="00A03F41">
        <w:rPr>
          <w:rFonts w:ascii="Garamond" w:hAnsi="Garamond"/>
          <w:bCs/>
          <w:i/>
          <w:iCs/>
          <w:sz w:val="20"/>
          <w:szCs w:val="20"/>
        </w:rPr>
        <w:t>Journal of Clinical Pathology, 59</w:t>
      </w:r>
      <w:r w:rsidRPr="00A03F41">
        <w:rPr>
          <w:rFonts w:ascii="Garamond" w:hAnsi="Garamond"/>
          <w:bCs/>
          <w:iCs/>
          <w:sz w:val="20"/>
          <w:szCs w:val="20"/>
        </w:rPr>
        <w:t xml:space="preserve">(4), 345–351. </w:t>
      </w:r>
      <w:hyperlink r:id="rId36" w:history="1">
        <w:r w:rsidRPr="00A03F41">
          <w:rPr>
            <w:rStyle w:val="Hyperlink"/>
            <w:rFonts w:ascii="Garamond" w:hAnsi="Garamond"/>
            <w:bCs/>
            <w:iCs/>
            <w:sz w:val="20"/>
            <w:szCs w:val="20"/>
          </w:rPr>
          <w:t>https://doi.org/10.1136/jcp.2005.031906</w:t>
        </w:r>
      </w:hyperlink>
    </w:p>
    <w:p w14:paraId="6A15FEB8"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17. Teo, S. H., &amp; Endre, Z. H. (2017). Biomarkers in acute kidney injury (AKI). </w:t>
      </w:r>
      <w:r w:rsidRPr="00A03F41">
        <w:rPr>
          <w:rFonts w:ascii="Garamond" w:hAnsi="Garamond"/>
          <w:bCs/>
          <w:i/>
          <w:iCs/>
          <w:sz w:val="20"/>
          <w:szCs w:val="20"/>
        </w:rPr>
        <w:t>Best Practice &amp;</w:t>
      </w:r>
      <w:r w:rsidRPr="00A03F41">
        <w:rPr>
          <w:rFonts w:ascii="Garamond" w:hAnsi="Garamond"/>
          <w:bCs/>
          <w:iCs/>
          <w:sz w:val="20"/>
          <w:szCs w:val="20"/>
        </w:rPr>
        <w:t xml:space="preserve"> </w:t>
      </w:r>
      <w:r w:rsidRPr="00A03F41">
        <w:rPr>
          <w:rFonts w:ascii="Garamond" w:hAnsi="Garamond"/>
          <w:bCs/>
          <w:i/>
          <w:iCs/>
          <w:sz w:val="20"/>
          <w:szCs w:val="20"/>
        </w:rPr>
        <w:t xml:space="preserve">Research Clinical </w:t>
      </w:r>
      <w:proofErr w:type="spellStart"/>
      <w:r w:rsidRPr="00A03F41">
        <w:rPr>
          <w:rFonts w:ascii="Garamond" w:hAnsi="Garamond"/>
          <w:bCs/>
          <w:i/>
          <w:iCs/>
          <w:sz w:val="20"/>
          <w:szCs w:val="20"/>
        </w:rPr>
        <w:t>Anaesthesiology</w:t>
      </w:r>
      <w:proofErr w:type="spellEnd"/>
      <w:r w:rsidRPr="00A03F41">
        <w:rPr>
          <w:rFonts w:ascii="Garamond" w:hAnsi="Garamond"/>
          <w:bCs/>
          <w:i/>
          <w:iCs/>
          <w:sz w:val="20"/>
          <w:szCs w:val="20"/>
        </w:rPr>
        <w:t>, 31</w:t>
      </w:r>
      <w:r w:rsidRPr="00A03F41">
        <w:rPr>
          <w:rFonts w:ascii="Garamond" w:hAnsi="Garamond"/>
          <w:bCs/>
          <w:iCs/>
          <w:sz w:val="20"/>
          <w:szCs w:val="20"/>
        </w:rPr>
        <w:t xml:space="preserve">(3), 331–344. </w:t>
      </w:r>
      <w:hyperlink r:id="rId37" w:history="1">
        <w:r w:rsidRPr="00A03F41">
          <w:rPr>
            <w:rStyle w:val="Hyperlink"/>
            <w:rFonts w:ascii="Garamond" w:hAnsi="Garamond"/>
            <w:bCs/>
            <w:iCs/>
            <w:sz w:val="20"/>
            <w:szCs w:val="20"/>
          </w:rPr>
          <w:t>https://doi.org/10.1016/j.bpa.2017.07.003</w:t>
        </w:r>
      </w:hyperlink>
    </w:p>
    <w:p w14:paraId="68D9D346"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18. Mishra, J., Ma, Q., Prada, A., </w:t>
      </w:r>
      <w:proofErr w:type="spellStart"/>
      <w:r w:rsidRPr="00A03F41">
        <w:rPr>
          <w:rFonts w:ascii="Garamond" w:hAnsi="Garamond"/>
          <w:bCs/>
          <w:iCs/>
          <w:sz w:val="20"/>
          <w:szCs w:val="20"/>
        </w:rPr>
        <w:t>Mitsnefes</w:t>
      </w:r>
      <w:proofErr w:type="spellEnd"/>
      <w:r w:rsidRPr="00A03F41">
        <w:rPr>
          <w:rFonts w:ascii="Garamond" w:hAnsi="Garamond"/>
          <w:bCs/>
          <w:iCs/>
          <w:sz w:val="20"/>
          <w:szCs w:val="20"/>
        </w:rPr>
        <w:t xml:space="preserve">, M., Zahedi, K., &amp; Yang, J. (2003). Identification of neutrophil gelatinase-associated lipocalin as a novel early </w:t>
      </w:r>
      <w:r w:rsidRPr="00A03F41">
        <w:rPr>
          <w:rFonts w:ascii="Garamond" w:hAnsi="Garamond"/>
          <w:bCs/>
          <w:iCs/>
          <w:sz w:val="20"/>
          <w:szCs w:val="20"/>
        </w:rPr>
        <w:lastRenderedPageBreak/>
        <w:t xml:space="preserve">urinary biomarker for ischemic renal injury. </w:t>
      </w:r>
      <w:r w:rsidRPr="00A03F41">
        <w:rPr>
          <w:rFonts w:ascii="Garamond" w:hAnsi="Garamond"/>
          <w:bCs/>
          <w:i/>
          <w:iCs/>
          <w:sz w:val="20"/>
          <w:szCs w:val="20"/>
        </w:rPr>
        <w:t>Journal of the American Society of Nephrology, 14</w:t>
      </w:r>
      <w:r w:rsidRPr="00A03F41">
        <w:rPr>
          <w:rFonts w:ascii="Garamond" w:hAnsi="Garamond"/>
          <w:bCs/>
          <w:iCs/>
          <w:sz w:val="20"/>
          <w:szCs w:val="20"/>
        </w:rPr>
        <w:t xml:space="preserve">(10), 2534-2543. </w:t>
      </w:r>
    </w:p>
    <w:p w14:paraId="078B1CFE"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19. Charlton, J. R., Portilla, D., &amp; </w:t>
      </w:r>
      <w:proofErr w:type="spellStart"/>
      <w:r w:rsidRPr="00A03F41">
        <w:rPr>
          <w:rFonts w:ascii="Garamond" w:hAnsi="Garamond"/>
          <w:bCs/>
          <w:iCs/>
          <w:sz w:val="20"/>
          <w:szCs w:val="20"/>
        </w:rPr>
        <w:t>Okusa</w:t>
      </w:r>
      <w:proofErr w:type="spellEnd"/>
      <w:r w:rsidRPr="00A03F41">
        <w:rPr>
          <w:rFonts w:ascii="Garamond" w:hAnsi="Garamond"/>
          <w:bCs/>
          <w:iCs/>
          <w:sz w:val="20"/>
          <w:szCs w:val="20"/>
        </w:rPr>
        <w:t xml:space="preserve">, M. D. (2014). A basic science view of acute kidney injury biomarkers. </w:t>
      </w:r>
      <w:r w:rsidRPr="00A03F41">
        <w:rPr>
          <w:rFonts w:ascii="Garamond" w:hAnsi="Garamond"/>
          <w:bCs/>
          <w:i/>
          <w:iCs/>
          <w:sz w:val="20"/>
          <w:szCs w:val="20"/>
        </w:rPr>
        <w:t>Nephrology Dialysis Transplantation</w:t>
      </w:r>
      <w:r w:rsidRPr="00A03F41">
        <w:rPr>
          <w:rFonts w:ascii="Garamond" w:hAnsi="Garamond"/>
          <w:bCs/>
          <w:iCs/>
          <w:sz w:val="20"/>
          <w:szCs w:val="20"/>
        </w:rPr>
        <w:t>,</w:t>
      </w:r>
      <w:r w:rsidRPr="00A03F41">
        <w:rPr>
          <w:rFonts w:ascii="Garamond" w:hAnsi="Garamond"/>
          <w:bCs/>
          <w:i/>
          <w:iCs/>
          <w:sz w:val="20"/>
          <w:szCs w:val="20"/>
        </w:rPr>
        <w:t xml:space="preserve"> 29</w:t>
      </w:r>
      <w:r w:rsidRPr="00A03F41">
        <w:rPr>
          <w:rFonts w:ascii="Garamond" w:hAnsi="Garamond"/>
          <w:bCs/>
          <w:iCs/>
          <w:sz w:val="20"/>
          <w:szCs w:val="20"/>
        </w:rPr>
        <w:t xml:space="preserve">(7), 1301–1311. </w:t>
      </w:r>
    </w:p>
    <w:p w14:paraId="7EE3F9B6"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20. Ichimura, T., </w:t>
      </w:r>
      <w:proofErr w:type="spellStart"/>
      <w:r w:rsidRPr="00A03F41">
        <w:rPr>
          <w:rFonts w:ascii="Garamond" w:hAnsi="Garamond"/>
          <w:bCs/>
          <w:iCs/>
          <w:sz w:val="20"/>
          <w:szCs w:val="20"/>
        </w:rPr>
        <w:t>Asseldonk</w:t>
      </w:r>
      <w:proofErr w:type="spellEnd"/>
      <w:r w:rsidRPr="00A03F41">
        <w:rPr>
          <w:rFonts w:ascii="Garamond" w:hAnsi="Garamond"/>
          <w:bCs/>
          <w:iCs/>
          <w:sz w:val="20"/>
          <w:szCs w:val="20"/>
        </w:rPr>
        <w:t>, E. J., Humphreys, B. D., Gunaratnam, L., Duffield, J. S., &amp; Bonventre, J. V. (2008). Kidney injury molecule-1 is a phosphatidylserine receptor</w:t>
      </w:r>
      <w:r w:rsidRPr="00A03F41">
        <w:rPr>
          <w:rFonts w:ascii="Garamond" w:hAnsi="Garamond"/>
          <w:bCs/>
          <w:iCs/>
          <w:sz w:val="20"/>
          <w:szCs w:val="20"/>
        </w:rPr>
        <w:tab/>
        <w:t xml:space="preserve">that confers a phagocytic phenotype on epithelial cells. </w:t>
      </w:r>
      <w:r w:rsidRPr="00A03F41">
        <w:rPr>
          <w:rFonts w:ascii="Garamond" w:hAnsi="Garamond"/>
          <w:bCs/>
          <w:i/>
          <w:iCs/>
          <w:sz w:val="20"/>
          <w:szCs w:val="20"/>
        </w:rPr>
        <w:t>Journal of Clinical</w:t>
      </w:r>
      <w:r w:rsidRPr="00A03F41">
        <w:rPr>
          <w:rFonts w:ascii="Garamond" w:hAnsi="Garamond"/>
          <w:bCs/>
          <w:i/>
          <w:iCs/>
          <w:sz w:val="20"/>
          <w:szCs w:val="20"/>
        </w:rPr>
        <w:tab/>
        <w:t>Investigation, 118</w:t>
      </w:r>
      <w:r w:rsidRPr="00A03F41">
        <w:rPr>
          <w:rFonts w:ascii="Garamond" w:hAnsi="Garamond"/>
          <w:bCs/>
          <w:iCs/>
          <w:sz w:val="20"/>
          <w:szCs w:val="20"/>
        </w:rPr>
        <w:t>(5), 1657-</w:t>
      </w:r>
      <w:r w:rsidRPr="00A03F41">
        <w:rPr>
          <w:rFonts w:ascii="Garamond" w:hAnsi="Garamond"/>
          <w:bCs/>
          <w:iCs/>
          <w:sz w:val="20"/>
          <w:szCs w:val="20"/>
        </w:rPr>
        <w:tab/>
        <w:t xml:space="preserve">1668. </w:t>
      </w:r>
    </w:p>
    <w:p w14:paraId="0AEFB93A"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21. Parikh, C. R., Jani, A., Melnikov, V. Y., Faubel, S., &amp; Edelstein, C. L. (2004). Urinary interleukin 18 is a marker of human acute tubular necrosis. </w:t>
      </w:r>
      <w:r w:rsidRPr="00A03F41">
        <w:rPr>
          <w:rFonts w:ascii="Garamond" w:hAnsi="Garamond"/>
          <w:bCs/>
          <w:i/>
          <w:iCs/>
          <w:sz w:val="20"/>
          <w:szCs w:val="20"/>
        </w:rPr>
        <w:t>American Journal of Kidney Diseases, 43</w:t>
      </w:r>
      <w:r w:rsidRPr="00A03F41">
        <w:rPr>
          <w:rFonts w:ascii="Garamond" w:hAnsi="Garamond"/>
          <w:bCs/>
          <w:iCs/>
          <w:sz w:val="20"/>
          <w:szCs w:val="20"/>
        </w:rPr>
        <w:t xml:space="preserve">(3), 405–414. </w:t>
      </w:r>
      <w:hyperlink r:id="rId38" w:history="1">
        <w:r w:rsidRPr="00A03F41">
          <w:rPr>
            <w:rStyle w:val="Hyperlink"/>
            <w:rFonts w:ascii="Garamond" w:hAnsi="Garamond"/>
            <w:bCs/>
            <w:iCs/>
            <w:sz w:val="20"/>
            <w:szCs w:val="20"/>
          </w:rPr>
          <w:t>https://doi.org/10.1053/j.ajkd.2003.10.040</w:t>
        </w:r>
      </w:hyperlink>
    </w:p>
    <w:p w14:paraId="29A18E29"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22. </w:t>
      </w:r>
      <w:proofErr w:type="spellStart"/>
      <w:r w:rsidRPr="00A03F41">
        <w:rPr>
          <w:rFonts w:ascii="Garamond" w:hAnsi="Garamond"/>
          <w:bCs/>
          <w:iCs/>
          <w:sz w:val="20"/>
          <w:szCs w:val="20"/>
        </w:rPr>
        <w:t>Odewusi</w:t>
      </w:r>
      <w:proofErr w:type="spellEnd"/>
      <w:r w:rsidRPr="00A03F41">
        <w:rPr>
          <w:rFonts w:ascii="Garamond" w:hAnsi="Garamond"/>
          <w:bCs/>
          <w:iCs/>
          <w:sz w:val="20"/>
          <w:szCs w:val="20"/>
        </w:rPr>
        <w:t xml:space="preserve">, O. O., T. S., O., Nzelu, C. A., Olaniyan, O. O., Obadire, S. O., &amp; Ogunyemi, O. M. (2023). Comparing cystatin C and KIM-1 to creatinine in the assessment of kidney injury in sickle cell patients. </w:t>
      </w:r>
      <w:r w:rsidRPr="00A03F41">
        <w:rPr>
          <w:rFonts w:ascii="Garamond" w:hAnsi="Garamond"/>
          <w:bCs/>
          <w:i/>
          <w:iCs/>
          <w:sz w:val="20"/>
          <w:szCs w:val="20"/>
        </w:rPr>
        <w:t>International Journal of Medical Laboratory Research</w:t>
      </w:r>
      <w:r w:rsidRPr="00A03F41">
        <w:rPr>
          <w:rFonts w:ascii="Garamond" w:hAnsi="Garamond"/>
          <w:bCs/>
          <w:iCs/>
          <w:sz w:val="20"/>
          <w:szCs w:val="20"/>
        </w:rPr>
        <w:t xml:space="preserve">, 8(2), 8-16. </w:t>
      </w:r>
      <w:r w:rsidRPr="00A03F41">
        <w:rPr>
          <w:rFonts w:ascii="Garamond" w:hAnsi="Garamond"/>
          <w:bCs/>
          <w:iCs/>
          <w:sz w:val="20"/>
          <w:szCs w:val="20"/>
          <w:u w:val="single"/>
        </w:rPr>
        <w:t>https://doi.org/</w:t>
      </w:r>
      <w:hyperlink r:id="rId39" w:tgtFrame="_blank" w:history="1">
        <w:r w:rsidRPr="00A03F41">
          <w:rPr>
            <w:rStyle w:val="Hyperlink"/>
            <w:rFonts w:ascii="Garamond" w:hAnsi="Garamond"/>
            <w:bCs/>
            <w:iCs/>
            <w:sz w:val="20"/>
            <w:szCs w:val="20"/>
          </w:rPr>
          <w:t>10.35503/ijmlr.2023.8202</w:t>
        </w:r>
      </w:hyperlink>
    </w:p>
    <w:p w14:paraId="35D77531"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23. Farris, N., Benoit, S. W., McNinch, N. L., &amp; Bodas, P. (2023). Urinary biomarkers for the</w:t>
      </w:r>
    </w:p>
    <w:p w14:paraId="25B7986B"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assessment of acute kidney injury of pediatric sickle cell anemia patients admitted for severe </w:t>
      </w:r>
      <w:proofErr w:type="spellStart"/>
      <w:r w:rsidRPr="00A03F41">
        <w:rPr>
          <w:rFonts w:ascii="Garamond" w:hAnsi="Garamond"/>
          <w:bCs/>
          <w:iCs/>
          <w:sz w:val="20"/>
          <w:szCs w:val="20"/>
        </w:rPr>
        <w:t>vaso</w:t>
      </w:r>
      <w:proofErr w:type="spellEnd"/>
      <w:r w:rsidRPr="00A03F41">
        <w:rPr>
          <w:rFonts w:ascii="Garamond" w:hAnsi="Garamond"/>
          <w:bCs/>
          <w:iCs/>
          <w:sz w:val="20"/>
          <w:szCs w:val="20"/>
        </w:rPr>
        <w:t xml:space="preserve">-occlusive crises. </w:t>
      </w:r>
      <w:r w:rsidRPr="00A03F41">
        <w:rPr>
          <w:rFonts w:ascii="Garamond" w:hAnsi="Garamond"/>
          <w:bCs/>
          <w:i/>
          <w:iCs/>
          <w:sz w:val="20"/>
          <w:szCs w:val="20"/>
        </w:rPr>
        <w:t>Journal of Pediatric Hematology/Oncology, 45</w:t>
      </w:r>
      <w:r w:rsidRPr="00A03F41">
        <w:rPr>
          <w:rFonts w:ascii="Garamond" w:hAnsi="Garamond"/>
          <w:bCs/>
          <w:iCs/>
          <w:sz w:val="20"/>
          <w:szCs w:val="20"/>
        </w:rPr>
        <w:t xml:space="preserve">(4), 309–314. </w:t>
      </w:r>
      <w:hyperlink r:id="rId40" w:tgtFrame="_new" w:history="1">
        <w:r w:rsidRPr="00A03F41">
          <w:rPr>
            <w:rStyle w:val="Hyperlink"/>
            <w:rFonts w:ascii="Garamond" w:hAnsi="Garamond"/>
            <w:bCs/>
            <w:iCs/>
            <w:sz w:val="20"/>
            <w:szCs w:val="20"/>
          </w:rPr>
          <w:t>https://doi.org/10.1097/MPH.0000000000002642</w:t>
        </w:r>
      </w:hyperlink>
    </w:p>
    <w:p w14:paraId="0F5EFC84" w14:textId="51849DD1"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24. </w:t>
      </w:r>
      <w:proofErr w:type="spellStart"/>
      <w:r w:rsidRPr="00A03F41">
        <w:rPr>
          <w:rFonts w:ascii="Garamond" w:hAnsi="Garamond"/>
          <w:bCs/>
          <w:iCs/>
          <w:sz w:val="20"/>
          <w:szCs w:val="20"/>
        </w:rPr>
        <w:t>Ojewunmi</w:t>
      </w:r>
      <w:proofErr w:type="spellEnd"/>
      <w:r w:rsidRPr="00A03F41">
        <w:rPr>
          <w:rFonts w:ascii="Garamond" w:hAnsi="Garamond"/>
          <w:bCs/>
          <w:iCs/>
          <w:sz w:val="20"/>
          <w:szCs w:val="20"/>
        </w:rPr>
        <w:t xml:space="preserve">, O. O., Adeyemo, T. A., Oyetunji, A. I., Benn, Y., Ekpo, M. G., &amp; </w:t>
      </w:r>
      <w:proofErr w:type="spellStart"/>
      <w:r w:rsidRPr="00A03F41">
        <w:rPr>
          <w:rFonts w:ascii="Garamond" w:hAnsi="Garamond"/>
          <w:bCs/>
          <w:iCs/>
          <w:sz w:val="20"/>
          <w:szCs w:val="20"/>
        </w:rPr>
        <w:t>Iwalokun</w:t>
      </w:r>
      <w:proofErr w:type="spellEnd"/>
      <w:r w:rsidRPr="00A03F41">
        <w:rPr>
          <w:rFonts w:ascii="Garamond" w:hAnsi="Garamond"/>
          <w:bCs/>
          <w:iCs/>
          <w:sz w:val="20"/>
          <w:szCs w:val="20"/>
        </w:rPr>
        <w:t>, B. A. (2021). Association of alpha-thalassemia and Glucose-6-Phosphate</w:t>
      </w:r>
      <w:r w:rsidRPr="00A03F41">
        <w:rPr>
          <w:rFonts w:ascii="Garamond" w:hAnsi="Garamond"/>
          <w:bCs/>
          <w:iCs/>
          <w:sz w:val="20"/>
          <w:szCs w:val="20"/>
        </w:rPr>
        <w:tab/>
        <w:t>Dehydrogenase deficiency with transcranial Doppler ultrasonography in Nigerian</w:t>
      </w:r>
      <w:r>
        <w:rPr>
          <w:rFonts w:ascii="Garamond" w:hAnsi="Garamond"/>
          <w:bCs/>
          <w:iCs/>
          <w:sz w:val="20"/>
          <w:szCs w:val="20"/>
        </w:rPr>
        <w:t xml:space="preserve"> </w:t>
      </w:r>
      <w:r w:rsidRPr="00A03F41">
        <w:rPr>
          <w:rFonts w:ascii="Garamond" w:hAnsi="Garamond"/>
          <w:bCs/>
          <w:iCs/>
          <w:sz w:val="20"/>
          <w:szCs w:val="20"/>
        </w:rPr>
        <w:t xml:space="preserve">children with sickle cell anemia. </w:t>
      </w:r>
      <w:r w:rsidRPr="00A03F41">
        <w:rPr>
          <w:rFonts w:ascii="Garamond" w:hAnsi="Garamond"/>
          <w:bCs/>
          <w:i/>
          <w:iCs/>
          <w:sz w:val="20"/>
          <w:szCs w:val="20"/>
        </w:rPr>
        <w:t>Journal of Clinical Laboratory Analysis</w:t>
      </w:r>
      <w:r w:rsidRPr="00A03F41">
        <w:rPr>
          <w:rFonts w:ascii="Garamond" w:hAnsi="Garamond"/>
          <w:bCs/>
          <w:iCs/>
          <w:sz w:val="20"/>
          <w:szCs w:val="20"/>
        </w:rPr>
        <w:t xml:space="preserve">, </w:t>
      </w:r>
      <w:r w:rsidRPr="00A03F41">
        <w:rPr>
          <w:rFonts w:ascii="Garamond" w:hAnsi="Garamond"/>
          <w:bCs/>
          <w:i/>
          <w:iCs/>
          <w:sz w:val="20"/>
          <w:szCs w:val="20"/>
        </w:rPr>
        <w:t>35</w:t>
      </w:r>
      <w:r w:rsidRPr="00A03F41">
        <w:rPr>
          <w:rFonts w:ascii="Garamond" w:hAnsi="Garamond"/>
          <w:bCs/>
          <w:iCs/>
          <w:sz w:val="20"/>
          <w:szCs w:val="20"/>
        </w:rPr>
        <w:t>(6),</w:t>
      </w:r>
      <w:r w:rsidRPr="00A03F41">
        <w:rPr>
          <w:rFonts w:ascii="Garamond" w:hAnsi="Garamond"/>
          <w:bCs/>
          <w:iCs/>
          <w:sz w:val="20"/>
          <w:szCs w:val="20"/>
        </w:rPr>
        <w:tab/>
        <w:t>e23802.</w:t>
      </w:r>
    </w:p>
    <w:p w14:paraId="012A31D7"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25. Kumar, A., &amp; Bhattacharya, S. (2024). Sickle cell disease: A comparative perspective on global and national initiatives. </w:t>
      </w:r>
      <w:r w:rsidRPr="00A03F41">
        <w:rPr>
          <w:rFonts w:ascii="Garamond" w:hAnsi="Garamond"/>
          <w:bCs/>
          <w:i/>
          <w:iCs/>
          <w:sz w:val="20"/>
          <w:szCs w:val="20"/>
        </w:rPr>
        <w:t>Frontiers in Hematology</w:t>
      </w:r>
      <w:r w:rsidRPr="00A03F41">
        <w:rPr>
          <w:rFonts w:ascii="Garamond" w:hAnsi="Garamond"/>
          <w:bCs/>
          <w:iCs/>
          <w:sz w:val="20"/>
          <w:szCs w:val="20"/>
        </w:rPr>
        <w:t xml:space="preserve">, </w:t>
      </w:r>
      <w:r w:rsidRPr="00A03F41">
        <w:rPr>
          <w:rFonts w:ascii="Garamond" w:hAnsi="Garamond"/>
          <w:bCs/>
          <w:i/>
          <w:iCs/>
          <w:sz w:val="20"/>
          <w:szCs w:val="20"/>
        </w:rPr>
        <w:t>3</w:t>
      </w:r>
      <w:r w:rsidRPr="00A03F41">
        <w:rPr>
          <w:rFonts w:ascii="Garamond" w:hAnsi="Garamond"/>
          <w:bCs/>
          <w:iCs/>
          <w:sz w:val="20"/>
          <w:szCs w:val="20"/>
        </w:rPr>
        <w:t>(2) 435-442.</w:t>
      </w:r>
    </w:p>
    <w:p w14:paraId="4AC6AF71"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26. Bathla, T., </w:t>
      </w:r>
      <w:proofErr w:type="spellStart"/>
      <w:r w:rsidRPr="00A03F41">
        <w:rPr>
          <w:rFonts w:ascii="Garamond" w:hAnsi="Garamond"/>
          <w:bCs/>
          <w:iCs/>
          <w:sz w:val="20"/>
          <w:szCs w:val="20"/>
        </w:rPr>
        <w:t>Lotfollahzadeh</w:t>
      </w:r>
      <w:proofErr w:type="spellEnd"/>
      <w:r w:rsidRPr="00A03F41">
        <w:rPr>
          <w:rFonts w:ascii="Garamond" w:hAnsi="Garamond"/>
          <w:bCs/>
          <w:iCs/>
          <w:sz w:val="20"/>
          <w:szCs w:val="20"/>
        </w:rPr>
        <w:t xml:space="preserve">, S., </w:t>
      </w:r>
      <w:proofErr w:type="spellStart"/>
      <w:r w:rsidRPr="00A03F41">
        <w:rPr>
          <w:rFonts w:ascii="Garamond" w:hAnsi="Garamond"/>
          <w:bCs/>
          <w:iCs/>
          <w:sz w:val="20"/>
          <w:szCs w:val="20"/>
        </w:rPr>
        <w:t>Quisel</w:t>
      </w:r>
      <w:proofErr w:type="spellEnd"/>
      <w:r w:rsidRPr="00A03F41">
        <w:rPr>
          <w:rFonts w:ascii="Garamond" w:hAnsi="Garamond"/>
          <w:bCs/>
          <w:iCs/>
          <w:sz w:val="20"/>
          <w:szCs w:val="20"/>
        </w:rPr>
        <w:t xml:space="preserve">, M., Mehta, M., Malikova, M., &amp; Chitalia, V. C. (2023). End Organ Affection in Sickle Cell Disease. </w:t>
      </w:r>
      <w:r w:rsidRPr="00A03F41">
        <w:rPr>
          <w:rFonts w:ascii="Garamond" w:hAnsi="Garamond"/>
          <w:bCs/>
          <w:i/>
          <w:iCs/>
          <w:sz w:val="20"/>
          <w:szCs w:val="20"/>
        </w:rPr>
        <w:t>Cells</w:t>
      </w:r>
      <w:r w:rsidRPr="00A03F41">
        <w:rPr>
          <w:rFonts w:ascii="Garamond" w:hAnsi="Garamond"/>
          <w:bCs/>
          <w:iCs/>
          <w:sz w:val="20"/>
          <w:szCs w:val="20"/>
        </w:rPr>
        <w:t xml:space="preserve">, </w:t>
      </w:r>
      <w:r w:rsidRPr="00A03F41">
        <w:rPr>
          <w:rFonts w:ascii="Garamond" w:hAnsi="Garamond"/>
          <w:bCs/>
          <w:i/>
          <w:iCs/>
          <w:sz w:val="20"/>
          <w:szCs w:val="20"/>
        </w:rPr>
        <w:t>13</w:t>
      </w:r>
      <w:r w:rsidRPr="00A03F41">
        <w:rPr>
          <w:rFonts w:ascii="Garamond" w:hAnsi="Garamond"/>
          <w:bCs/>
          <w:iCs/>
          <w:sz w:val="20"/>
          <w:szCs w:val="20"/>
        </w:rPr>
        <w:t>(11), 934.</w:t>
      </w:r>
    </w:p>
    <w:p w14:paraId="43454D94"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27. </w:t>
      </w:r>
      <w:proofErr w:type="spellStart"/>
      <w:r w:rsidRPr="00A03F41">
        <w:rPr>
          <w:rFonts w:ascii="Garamond" w:hAnsi="Garamond"/>
          <w:bCs/>
          <w:iCs/>
          <w:sz w:val="20"/>
          <w:szCs w:val="20"/>
        </w:rPr>
        <w:t>Lebensburger</w:t>
      </w:r>
      <w:proofErr w:type="spellEnd"/>
      <w:r w:rsidRPr="00A03F41">
        <w:rPr>
          <w:rFonts w:ascii="Garamond" w:hAnsi="Garamond"/>
          <w:bCs/>
          <w:iCs/>
          <w:sz w:val="20"/>
          <w:szCs w:val="20"/>
        </w:rPr>
        <w:t xml:space="preserve">, J. D., &amp; </w:t>
      </w:r>
      <w:proofErr w:type="spellStart"/>
      <w:r w:rsidRPr="00A03F41">
        <w:rPr>
          <w:rFonts w:ascii="Garamond" w:hAnsi="Garamond"/>
          <w:bCs/>
          <w:iCs/>
          <w:sz w:val="20"/>
          <w:szCs w:val="20"/>
        </w:rPr>
        <w:t>Derebail</w:t>
      </w:r>
      <w:proofErr w:type="spellEnd"/>
      <w:r w:rsidRPr="00A03F41">
        <w:rPr>
          <w:rFonts w:ascii="Garamond" w:hAnsi="Garamond"/>
          <w:bCs/>
          <w:iCs/>
          <w:sz w:val="20"/>
          <w:szCs w:val="20"/>
        </w:rPr>
        <w:t xml:space="preserve">, V. K. (2022). Sickle cell disease and the kidney: Filters gone awry. </w:t>
      </w:r>
      <w:r w:rsidRPr="00A03F41">
        <w:rPr>
          <w:rFonts w:ascii="Garamond" w:hAnsi="Garamond"/>
          <w:bCs/>
          <w:i/>
          <w:iCs/>
          <w:sz w:val="20"/>
          <w:szCs w:val="20"/>
        </w:rPr>
        <w:t>Hematology/Oncology Clinics of North America, 36</w:t>
      </w:r>
      <w:r w:rsidRPr="00A03F41">
        <w:rPr>
          <w:rFonts w:ascii="Garamond" w:hAnsi="Garamond"/>
          <w:bCs/>
          <w:iCs/>
          <w:sz w:val="20"/>
          <w:szCs w:val="20"/>
        </w:rPr>
        <w:t xml:space="preserve">(6), 1239–1254. </w:t>
      </w:r>
    </w:p>
    <w:p w14:paraId="54BE0FAA"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28. Kato, G. J., Piel, F. B., Reid, C. D., Gaston, M. H., Ohene-Frempong, K., Krishnamurti, L., Smith, W. R., Panepinto, J. A., Weatherall, D. J., Costa, F. F., </w:t>
      </w:r>
      <w:r w:rsidRPr="00A03F41">
        <w:rPr>
          <w:rFonts w:ascii="Garamond" w:hAnsi="Garamond"/>
          <w:bCs/>
          <w:iCs/>
          <w:sz w:val="20"/>
          <w:szCs w:val="20"/>
        </w:rPr>
        <w:t xml:space="preserve">&amp; </w:t>
      </w:r>
      <w:proofErr w:type="spellStart"/>
      <w:r w:rsidRPr="00A03F41">
        <w:rPr>
          <w:rFonts w:ascii="Garamond" w:hAnsi="Garamond"/>
          <w:bCs/>
          <w:iCs/>
          <w:sz w:val="20"/>
          <w:szCs w:val="20"/>
        </w:rPr>
        <w:t>Vichinsky</w:t>
      </w:r>
      <w:proofErr w:type="spellEnd"/>
      <w:r w:rsidRPr="00A03F41">
        <w:rPr>
          <w:rFonts w:ascii="Garamond" w:hAnsi="Garamond"/>
          <w:bCs/>
          <w:iCs/>
          <w:sz w:val="20"/>
          <w:szCs w:val="20"/>
        </w:rPr>
        <w:t>, E. P. (2018). Sickle cell disease. </w:t>
      </w:r>
      <w:r w:rsidRPr="00A03F41">
        <w:rPr>
          <w:rFonts w:ascii="Garamond" w:hAnsi="Garamond"/>
          <w:bCs/>
          <w:i/>
          <w:iCs/>
          <w:sz w:val="20"/>
          <w:szCs w:val="20"/>
        </w:rPr>
        <w:t>Nature reviews. Disease primers</w:t>
      </w:r>
      <w:r w:rsidRPr="00A03F41">
        <w:rPr>
          <w:rFonts w:ascii="Garamond" w:hAnsi="Garamond"/>
          <w:bCs/>
          <w:iCs/>
          <w:sz w:val="20"/>
          <w:szCs w:val="20"/>
        </w:rPr>
        <w:t>, </w:t>
      </w:r>
      <w:r w:rsidRPr="00A03F41">
        <w:rPr>
          <w:rFonts w:ascii="Garamond" w:hAnsi="Garamond"/>
          <w:bCs/>
          <w:i/>
          <w:iCs/>
          <w:sz w:val="20"/>
          <w:szCs w:val="20"/>
        </w:rPr>
        <w:t>4</w:t>
      </w:r>
      <w:r w:rsidRPr="00A03F41">
        <w:rPr>
          <w:rFonts w:ascii="Garamond" w:hAnsi="Garamond"/>
          <w:bCs/>
          <w:iCs/>
          <w:sz w:val="20"/>
          <w:szCs w:val="20"/>
        </w:rPr>
        <w:t>, 18010.</w:t>
      </w:r>
    </w:p>
    <w:p w14:paraId="1A6BD1FD"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29. Achebe, M. M., Lai, F., &amp; Piel, F. B. (2022). Inflammation and immune activation in sickle cell disease. </w:t>
      </w:r>
      <w:r w:rsidRPr="00A03F41">
        <w:rPr>
          <w:rFonts w:ascii="Garamond" w:hAnsi="Garamond"/>
          <w:bCs/>
          <w:i/>
          <w:iCs/>
          <w:sz w:val="20"/>
          <w:szCs w:val="20"/>
        </w:rPr>
        <w:t>Hematology/Oncology Clinics of North America</w:t>
      </w:r>
      <w:r w:rsidRPr="00A03F41">
        <w:rPr>
          <w:rFonts w:ascii="Garamond" w:hAnsi="Garamond"/>
          <w:bCs/>
          <w:iCs/>
          <w:sz w:val="20"/>
          <w:szCs w:val="20"/>
        </w:rPr>
        <w:t xml:space="preserve">, </w:t>
      </w:r>
      <w:r w:rsidRPr="00A03F41">
        <w:rPr>
          <w:rFonts w:ascii="Garamond" w:hAnsi="Garamond"/>
          <w:bCs/>
          <w:i/>
          <w:iCs/>
          <w:sz w:val="20"/>
          <w:szCs w:val="20"/>
        </w:rPr>
        <w:t>36</w:t>
      </w:r>
      <w:r w:rsidRPr="00A03F41">
        <w:rPr>
          <w:rFonts w:ascii="Garamond" w:hAnsi="Garamond"/>
          <w:bCs/>
          <w:iCs/>
          <w:sz w:val="20"/>
          <w:szCs w:val="20"/>
        </w:rPr>
        <w:t>(2), 313–330.</w:t>
      </w:r>
    </w:p>
    <w:p w14:paraId="35639999"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30. Olayemi, E. E., Bolarinwa, R. A., &amp; Bamidele, O. (2020). </w:t>
      </w:r>
      <w:proofErr w:type="spellStart"/>
      <w:r w:rsidRPr="00A03F41">
        <w:rPr>
          <w:rFonts w:ascii="Garamond" w:hAnsi="Garamond"/>
          <w:bCs/>
          <w:iCs/>
          <w:sz w:val="20"/>
          <w:szCs w:val="20"/>
        </w:rPr>
        <w:t>Haematological</w:t>
      </w:r>
      <w:proofErr w:type="spellEnd"/>
      <w:r w:rsidRPr="00A03F41">
        <w:rPr>
          <w:rFonts w:ascii="Garamond" w:hAnsi="Garamond"/>
          <w:bCs/>
          <w:iCs/>
          <w:sz w:val="20"/>
          <w:szCs w:val="20"/>
        </w:rPr>
        <w:t xml:space="preserve"> indices in sickle cell disease: Clinical implications. </w:t>
      </w:r>
      <w:r w:rsidRPr="00A03F41">
        <w:rPr>
          <w:rFonts w:ascii="Garamond" w:hAnsi="Garamond"/>
          <w:bCs/>
          <w:i/>
          <w:iCs/>
          <w:sz w:val="20"/>
          <w:szCs w:val="20"/>
        </w:rPr>
        <w:t>West African Journal of Medicine</w:t>
      </w:r>
      <w:r w:rsidRPr="00A03F41">
        <w:rPr>
          <w:rFonts w:ascii="Garamond" w:hAnsi="Garamond"/>
          <w:bCs/>
          <w:iCs/>
          <w:sz w:val="20"/>
          <w:szCs w:val="20"/>
        </w:rPr>
        <w:t xml:space="preserve">, </w:t>
      </w:r>
      <w:r w:rsidRPr="00A03F41">
        <w:rPr>
          <w:rFonts w:ascii="Garamond" w:hAnsi="Garamond"/>
          <w:bCs/>
          <w:i/>
          <w:iCs/>
          <w:sz w:val="20"/>
          <w:szCs w:val="20"/>
        </w:rPr>
        <w:t>37</w:t>
      </w:r>
      <w:r w:rsidRPr="00A03F41">
        <w:rPr>
          <w:rFonts w:ascii="Garamond" w:hAnsi="Garamond"/>
          <w:bCs/>
          <w:iCs/>
          <w:sz w:val="20"/>
          <w:szCs w:val="20"/>
        </w:rPr>
        <w:t>(3), 201-207.</w:t>
      </w:r>
    </w:p>
    <w:p w14:paraId="49084F62"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31. </w:t>
      </w:r>
      <w:proofErr w:type="spellStart"/>
      <w:r w:rsidRPr="00A03F41">
        <w:rPr>
          <w:rFonts w:ascii="Garamond" w:hAnsi="Garamond"/>
          <w:bCs/>
          <w:iCs/>
          <w:sz w:val="20"/>
          <w:szCs w:val="20"/>
        </w:rPr>
        <w:t>Adewoyin</w:t>
      </w:r>
      <w:proofErr w:type="spellEnd"/>
      <w:r w:rsidRPr="00A03F41">
        <w:rPr>
          <w:rFonts w:ascii="Garamond" w:hAnsi="Garamond"/>
          <w:bCs/>
          <w:iCs/>
          <w:sz w:val="20"/>
          <w:szCs w:val="20"/>
        </w:rPr>
        <w:t xml:space="preserve">, A. S., &amp; </w:t>
      </w:r>
      <w:proofErr w:type="spellStart"/>
      <w:r w:rsidRPr="00A03F41">
        <w:rPr>
          <w:rFonts w:ascii="Garamond" w:hAnsi="Garamond"/>
          <w:bCs/>
          <w:iCs/>
          <w:sz w:val="20"/>
          <w:szCs w:val="20"/>
        </w:rPr>
        <w:t>Alagbe</w:t>
      </w:r>
      <w:proofErr w:type="spellEnd"/>
      <w:r w:rsidRPr="00A03F41">
        <w:rPr>
          <w:rFonts w:ascii="Garamond" w:hAnsi="Garamond"/>
          <w:bCs/>
          <w:iCs/>
          <w:sz w:val="20"/>
          <w:szCs w:val="20"/>
        </w:rPr>
        <w:t xml:space="preserve">, A. E. (2023). Anemia in sickle cell disease: Mechanisms and management. </w:t>
      </w:r>
      <w:r w:rsidRPr="00A03F41">
        <w:rPr>
          <w:rFonts w:ascii="Garamond" w:hAnsi="Garamond"/>
          <w:bCs/>
          <w:i/>
          <w:iCs/>
          <w:sz w:val="20"/>
          <w:szCs w:val="20"/>
        </w:rPr>
        <w:t>BMC Hematology</w:t>
      </w:r>
      <w:r w:rsidRPr="00A03F41">
        <w:rPr>
          <w:rFonts w:ascii="Garamond" w:hAnsi="Garamond"/>
          <w:bCs/>
          <w:iCs/>
          <w:sz w:val="20"/>
          <w:szCs w:val="20"/>
        </w:rPr>
        <w:t xml:space="preserve">, </w:t>
      </w:r>
      <w:r w:rsidRPr="00A03F41">
        <w:rPr>
          <w:rFonts w:ascii="Garamond" w:hAnsi="Garamond"/>
          <w:bCs/>
          <w:i/>
          <w:iCs/>
          <w:sz w:val="20"/>
          <w:szCs w:val="20"/>
        </w:rPr>
        <w:t>23</w:t>
      </w:r>
      <w:r w:rsidRPr="00A03F41">
        <w:rPr>
          <w:rFonts w:ascii="Garamond" w:hAnsi="Garamond"/>
          <w:bCs/>
          <w:iCs/>
          <w:sz w:val="20"/>
          <w:szCs w:val="20"/>
        </w:rPr>
        <w:t xml:space="preserve">(1), 45. </w:t>
      </w:r>
    </w:p>
    <w:p w14:paraId="5EDA4368" w14:textId="77777777" w:rsidR="00A03F41" w:rsidRPr="00A03F41" w:rsidRDefault="00A03F41" w:rsidP="00501798">
      <w:pPr>
        <w:ind w:left="284" w:hanging="284"/>
        <w:rPr>
          <w:rFonts w:ascii="Garamond" w:hAnsi="Garamond"/>
          <w:bCs/>
          <w:iCs/>
          <w:sz w:val="20"/>
          <w:szCs w:val="20"/>
        </w:rPr>
      </w:pPr>
      <w:bookmarkStart w:id="23" w:name="_Hlk202099177"/>
      <w:r w:rsidRPr="00A03F41">
        <w:rPr>
          <w:rFonts w:ascii="Garamond" w:hAnsi="Garamond"/>
          <w:bCs/>
          <w:iCs/>
          <w:sz w:val="20"/>
          <w:szCs w:val="20"/>
        </w:rPr>
        <w:t xml:space="preserve">32. Conran, N., &amp; Belcher, J. D. (2013). Inflammation in sickle cell disease. </w:t>
      </w:r>
      <w:r w:rsidRPr="00A03F41">
        <w:rPr>
          <w:rFonts w:ascii="Garamond" w:hAnsi="Garamond"/>
          <w:bCs/>
          <w:i/>
          <w:iCs/>
          <w:sz w:val="20"/>
          <w:szCs w:val="20"/>
        </w:rPr>
        <w:t>Clin Hemorheology Microcirculation</w:t>
      </w:r>
      <w:r w:rsidRPr="00A03F41">
        <w:rPr>
          <w:rFonts w:ascii="Garamond" w:hAnsi="Garamond"/>
          <w:bCs/>
          <w:iCs/>
          <w:sz w:val="20"/>
          <w:szCs w:val="20"/>
        </w:rPr>
        <w:t xml:space="preserve">, </w:t>
      </w:r>
      <w:r w:rsidRPr="00A03F41">
        <w:rPr>
          <w:rFonts w:ascii="Garamond" w:hAnsi="Garamond"/>
          <w:bCs/>
          <w:i/>
          <w:iCs/>
          <w:sz w:val="20"/>
          <w:szCs w:val="20"/>
        </w:rPr>
        <w:t>53</w:t>
      </w:r>
      <w:r w:rsidRPr="00A03F41">
        <w:rPr>
          <w:rFonts w:ascii="Garamond" w:hAnsi="Garamond"/>
          <w:bCs/>
          <w:iCs/>
          <w:sz w:val="20"/>
          <w:szCs w:val="20"/>
        </w:rPr>
        <w:t>(1-2), 131–146.</w:t>
      </w:r>
    </w:p>
    <w:p w14:paraId="7658E0B1"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33. Nur, E., Biemond, B. J., Otten, M., </w:t>
      </w:r>
      <w:proofErr w:type="spellStart"/>
      <w:r w:rsidRPr="00A03F41">
        <w:rPr>
          <w:rFonts w:ascii="Garamond" w:hAnsi="Garamond"/>
          <w:bCs/>
          <w:iCs/>
          <w:sz w:val="20"/>
          <w:szCs w:val="20"/>
        </w:rPr>
        <w:t>Brandjes</w:t>
      </w:r>
      <w:proofErr w:type="spellEnd"/>
      <w:r w:rsidRPr="00A03F41">
        <w:rPr>
          <w:rFonts w:ascii="Garamond" w:hAnsi="Garamond"/>
          <w:bCs/>
          <w:iCs/>
          <w:sz w:val="20"/>
          <w:szCs w:val="20"/>
        </w:rPr>
        <w:t xml:space="preserve">, D. P., &amp; </w:t>
      </w:r>
      <w:proofErr w:type="spellStart"/>
      <w:r w:rsidRPr="00A03F41">
        <w:rPr>
          <w:rFonts w:ascii="Garamond" w:hAnsi="Garamond"/>
          <w:bCs/>
          <w:iCs/>
          <w:sz w:val="20"/>
          <w:szCs w:val="20"/>
        </w:rPr>
        <w:t>Schnog</w:t>
      </w:r>
      <w:proofErr w:type="spellEnd"/>
      <w:r w:rsidRPr="00A03F41">
        <w:rPr>
          <w:rFonts w:ascii="Garamond" w:hAnsi="Garamond"/>
          <w:bCs/>
          <w:iCs/>
          <w:sz w:val="20"/>
          <w:szCs w:val="20"/>
        </w:rPr>
        <w:t xml:space="preserve">, J. B. (2011). Oxidative stress in sickle cell disease; pathophysiology and potential implications for disease management. </w:t>
      </w:r>
      <w:r w:rsidRPr="00A03F41">
        <w:rPr>
          <w:rFonts w:ascii="Garamond" w:hAnsi="Garamond"/>
          <w:bCs/>
          <w:i/>
          <w:iCs/>
          <w:sz w:val="20"/>
          <w:szCs w:val="20"/>
        </w:rPr>
        <w:t>American Journal of Hematology</w:t>
      </w:r>
      <w:r w:rsidRPr="00A03F41">
        <w:rPr>
          <w:rFonts w:ascii="Garamond" w:hAnsi="Garamond"/>
          <w:bCs/>
          <w:iCs/>
          <w:sz w:val="20"/>
          <w:szCs w:val="20"/>
        </w:rPr>
        <w:t xml:space="preserve">, </w:t>
      </w:r>
      <w:r w:rsidRPr="00A03F41">
        <w:rPr>
          <w:rFonts w:ascii="Garamond" w:hAnsi="Garamond"/>
          <w:bCs/>
          <w:i/>
          <w:iCs/>
          <w:sz w:val="20"/>
          <w:szCs w:val="20"/>
        </w:rPr>
        <w:t>86</w:t>
      </w:r>
      <w:r w:rsidRPr="00A03F41">
        <w:rPr>
          <w:rFonts w:ascii="Garamond" w:hAnsi="Garamond"/>
          <w:bCs/>
          <w:iCs/>
          <w:sz w:val="20"/>
          <w:szCs w:val="20"/>
        </w:rPr>
        <w:t>(6), 484-489.</w:t>
      </w:r>
      <w:bookmarkEnd w:id="23"/>
    </w:p>
    <w:p w14:paraId="4AB0E66E" w14:textId="69CF59C4"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34. Ghosh, S., </w:t>
      </w:r>
      <w:proofErr w:type="spellStart"/>
      <w:r w:rsidRPr="00A03F41">
        <w:rPr>
          <w:rFonts w:ascii="Garamond" w:hAnsi="Garamond"/>
          <w:bCs/>
          <w:iCs/>
          <w:sz w:val="20"/>
          <w:szCs w:val="20"/>
        </w:rPr>
        <w:t>Ihunnah</w:t>
      </w:r>
      <w:proofErr w:type="spellEnd"/>
      <w:r w:rsidRPr="00A03F41">
        <w:rPr>
          <w:rFonts w:ascii="Garamond" w:hAnsi="Garamond"/>
          <w:bCs/>
          <w:iCs/>
          <w:sz w:val="20"/>
          <w:szCs w:val="20"/>
        </w:rPr>
        <w:t>, C. A., Hazra, R., Walker, A. L., Hansen, J. M., Archer, D. R., Owusu-Ansah,</w:t>
      </w:r>
      <w:r>
        <w:rPr>
          <w:rFonts w:ascii="Garamond" w:hAnsi="Garamond"/>
          <w:bCs/>
          <w:iCs/>
          <w:sz w:val="20"/>
          <w:szCs w:val="20"/>
        </w:rPr>
        <w:t xml:space="preserve"> </w:t>
      </w:r>
      <w:r w:rsidRPr="00A03F41">
        <w:rPr>
          <w:rFonts w:ascii="Garamond" w:hAnsi="Garamond"/>
          <w:bCs/>
          <w:iCs/>
          <w:sz w:val="20"/>
          <w:szCs w:val="20"/>
        </w:rPr>
        <w:t>A. T., &amp; Ofori-Acquah, S. F. (2016). Nonhematopoietic Nrf2 dominantly</w:t>
      </w:r>
      <w:r w:rsidRPr="00A03F41">
        <w:rPr>
          <w:rFonts w:ascii="Garamond" w:hAnsi="Garamond"/>
          <w:bCs/>
          <w:iCs/>
          <w:sz w:val="20"/>
          <w:szCs w:val="20"/>
        </w:rPr>
        <w:tab/>
        <w:t>impedes adult</w:t>
      </w:r>
      <w:r>
        <w:rPr>
          <w:rFonts w:ascii="Garamond" w:hAnsi="Garamond"/>
          <w:bCs/>
          <w:iCs/>
          <w:sz w:val="20"/>
          <w:szCs w:val="20"/>
        </w:rPr>
        <w:t xml:space="preserve"> </w:t>
      </w:r>
      <w:r w:rsidRPr="00A03F41">
        <w:rPr>
          <w:rFonts w:ascii="Garamond" w:hAnsi="Garamond"/>
          <w:bCs/>
          <w:iCs/>
          <w:sz w:val="20"/>
          <w:szCs w:val="20"/>
        </w:rPr>
        <w:t xml:space="preserve">progression of sickle cell anemia in mice. </w:t>
      </w:r>
      <w:r w:rsidRPr="00A03F41">
        <w:rPr>
          <w:rFonts w:ascii="Garamond" w:hAnsi="Garamond"/>
          <w:bCs/>
          <w:i/>
          <w:iCs/>
          <w:sz w:val="20"/>
          <w:szCs w:val="20"/>
        </w:rPr>
        <w:t>JCI Insight</w:t>
      </w:r>
      <w:r w:rsidRPr="00A03F41">
        <w:rPr>
          <w:rFonts w:ascii="Garamond" w:hAnsi="Garamond"/>
          <w:bCs/>
          <w:iCs/>
          <w:sz w:val="20"/>
          <w:szCs w:val="20"/>
        </w:rPr>
        <w:t xml:space="preserve">, </w:t>
      </w:r>
      <w:r w:rsidRPr="00A03F41">
        <w:rPr>
          <w:rFonts w:ascii="Garamond" w:hAnsi="Garamond"/>
          <w:bCs/>
          <w:i/>
          <w:iCs/>
          <w:sz w:val="20"/>
          <w:szCs w:val="20"/>
        </w:rPr>
        <w:t>1</w:t>
      </w:r>
      <w:r w:rsidRPr="00A03F41">
        <w:rPr>
          <w:rFonts w:ascii="Garamond" w:hAnsi="Garamond"/>
          <w:bCs/>
          <w:iCs/>
          <w:sz w:val="20"/>
          <w:szCs w:val="20"/>
        </w:rPr>
        <w:t>(4), e81090.</w:t>
      </w:r>
    </w:p>
    <w:p w14:paraId="7F84D4D0" w14:textId="77777777" w:rsidR="00A03F41" w:rsidRPr="00A03F41" w:rsidRDefault="00A03F41" w:rsidP="00501798">
      <w:pPr>
        <w:ind w:left="284" w:hanging="284"/>
        <w:rPr>
          <w:rFonts w:ascii="Garamond" w:hAnsi="Garamond"/>
          <w:bCs/>
          <w:iCs/>
          <w:sz w:val="20"/>
          <w:szCs w:val="20"/>
        </w:rPr>
      </w:pPr>
      <w:bookmarkStart w:id="24" w:name="_Hlk202099688"/>
      <w:r w:rsidRPr="00A03F41">
        <w:rPr>
          <w:rFonts w:ascii="Garamond" w:hAnsi="Garamond"/>
          <w:bCs/>
          <w:iCs/>
          <w:sz w:val="20"/>
          <w:szCs w:val="20"/>
        </w:rPr>
        <w:t xml:space="preserve">35. Nath, K. A., &amp; Hebbel, R. P. (2020). Sickle cell disease: Renal manifestations and mechanisms. </w:t>
      </w:r>
      <w:r w:rsidRPr="00A03F41">
        <w:rPr>
          <w:rFonts w:ascii="Garamond" w:hAnsi="Garamond"/>
          <w:bCs/>
          <w:i/>
          <w:iCs/>
          <w:sz w:val="20"/>
          <w:szCs w:val="20"/>
        </w:rPr>
        <w:t>Nature Reviews Nephrology</w:t>
      </w:r>
      <w:r w:rsidRPr="00A03F41">
        <w:rPr>
          <w:rFonts w:ascii="Garamond" w:hAnsi="Garamond"/>
          <w:bCs/>
          <w:iCs/>
          <w:sz w:val="20"/>
          <w:szCs w:val="20"/>
        </w:rPr>
        <w:t xml:space="preserve">, </w:t>
      </w:r>
      <w:r w:rsidRPr="00A03F41">
        <w:rPr>
          <w:rFonts w:ascii="Garamond" w:hAnsi="Garamond"/>
          <w:bCs/>
          <w:i/>
          <w:iCs/>
          <w:sz w:val="20"/>
          <w:szCs w:val="20"/>
        </w:rPr>
        <w:t>16</w:t>
      </w:r>
      <w:r w:rsidRPr="00A03F41">
        <w:rPr>
          <w:rFonts w:ascii="Garamond" w:hAnsi="Garamond"/>
          <w:bCs/>
          <w:iCs/>
          <w:sz w:val="20"/>
          <w:szCs w:val="20"/>
        </w:rPr>
        <w:t xml:space="preserve">(3), 161–173. </w:t>
      </w:r>
      <w:bookmarkEnd w:id="24"/>
    </w:p>
    <w:p w14:paraId="25E51B03"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36. </w:t>
      </w:r>
      <w:proofErr w:type="spellStart"/>
      <w:r w:rsidRPr="00A03F41">
        <w:rPr>
          <w:rFonts w:ascii="Garamond" w:hAnsi="Garamond"/>
          <w:bCs/>
          <w:iCs/>
          <w:sz w:val="20"/>
          <w:szCs w:val="20"/>
        </w:rPr>
        <w:t>Naryzny</w:t>
      </w:r>
      <w:proofErr w:type="spellEnd"/>
      <w:r w:rsidRPr="00A03F41">
        <w:rPr>
          <w:rFonts w:ascii="Garamond" w:hAnsi="Garamond"/>
          <w:bCs/>
          <w:iCs/>
          <w:sz w:val="20"/>
          <w:szCs w:val="20"/>
        </w:rPr>
        <w:t>, S. N., &amp; Legina, O. K. (2021). Haptoglobin as a Biomarker. </w:t>
      </w:r>
      <w:r w:rsidRPr="00A03F41">
        <w:rPr>
          <w:rFonts w:ascii="Garamond" w:hAnsi="Garamond"/>
          <w:bCs/>
          <w:i/>
          <w:iCs/>
          <w:sz w:val="20"/>
          <w:szCs w:val="20"/>
        </w:rPr>
        <w:t>Biochemistry (Moscow) Supplement. Series B, Biomedical chemistry</w:t>
      </w:r>
      <w:r w:rsidRPr="00A03F41">
        <w:rPr>
          <w:rFonts w:ascii="Garamond" w:hAnsi="Garamond"/>
          <w:bCs/>
          <w:iCs/>
          <w:sz w:val="20"/>
          <w:szCs w:val="20"/>
        </w:rPr>
        <w:t>, </w:t>
      </w:r>
      <w:r w:rsidRPr="00A03F41">
        <w:rPr>
          <w:rFonts w:ascii="Garamond" w:hAnsi="Garamond"/>
          <w:bCs/>
          <w:i/>
          <w:iCs/>
          <w:sz w:val="20"/>
          <w:szCs w:val="20"/>
        </w:rPr>
        <w:t>15</w:t>
      </w:r>
      <w:r w:rsidRPr="00A03F41">
        <w:rPr>
          <w:rFonts w:ascii="Garamond" w:hAnsi="Garamond"/>
          <w:bCs/>
          <w:iCs/>
          <w:sz w:val="20"/>
          <w:szCs w:val="20"/>
        </w:rPr>
        <w:t>(3), 184–198.</w:t>
      </w:r>
    </w:p>
    <w:p w14:paraId="614A07D9"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37. Delgado, G. E., Kleber, M. E., Moissl, A. P., Winklhofer-Roob, B. M., Krämer, B. K., Renner, W., </w:t>
      </w:r>
      <w:proofErr w:type="spellStart"/>
      <w:r w:rsidRPr="00A03F41">
        <w:rPr>
          <w:rFonts w:ascii="Garamond" w:hAnsi="Garamond"/>
          <w:bCs/>
          <w:iCs/>
          <w:sz w:val="20"/>
          <w:szCs w:val="20"/>
        </w:rPr>
        <w:t>Langsenlehner</w:t>
      </w:r>
      <w:proofErr w:type="spellEnd"/>
      <w:r w:rsidRPr="00A03F41">
        <w:rPr>
          <w:rFonts w:ascii="Garamond" w:hAnsi="Garamond"/>
          <w:bCs/>
          <w:iCs/>
          <w:sz w:val="20"/>
          <w:szCs w:val="20"/>
        </w:rPr>
        <w:t xml:space="preserve">, T., </w:t>
      </w:r>
      <w:proofErr w:type="spellStart"/>
      <w:r w:rsidRPr="00A03F41">
        <w:rPr>
          <w:rFonts w:ascii="Garamond" w:hAnsi="Garamond"/>
          <w:bCs/>
          <w:iCs/>
          <w:sz w:val="20"/>
          <w:szCs w:val="20"/>
        </w:rPr>
        <w:t>Dschietzig</w:t>
      </w:r>
      <w:proofErr w:type="spellEnd"/>
      <w:r w:rsidRPr="00A03F41">
        <w:rPr>
          <w:rFonts w:ascii="Garamond" w:hAnsi="Garamond"/>
          <w:bCs/>
          <w:iCs/>
          <w:sz w:val="20"/>
          <w:szCs w:val="20"/>
        </w:rPr>
        <w:t>, T. B., März, W., &amp; Armbruster, F. P. (2024). Haptoglobin polymorphism, vitamin E and mortality: The Ludwigshafen risk</w:t>
      </w:r>
      <w:r w:rsidRPr="00A03F41">
        <w:rPr>
          <w:rFonts w:ascii="Garamond" w:hAnsi="Garamond"/>
          <w:bCs/>
          <w:iCs/>
          <w:sz w:val="20"/>
          <w:szCs w:val="20"/>
        </w:rPr>
        <w:tab/>
        <w:t xml:space="preserve">and cardiovascular health study. </w:t>
      </w:r>
      <w:r w:rsidRPr="00A03F41">
        <w:rPr>
          <w:rFonts w:ascii="Garamond" w:hAnsi="Garamond"/>
          <w:bCs/>
          <w:i/>
          <w:iCs/>
          <w:sz w:val="20"/>
          <w:szCs w:val="20"/>
        </w:rPr>
        <w:t>BMJ Nutrition, Prevention &amp; Health</w:t>
      </w:r>
      <w:r w:rsidRPr="00A03F41">
        <w:rPr>
          <w:rFonts w:ascii="Garamond" w:hAnsi="Garamond"/>
          <w:bCs/>
          <w:iCs/>
          <w:sz w:val="20"/>
          <w:szCs w:val="20"/>
        </w:rPr>
        <w:t xml:space="preserve">, </w:t>
      </w:r>
      <w:r w:rsidRPr="00A03F41">
        <w:rPr>
          <w:rFonts w:ascii="Garamond" w:hAnsi="Garamond"/>
          <w:bCs/>
          <w:i/>
          <w:iCs/>
          <w:sz w:val="20"/>
          <w:szCs w:val="20"/>
        </w:rPr>
        <w:t>7</w:t>
      </w:r>
      <w:r w:rsidRPr="00A03F41">
        <w:rPr>
          <w:rFonts w:ascii="Garamond" w:hAnsi="Garamond"/>
          <w:bCs/>
          <w:iCs/>
          <w:sz w:val="20"/>
          <w:szCs w:val="20"/>
        </w:rPr>
        <w:t>(2), e001061.</w:t>
      </w:r>
    </w:p>
    <w:p w14:paraId="701BEDCA"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38. </w:t>
      </w:r>
      <w:proofErr w:type="spellStart"/>
      <w:r w:rsidRPr="00A03F41">
        <w:rPr>
          <w:rFonts w:ascii="Garamond" w:hAnsi="Garamond"/>
          <w:bCs/>
          <w:iCs/>
          <w:sz w:val="20"/>
          <w:szCs w:val="20"/>
        </w:rPr>
        <w:t>Nnodu</w:t>
      </w:r>
      <w:proofErr w:type="spellEnd"/>
      <w:r w:rsidRPr="00A03F41">
        <w:rPr>
          <w:rFonts w:ascii="Garamond" w:hAnsi="Garamond"/>
          <w:bCs/>
          <w:iCs/>
          <w:sz w:val="20"/>
          <w:szCs w:val="20"/>
        </w:rPr>
        <w:t xml:space="preserve">, O. E., Oron, A. P., </w:t>
      </w:r>
      <w:proofErr w:type="spellStart"/>
      <w:r w:rsidRPr="00A03F41">
        <w:rPr>
          <w:rFonts w:ascii="Garamond" w:hAnsi="Garamond"/>
          <w:bCs/>
          <w:iCs/>
          <w:sz w:val="20"/>
          <w:szCs w:val="20"/>
        </w:rPr>
        <w:t>Sopekan</w:t>
      </w:r>
      <w:proofErr w:type="spellEnd"/>
      <w:r w:rsidRPr="00A03F41">
        <w:rPr>
          <w:rFonts w:ascii="Garamond" w:hAnsi="Garamond"/>
          <w:bCs/>
          <w:iCs/>
          <w:sz w:val="20"/>
          <w:szCs w:val="20"/>
        </w:rPr>
        <w:t>, A., Akaba, G. O., Piel, F. B., &amp; Chao, D. L. (2021</w:t>
      </w:r>
      <w:proofErr w:type="gramStart"/>
      <w:r w:rsidRPr="00A03F41">
        <w:rPr>
          <w:rFonts w:ascii="Garamond" w:hAnsi="Garamond"/>
          <w:bCs/>
          <w:iCs/>
          <w:sz w:val="20"/>
          <w:szCs w:val="20"/>
        </w:rPr>
        <w:t>).Child</w:t>
      </w:r>
      <w:proofErr w:type="gramEnd"/>
      <w:r w:rsidRPr="00A03F41">
        <w:rPr>
          <w:rFonts w:ascii="Garamond" w:hAnsi="Garamond"/>
          <w:bCs/>
          <w:iCs/>
          <w:sz w:val="20"/>
          <w:szCs w:val="20"/>
        </w:rPr>
        <w:t xml:space="preserve"> mortality from sickle cell disease in Nigeria: A model-estimated, population-level analysis of data from the 2018 Demographic and Health Survey. </w:t>
      </w:r>
      <w:r w:rsidRPr="00A03F41">
        <w:rPr>
          <w:rFonts w:ascii="Garamond" w:hAnsi="Garamond"/>
          <w:bCs/>
          <w:i/>
          <w:iCs/>
          <w:sz w:val="20"/>
          <w:szCs w:val="20"/>
        </w:rPr>
        <w:t xml:space="preserve">The Lancet </w:t>
      </w:r>
      <w:proofErr w:type="spellStart"/>
      <w:r w:rsidRPr="00A03F41">
        <w:rPr>
          <w:rFonts w:ascii="Garamond" w:hAnsi="Garamond"/>
          <w:bCs/>
          <w:i/>
          <w:iCs/>
          <w:sz w:val="20"/>
          <w:szCs w:val="20"/>
        </w:rPr>
        <w:t>Haematology</w:t>
      </w:r>
      <w:proofErr w:type="spellEnd"/>
      <w:r w:rsidRPr="00A03F41">
        <w:rPr>
          <w:rFonts w:ascii="Garamond" w:hAnsi="Garamond"/>
          <w:bCs/>
          <w:iCs/>
          <w:sz w:val="20"/>
          <w:szCs w:val="20"/>
        </w:rPr>
        <w:t>,</w:t>
      </w:r>
      <w:r w:rsidRPr="00A03F41">
        <w:rPr>
          <w:rFonts w:ascii="Garamond" w:hAnsi="Garamond"/>
          <w:bCs/>
          <w:i/>
          <w:iCs/>
          <w:sz w:val="20"/>
          <w:szCs w:val="20"/>
        </w:rPr>
        <w:t xml:space="preserve"> 8</w:t>
      </w:r>
      <w:r w:rsidRPr="00A03F41">
        <w:rPr>
          <w:rFonts w:ascii="Garamond" w:hAnsi="Garamond"/>
          <w:bCs/>
          <w:iCs/>
          <w:sz w:val="20"/>
          <w:szCs w:val="20"/>
        </w:rPr>
        <w:t xml:space="preserve">(10), e723–e731. </w:t>
      </w:r>
    </w:p>
    <w:p w14:paraId="7A7E560A"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39. Guasch, A., Navarrete, J., Nass, K., &amp; Sanchez, M. (2006). Glomerular involvement in adults with sickle cell hemoglobinopathies: Prevalence and clinical correlates of</w:t>
      </w:r>
      <w:r w:rsidRPr="00A03F41">
        <w:rPr>
          <w:rFonts w:ascii="Garamond" w:hAnsi="Garamond"/>
          <w:bCs/>
          <w:iCs/>
          <w:sz w:val="20"/>
          <w:szCs w:val="20"/>
        </w:rPr>
        <w:tab/>
        <w:t xml:space="preserve">progressive renal failure. </w:t>
      </w:r>
      <w:r w:rsidRPr="00A03F41">
        <w:rPr>
          <w:rFonts w:ascii="Garamond" w:hAnsi="Garamond"/>
          <w:bCs/>
          <w:i/>
          <w:iCs/>
          <w:sz w:val="20"/>
          <w:szCs w:val="20"/>
        </w:rPr>
        <w:t>J Am Soc Nephrol</w:t>
      </w:r>
      <w:r w:rsidRPr="00A03F41">
        <w:rPr>
          <w:rFonts w:ascii="Garamond" w:hAnsi="Garamond"/>
          <w:bCs/>
          <w:iCs/>
          <w:sz w:val="20"/>
          <w:szCs w:val="20"/>
        </w:rPr>
        <w:t xml:space="preserve">, </w:t>
      </w:r>
      <w:r w:rsidRPr="00A03F41">
        <w:rPr>
          <w:rFonts w:ascii="Garamond" w:hAnsi="Garamond"/>
          <w:bCs/>
          <w:i/>
          <w:iCs/>
          <w:sz w:val="20"/>
          <w:szCs w:val="20"/>
        </w:rPr>
        <w:t>17</w:t>
      </w:r>
      <w:r w:rsidRPr="00A03F41">
        <w:rPr>
          <w:rFonts w:ascii="Garamond" w:hAnsi="Garamond"/>
          <w:bCs/>
          <w:iCs/>
          <w:sz w:val="20"/>
          <w:szCs w:val="20"/>
        </w:rPr>
        <w:t>(8), 2228–2235.</w:t>
      </w:r>
    </w:p>
    <w:p w14:paraId="5BB7C0FB"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lastRenderedPageBreak/>
        <w:t xml:space="preserve">40. Alkhunaizi, A. M., Al-Otaibi, F., &amp; Al-Harbi, T. M. (2021). Sickle cell nephropathy: Pathophysiology and clinical features. </w:t>
      </w:r>
      <w:r w:rsidRPr="00A03F41">
        <w:rPr>
          <w:rFonts w:ascii="Garamond" w:hAnsi="Garamond"/>
          <w:bCs/>
          <w:i/>
          <w:iCs/>
          <w:sz w:val="20"/>
          <w:szCs w:val="20"/>
        </w:rPr>
        <w:t>Frontiers in Medicine</w:t>
      </w:r>
      <w:r w:rsidRPr="00A03F41">
        <w:rPr>
          <w:rFonts w:ascii="Garamond" w:hAnsi="Garamond"/>
          <w:bCs/>
          <w:iCs/>
          <w:sz w:val="20"/>
          <w:szCs w:val="20"/>
        </w:rPr>
        <w:t>, 8, 664868.</w:t>
      </w:r>
    </w:p>
    <w:p w14:paraId="3373470F"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41. Dosunmu, A. O., Afolabi, B. B., &amp; </w:t>
      </w:r>
      <w:proofErr w:type="spellStart"/>
      <w:r w:rsidRPr="00A03F41">
        <w:rPr>
          <w:rFonts w:ascii="Garamond" w:hAnsi="Garamond"/>
          <w:bCs/>
          <w:iCs/>
          <w:sz w:val="20"/>
          <w:szCs w:val="20"/>
        </w:rPr>
        <w:t>Akinlade</w:t>
      </w:r>
      <w:proofErr w:type="spellEnd"/>
      <w:r w:rsidRPr="00A03F41">
        <w:rPr>
          <w:rFonts w:ascii="Garamond" w:hAnsi="Garamond"/>
          <w:bCs/>
          <w:iCs/>
          <w:sz w:val="20"/>
          <w:szCs w:val="20"/>
        </w:rPr>
        <w:t xml:space="preserve">, K. S. (2022). Comparative renal profiles of homozygous and heterozygous sickle cell patients. </w:t>
      </w:r>
      <w:r w:rsidRPr="00A03F41">
        <w:rPr>
          <w:rFonts w:ascii="Garamond" w:hAnsi="Garamond"/>
          <w:bCs/>
          <w:i/>
          <w:iCs/>
          <w:sz w:val="20"/>
          <w:szCs w:val="20"/>
        </w:rPr>
        <w:t>Nigerian Journal of Nephrology</w:t>
      </w:r>
      <w:r w:rsidRPr="00A03F41">
        <w:rPr>
          <w:rFonts w:ascii="Garamond" w:hAnsi="Garamond"/>
          <w:bCs/>
          <w:iCs/>
          <w:sz w:val="20"/>
          <w:szCs w:val="20"/>
        </w:rPr>
        <w:t xml:space="preserve">, </w:t>
      </w:r>
      <w:r w:rsidRPr="00A03F41">
        <w:rPr>
          <w:rFonts w:ascii="Garamond" w:hAnsi="Garamond"/>
          <w:bCs/>
          <w:i/>
          <w:iCs/>
          <w:sz w:val="20"/>
          <w:szCs w:val="20"/>
        </w:rPr>
        <w:t>18</w:t>
      </w:r>
      <w:r w:rsidRPr="00A03F41">
        <w:rPr>
          <w:rFonts w:ascii="Garamond" w:hAnsi="Garamond"/>
          <w:bCs/>
          <w:iCs/>
          <w:sz w:val="20"/>
          <w:szCs w:val="20"/>
        </w:rPr>
        <w:t xml:space="preserve">(2), 112–119. </w:t>
      </w:r>
    </w:p>
    <w:p w14:paraId="6879D72C"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42. Olawale, O. O., Adekanmbi, A. F., </w:t>
      </w:r>
      <w:proofErr w:type="spellStart"/>
      <w:r w:rsidRPr="00A03F41">
        <w:rPr>
          <w:rFonts w:ascii="Garamond" w:hAnsi="Garamond"/>
          <w:bCs/>
          <w:iCs/>
          <w:sz w:val="20"/>
          <w:szCs w:val="20"/>
        </w:rPr>
        <w:t>Sonuga</w:t>
      </w:r>
      <w:proofErr w:type="spellEnd"/>
      <w:r w:rsidRPr="00A03F41">
        <w:rPr>
          <w:rFonts w:ascii="Garamond" w:hAnsi="Garamond"/>
          <w:bCs/>
          <w:iCs/>
          <w:sz w:val="20"/>
          <w:szCs w:val="20"/>
        </w:rPr>
        <w:t xml:space="preserve">, A. A., </w:t>
      </w:r>
      <w:proofErr w:type="spellStart"/>
      <w:r w:rsidRPr="00A03F41">
        <w:rPr>
          <w:rFonts w:ascii="Garamond" w:hAnsi="Garamond"/>
          <w:bCs/>
          <w:iCs/>
          <w:sz w:val="20"/>
          <w:szCs w:val="20"/>
        </w:rPr>
        <w:t>Sonuga</w:t>
      </w:r>
      <w:proofErr w:type="spellEnd"/>
      <w:r w:rsidRPr="00A03F41">
        <w:rPr>
          <w:rFonts w:ascii="Garamond" w:hAnsi="Garamond"/>
          <w:bCs/>
          <w:iCs/>
          <w:sz w:val="20"/>
          <w:szCs w:val="20"/>
        </w:rPr>
        <w:t xml:space="preserve">, O. O., </w:t>
      </w:r>
      <w:proofErr w:type="spellStart"/>
      <w:r w:rsidRPr="00A03F41">
        <w:rPr>
          <w:rFonts w:ascii="Garamond" w:hAnsi="Garamond"/>
          <w:bCs/>
          <w:iCs/>
          <w:sz w:val="20"/>
          <w:szCs w:val="20"/>
        </w:rPr>
        <w:t>Akodu</w:t>
      </w:r>
      <w:proofErr w:type="spellEnd"/>
      <w:r w:rsidRPr="00A03F41">
        <w:rPr>
          <w:rFonts w:ascii="Garamond" w:hAnsi="Garamond"/>
          <w:bCs/>
          <w:iCs/>
          <w:sz w:val="20"/>
          <w:szCs w:val="20"/>
        </w:rPr>
        <w:t xml:space="preserve">, S. O., &amp; </w:t>
      </w:r>
      <w:proofErr w:type="spellStart"/>
      <w:r w:rsidRPr="00A03F41">
        <w:rPr>
          <w:rFonts w:ascii="Garamond" w:hAnsi="Garamond"/>
          <w:bCs/>
          <w:iCs/>
          <w:sz w:val="20"/>
          <w:szCs w:val="20"/>
        </w:rPr>
        <w:t>Ogundeyi</w:t>
      </w:r>
      <w:proofErr w:type="spellEnd"/>
      <w:r w:rsidRPr="00A03F41">
        <w:rPr>
          <w:rFonts w:ascii="Garamond" w:hAnsi="Garamond"/>
          <w:bCs/>
          <w:iCs/>
          <w:sz w:val="20"/>
          <w:szCs w:val="20"/>
        </w:rPr>
        <w:t xml:space="preserve">, M. M. (2021). Assessment of renal function status in steady-state sickle cell </w:t>
      </w:r>
      <w:proofErr w:type="spellStart"/>
      <w:r w:rsidRPr="00A03F41">
        <w:rPr>
          <w:rFonts w:ascii="Garamond" w:hAnsi="Garamond"/>
          <w:bCs/>
          <w:iCs/>
          <w:sz w:val="20"/>
          <w:szCs w:val="20"/>
        </w:rPr>
        <w:t>anaemic</w:t>
      </w:r>
      <w:proofErr w:type="spellEnd"/>
      <w:r w:rsidRPr="00A03F41">
        <w:rPr>
          <w:rFonts w:ascii="Garamond" w:hAnsi="Garamond"/>
          <w:bCs/>
          <w:iCs/>
          <w:sz w:val="20"/>
          <w:szCs w:val="20"/>
        </w:rPr>
        <w:t xml:space="preserve"> children using urine human neutrophil gelatinase-associated lipocalin and albumin: creatinine ratio. </w:t>
      </w:r>
      <w:r w:rsidRPr="00A03F41">
        <w:rPr>
          <w:rFonts w:ascii="Garamond" w:hAnsi="Garamond"/>
          <w:bCs/>
          <w:i/>
          <w:iCs/>
          <w:sz w:val="20"/>
          <w:szCs w:val="20"/>
        </w:rPr>
        <w:t>Medical Principles and Practice</w:t>
      </w:r>
      <w:r w:rsidRPr="00A03F41">
        <w:rPr>
          <w:rFonts w:ascii="Garamond" w:hAnsi="Garamond"/>
          <w:bCs/>
          <w:iCs/>
          <w:sz w:val="20"/>
          <w:szCs w:val="20"/>
        </w:rPr>
        <w:t>,</w:t>
      </w:r>
      <w:r w:rsidRPr="00A03F41">
        <w:rPr>
          <w:rFonts w:ascii="Garamond" w:hAnsi="Garamond"/>
          <w:bCs/>
          <w:i/>
          <w:iCs/>
          <w:sz w:val="20"/>
          <w:szCs w:val="20"/>
        </w:rPr>
        <w:t xml:space="preserve"> 30</w:t>
      </w:r>
      <w:r w:rsidRPr="00A03F41">
        <w:rPr>
          <w:rFonts w:ascii="Garamond" w:hAnsi="Garamond"/>
          <w:bCs/>
          <w:iCs/>
          <w:sz w:val="20"/>
          <w:szCs w:val="20"/>
        </w:rPr>
        <w:t xml:space="preserve">(6), 557–562. </w:t>
      </w:r>
    </w:p>
    <w:p w14:paraId="2540B330"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43. Ware, R. E., Desai, P. C., &amp; DeBaun, M. R. (2023). Biomarker-guided management of renal dysfunction in sickle cell disease. </w:t>
      </w:r>
      <w:r w:rsidRPr="00A03F41">
        <w:rPr>
          <w:rFonts w:ascii="Garamond" w:hAnsi="Garamond"/>
          <w:bCs/>
          <w:i/>
          <w:iCs/>
          <w:sz w:val="20"/>
          <w:szCs w:val="20"/>
        </w:rPr>
        <w:t>Blood Advances</w:t>
      </w:r>
      <w:r w:rsidRPr="00A03F41">
        <w:rPr>
          <w:rFonts w:ascii="Garamond" w:hAnsi="Garamond"/>
          <w:bCs/>
          <w:iCs/>
          <w:sz w:val="20"/>
          <w:szCs w:val="20"/>
        </w:rPr>
        <w:t xml:space="preserve">, </w:t>
      </w:r>
      <w:r w:rsidRPr="00A03F41">
        <w:rPr>
          <w:rFonts w:ascii="Garamond" w:hAnsi="Garamond"/>
          <w:bCs/>
          <w:i/>
          <w:iCs/>
          <w:sz w:val="20"/>
          <w:szCs w:val="20"/>
        </w:rPr>
        <w:t>7</w:t>
      </w:r>
      <w:r w:rsidRPr="00A03F41">
        <w:rPr>
          <w:rFonts w:ascii="Garamond" w:hAnsi="Garamond"/>
          <w:bCs/>
          <w:iCs/>
          <w:sz w:val="20"/>
          <w:szCs w:val="20"/>
        </w:rPr>
        <w:t>(5), 953–961.</w:t>
      </w:r>
    </w:p>
    <w:p w14:paraId="3E270A1C" w14:textId="67A73E0E" w:rsidR="00A03F41" w:rsidRPr="00A03F41" w:rsidRDefault="00A03F41" w:rsidP="00501798">
      <w:pPr>
        <w:ind w:left="284" w:hanging="284"/>
        <w:rPr>
          <w:rFonts w:ascii="Garamond" w:hAnsi="Garamond"/>
          <w:bCs/>
          <w:iCs/>
          <w:sz w:val="20"/>
          <w:szCs w:val="20"/>
        </w:rPr>
      </w:pPr>
      <w:bookmarkStart w:id="25" w:name="_Hlk202097906"/>
      <w:r w:rsidRPr="00A03F41">
        <w:rPr>
          <w:rFonts w:ascii="Garamond" w:hAnsi="Garamond"/>
          <w:bCs/>
          <w:iCs/>
          <w:sz w:val="20"/>
          <w:szCs w:val="20"/>
        </w:rPr>
        <w:t xml:space="preserve">44. Batte, A., Menon, S., </w:t>
      </w:r>
      <w:proofErr w:type="spellStart"/>
      <w:r w:rsidRPr="00A03F41">
        <w:rPr>
          <w:rFonts w:ascii="Garamond" w:hAnsi="Garamond"/>
          <w:bCs/>
          <w:iCs/>
          <w:sz w:val="20"/>
          <w:szCs w:val="20"/>
        </w:rPr>
        <w:t>Ssenkusu</w:t>
      </w:r>
      <w:proofErr w:type="spellEnd"/>
      <w:r w:rsidRPr="00A03F41">
        <w:rPr>
          <w:rFonts w:ascii="Garamond" w:hAnsi="Garamond"/>
          <w:bCs/>
          <w:iCs/>
          <w:sz w:val="20"/>
          <w:szCs w:val="20"/>
        </w:rPr>
        <w:t xml:space="preserve">, J. M., </w:t>
      </w:r>
      <w:proofErr w:type="spellStart"/>
      <w:r w:rsidRPr="00A03F41">
        <w:rPr>
          <w:rFonts w:ascii="Garamond" w:hAnsi="Garamond"/>
          <w:bCs/>
          <w:iCs/>
          <w:sz w:val="20"/>
          <w:szCs w:val="20"/>
        </w:rPr>
        <w:t>Kiguli</w:t>
      </w:r>
      <w:proofErr w:type="spellEnd"/>
      <w:r w:rsidRPr="00A03F41">
        <w:rPr>
          <w:rFonts w:ascii="Garamond" w:hAnsi="Garamond"/>
          <w:bCs/>
          <w:iCs/>
          <w:sz w:val="20"/>
          <w:szCs w:val="20"/>
        </w:rPr>
        <w:t xml:space="preserve">, S., </w:t>
      </w:r>
      <w:proofErr w:type="spellStart"/>
      <w:r w:rsidRPr="00A03F41">
        <w:rPr>
          <w:rFonts w:ascii="Garamond" w:hAnsi="Garamond"/>
          <w:bCs/>
          <w:iCs/>
          <w:sz w:val="20"/>
          <w:szCs w:val="20"/>
        </w:rPr>
        <w:t>Kalyesubula</w:t>
      </w:r>
      <w:proofErr w:type="spellEnd"/>
      <w:r w:rsidRPr="00A03F41">
        <w:rPr>
          <w:rFonts w:ascii="Garamond" w:hAnsi="Garamond"/>
          <w:bCs/>
          <w:iCs/>
          <w:sz w:val="20"/>
          <w:szCs w:val="20"/>
        </w:rPr>
        <w:t>, R., Lubega, J., Berrens, Z., Mutebi, E. I., Ogwang, R., Opoka, R. O., John, C. C., &amp; Conroy, A. L. (2022).</w:t>
      </w:r>
      <w:r w:rsidRPr="00A03F41">
        <w:rPr>
          <w:rFonts w:ascii="Garamond" w:hAnsi="Garamond"/>
          <w:bCs/>
          <w:iCs/>
          <w:sz w:val="20"/>
          <w:szCs w:val="20"/>
        </w:rPr>
        <w:tab/>
        <w:t xml:space="preserve">Neutrophil gelatinase-associated lipocalin is elevated in children with acute </w:t>
      </w:r>
      <w:proofErr w:type="spellStart"/>
      <w:r w:rsidRPr="00A03F41">
        <w:rPr>
          <w:rFonts w:ascii="Garamond" w:hAnsi="Garamond"/>
          <w:bCs/>
          <w:iCs/>
          <w:sz w:val="20"/>
          <w:szCs w:val="20"/>
        </w:rPr>
        <w:t>kidneyinjury</w:t>
      </w:r>
      <w:proofErr w:type="spellEnd"/>
      <w:r w:rsidRPr="00A03F41">
        <w:rPr>
          <w:rFonts w:ascii="Garamond" w:hAnsi="Garamond"/>
          <w:bCs/>
          <w:iCs/>
          <w:sz w:val="20"/>
          <w:szCs w:val="20"/>
        </w:rPr>
        <w:t xml:space="preserve"> and sickle cell anemia, and predicts mortality. </w:t>
      </w:r>
      <w:r w:rsidRPr="00A03F41">
        <w:rPr>
          <w:rFonts w:ascii="Garamond" w:hAnsi="Garamond"/>
          <w:bCs/>
          <w:i/>
          <w:iCs/>
          <w:sz w:val="20"/>
          <w:szCs w:val="20"/>
        </w:rPr>
        <w:t>Kidney International</w:t>
      </w:r>
      <w:r w:rsidRPr="00A03F41">
        <w:rPr>
          <w:rFonts w:ascii="Garamond" w:hAnsi="Garamond"/>
          <w:bCs/>
          <w:iCs/>
          <w:sz w:val="20"/>
          <w:szCs w:val="20"/>
        </w:rPr>
        <w:t>, </w:t>
      </w:r>
      <w:r w:rsidRPr="00A03F41">
        <w:rPr>
          <w:rFonts w:ascii="Garamond" w:hAnsi="Garamond"/>
          <w:bCs/>
          <w:i/>
          <w:iCs/>
          <w:sz w:val="20"/>
          <w:szCs w:val="20"/>
        </w:rPr>
        <w:t>102</w:t>
      </w:r>
      <w:r w:rsidRPr="00A03F41">
        <w:rPr>
          <w:rFonts w:ascii="Garamond" w:hAnsi="Garamond"/>
          <w:bCs/>
          <w:iCs/>
          <w:sz w:val="20"/>
          <w:szCs w:val="20"/>
        </w:rPr>
        <w:t>(4),</w:t>
      </w:r>
      <w:r w:rsidRPr="00A03F41">
        <w:rPr>
          <w:rFonts w:ascii="Garamond" w:hAnsi="Garamond"/>
          <w:bCs/>
          <w:iCs/>
          <w:sz w:val="20"/>
          <w:szCs w:val="20"/>
        </w:rPr>
        <w:tab/>
        <w:t>885–893.</w:t>
      </w:r>
    </w:p>
    <w:p w14:paraId="7ABBAD8F"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45. Marouf, R., </w:t>
      </w:r>
      <w:proofErr w:type="spellStart"/>
      <w:r w:rsidRPr="00A03F41">
        <w:rPr>
          <w:rFonts w:ascii="Garamond" w:hAnsi="Garamond"/>
          <w:bCs/>
          <w:iCs/>
          <w:sz w:val="20"/>
          <w:szCs w:val="20"/>
        </w:rPr>
        <w:t>Adekile</w:t>
      </w:r>
      <w:proofErr w:type="spellEnd"/>
      <w:r w:rsidRPr="00A03F41">
        <w:rPr>
          <w:rFonts w:ascii="Garamond" w:hAnsi="Garamond"/>
          <w:bCs/>
          <w:iCs/>
          <w:sz w:val="20"/>
          <w:szCs w:val="20"/>
        </w:rPr>
        <w:t xml:space="preserve">, A. D., El-Muzaini, H., Abdulla, R., &amp; </w:t>
      </w:r>
      <w:proofErr w:type="spellStart"/>
      <w:r w:rsidRPr="00A03F41">
        <w:rPr>
          <w:rFonts w:ascii="Garamond" w:hAnsi="Garamond"/>
          <w:bCs/>
          <w:iCs/>
          <w:sz w:val="20"/>
          <w:szCs w:val="20"/>
        </w:rPr>
        <w:t>Mojiminiyi</w:t>
      </w:r>
      <w:proofErr w:type="spellEnd"/>
      <w:r w:rsidRPr="00A03F41">
        <w:rPr>
          <w:rFonts w:ascii="Garamond" w:hAnsi="Garamond"/>
          <w:bCs/>
          <w:iCs/>
          <w:sz w:val="20"/>
          <w:szCs w:val="20"/>
        </w:rPr>
        <w:t>, O. A. (2021). Neutrophil gelatinase–associated lipocalin as a biomarker of nephropathy in</w:t>
      </w:r>
      <w:r w:rsidRPr="00A03F41">
        <w:rPr>
          <w:rFonts w:ascii="Garamond" w:hAnsi="Garamond"/>
          <w:bCs/>
          <w:iCs/>
          <w:sz w:val="20"/>
          <w:szCs w:val="20"/>
        </w:rPr>
        <w:tab/>
        <w:t xml:space="preserve">sickle cell disease. </w:t>
      </w:r>
      <w:r w:rsidRPr="00A03F41">
        <w:rPr>
          <w:rFonts w:ascii="Garamond" w:hAnsi="Garamond"/>
          <w:bCs/>
          <w:i/>
          <w:iCs/>
          <w:sz w:val="20"/>
          <w:szCs w:val="20"/>
        </w:rPr>
        <w:t>Annals of Hematology, 100</w:t>
      </w:r>
      <w:r w:rsidRPr="00A03F41">
        <w:rPr>
          <w:rFonts w:ascii="Garamond" w:hAnsi="Garamond"/>
          <w:bCs/>
          <w:iCs/>
          <w:sz w:val="20"/>
          <w:szCs w:val="20"/>
        </w:rPr>
        <w:t xml:space="preserve">(6), 1401–1408. </w:t>
      </w:r>
      <w:bookmarkEnd w:id="25"/>
    </w:p>
    <w:p w14:paraId="0CFE3B8B" w14:textId="4668F935"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46. </w:t>
      </w:r>
      <w:proofErr w:type="spellStart"/>
      <w:r w:rsidRPr="00A03F41">
        <w:rPr>
          <w:rFonts w:ascii="Garamond" w:hAnsi="Garamond"/>
          <w:bCs/>
          <w:iCs/>
          <w:sz w:val="20"/>
          <w:szCs w:val="20"/>
        </w:rPr>
        <w:t>Ataga</w:t>
      </w:r>
      <w:proofErr w:type="spellEnd"/>
      <w:r w:rsidRPr="00A03F41">
        <w:rPr>
          <w:rFonts w:ascii="Garamond" w:hAnsi="Garamond"/>
          <w:bCs/>
          <w:iCs/>
          <w:sz w:val="20"/>
          <w:szCs w:val="20"/>
        </w:rPr>
        <w:t xml:space="preserve">, K. I., </w:t>
      </w:r>
      <w:proofErr w:type="spellStart"/>
      <w:r w:rsidRPr="00A03F41">
        <w:rPr>
          <w:rFonts w:ascii="Garamond" w:hAnsi="Garamond"/>
          <w:bCs/>
          <w:iCs/>
          <w:sz w:val="20"/>
          <w:szCs w:val="20"/>
        </w:rPr>
        <w:t>Derebail</w:t>
      </w:r>
      <w:proofErr w:type="spellEnd"/>
      <w:r w:rsidRPr="00A03F41">
        <w:rPr>
          <w:rFonts w:ascii="Garamond" w:hAnsi="Garamond"/>
          <w:bCs/>
          <w:iCs/>
          <w:sz w:val="20"/>
          <w:szCs w:val="20"/>
        </w:rPr>
        <w:t xml:space="preserve">, V. K., &amp; Archer, D. R. (2020). Novel biomarkers for early detection of kidney dysfunction in sickle cell disease. </w:t>
      </w:r>
      <w:r w:rsidRPr="00A03F41">
        <w:rPr>
          <w:rFonts w:ascii="Garamond" w:hAnsi="Garamond"/>
          <w:bCs/>
          <w:i/>
          <w:iCs/>
          <w:sz w:val="20"/>
          <w:szCs w:val="20"/>
        </w:rPr>
        <w:t>American Journal of Hematology</w:t>
      </w:r>
      <w:r w:rsidRPr="00A03F41">
        <w:rPr>
          <w:rFonts w:ascii="Garamond" w:hAnsi="Garamond"/>
          <w:bCs/>
          <w:iCs/>
          <w:sz w:val="20"/>
          <w:szCs w:val="20"/>
        </w:rPr>
        <w:t xml:space="preserve">, </w:t>
      </w:r>
      <w:r w:rsidRPr="00A03F41">
        <w:rPr>
          <w:rFonts w:ascii="Garamond" w:hAnsi="Garamond"/>
          <w:bCs/>
          <w:i/>
          <w:iCs/>
          <w:sz w:val="20"/>
          <w:szCs w:val="20"/>
        </w:rPr>
        <w:t>95</w:t>
      </w:r>
      <w:r w:rsidRPr="00A03F41">
        <w:rPr>
          <w:rFonts w:ascii="Garamond" w:hAnsi="Garamond"/>
          <w:bCs/>
          <w:iCs/>
          <w:sz w:val="20"/>
          <w:szCs w:val="20"/>
        </w:rPr>
        <w:t>(3),</w:t>
      </w:r>
      <w:r>
        <w:rPr>
          <w:rFonts w:ascii="Garamond" w:hAnsi="Garamond"/>
          <w:bCs/>
          <w:iCs/>
          <w:sz w:val="20"/>
          <w:szCs w:val="20"/>
        </w:rPr>
        <w:t xml:space="preserve"> </w:t>
      </w:r>
      <w:r w:rsidRPr="00A03F41">
        <w:rPr>
          <w:rFonts w:ascii="Garamond" w:hAnsi="Garamond"/>
          <w:bCs/>
          <w:iCs/>
          <w:sz w:val="20"/>
          <w:szCs w:val="20"/>
        </w:rPr>
        <w:t>63-66.</w:t>
      </w:r>
      <w:r w:rsidRPr="00A03F41">
        <w:rPr>
          <w:rFonts w:ascii="Garamond" w:hAnsi="Garamond"/>
          <w:bCs/>
          <w:iCs/>
          <w:sz w:val="20"/>
          <w:szCs w:val="20"/>
        </w:rPr>
        <w:tab/>
      </w:r>
    </w:p>
    <w:p w14:paraId="103EE8E3"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47. Niss, O., </w:t>
      </w:r>
      <w:proofErr w:type="spellStart"/>
      <w:r w:rsidRPr="00A03F41">
        <w:rPr>
          <w:rFonts w:ascii="Garamond" w:hAnsi="Garamond"/>
          <w:bCs/>
          <w:iCs/>
          <w:sz w:val="20"/>
          <w:szCs w:val="20"/>
        </w:rPr>
        <w:t>Chonat</w:t>
      </w:r>
      <w:proofErr w:type="spellEnd"/>
      <w:r w:rsidRPr="00A03F41">
        <w:rPr>
          <w:rFonts w:ascii="Garamond" w:hAnsi="Garamond"/>
          <w:bCs/>
          <w:iCs/>
          <w:sz w:val="20"/>
          <w:szCs w:val="20"/>
        </w:rPr>
        <w:t xml:space="preserve">, S., &amp; Dagaonkar, N. (2021). Kidney injury molecule-1 and NGAL identify acute kidney injury in sickle cell disease. </w:t>
      </w:r>
      <w:proofErr w:type="spellStart"/>
      <w:r w:rsidRPr="00A03F41">
        <w:rPr>
          <w:rFonts w:ascii="Garamond" w:hAnsi="Garamond"/>
          <w:bCs/>
          <w:i/>
          <w:iCs/>
          <w:sz w:val="20"/>
          <w:szCs w:val="20"/>
        </w:rPr>
        <w:t>Pediatr</w:t>
      </w:r>
      <w:proofErr w:type="spellEnd"/>
      <w:r w:rsidRPr="00A03F41">
        <w:rPr>
          <w:rFonts w:ascii="Garamond" w:hAnsi="Garamond"/>
          <w:bCs/>
          <w:i/>
          <w:iCs/>
          <w:sz w:val="20"/>
          <w:szCs w:val="20"/>
        </w:rPr>
        <w:t xml:space="preserve"> Nephrol</w:t>
      </w:r>
      <w:r w:rsidRPr="00A03F41">
        <w:rPr>
          <w:rFonts w:ascii="Garamond" w:hAnsi="Garamond"/>
          <w:bCs/>
          <w:iCs/>
          <w:sz w:val="20"/>
          <w:szCs w:val="20"/>
        </w:rPr>
        <w:t xml:space="preserve">, </w:t>
      </w:r>
      <w:r w:rsidRPr="00A03F41">
        <w:rPr>
          <w:rFonts w:ascii="Garamond" w:hAnsi="Garamond"/>
          <w:bCs/>
          <w:i/>
          <w:iCs/>
          <w:sz w:val="20"/>
          <w:szCs w:val="20"/>
        </w:rPr>
        <w:t>36</w:t>
      </w:r>
      <w:r w:rsidRPr="00A03F41">
        <w:rPr>
          <w:rFonts w:ascii="Garamond" w:hAnsi="Garamond"/>
          <w:bCs/>
          <w:iCs/>
          <w:sz w:val="20"/>
          <w:szCs w:val="20"/>
        </w:rPr>
        <w:t>(2), 319–329.</w:t>
      </w:r>
    </w:p>
    <w:p w14:paraId="58791871" w14:textId="77777777"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 xml:space="preserve">48. Akinkunmi, F. B., Oladele, D. A., &amp; Adekanmbi, A. (2023). Interleukin-18 and NGAL as early markers of kidney injury in sickle cell patients. </w:t>
      </w:r>
      <w:r w:rsidRPr="00A03F41">
        <w:rPr>
          <w:rFonts w:ascii="Garamond" w:hAnsi="Garamond"/>
          <w:bCs/>
          <w:i/>
          <w:iCs/>
          <w:sz w:val="20"/>
          <w:szCs w:val="20"/>
        </w:rPr>
        <w:t>African Journal of</w:t>
      </w:r>
      <w:r w:rsidRPr="00A03F41">
        <w:rPr>
          <w:rFonts w:ascii="Garamond" w:hAnsi="Garamond"/>
          <w:bCs/>
          <w:i/>
          <w:iCs/>
          <w:sz w:val="20"/>
          <w:szCs w:val="20"/>
        </w:rPr>
        <w:tab/>
        <w:t>Laboratory Medicine</w:t>
      </w:r>
      <w:r w:rsidRPr="00A03F41">
        <w:rPr>
          <w:rFonts w:ascii="Garamond" w:hAnsi="Garamond"/>
          <w:bCs/>
          <w:iCs/>
          <w:sz w:val="20"/>
          <w:szCs w:val="20"/>
        </w:rPr>
        <w:t xml:space="preserve">, </w:t>
      </w:r>
      <w:r w:rsidRPr="00A03F41">
        <w:rPr>
          <w:rFonts w:ascii="Garamond" w:hAnsi="Garamond"/>
          <w:bCs/>
          <w:i/>
          <w:iCs/>
          <w:sz w:val="20"/>
          <w:szCs w:val="20"/>
        </w:rPr>
        <w:t>12</w:t>
      </w:r>
      <w:r w:rsidRPr="00A03F41">
        <w:rPr>
          <w:rFonts w:ascii="Garamond" w:hAnsi="Garamond"/>
          <w:bCs/>
          <w:iCs/>
          <w:sz w:val="20"/>
          <w:szCs w:val="20"/>
        </w:rPr>
        <w:t xml:space="preserve">(1), a1547. </w:t>
      </w:r>
    </w:p>
    <w:p w14:paraId="38AB87EF" w14:textId="442D3C92" w:rsidR="00A03F41" w:rsidRPr="00A03F41" w:rsidRDefault="00A03F41" w:rsidP="00501798">
      <w:pPr>
        <w:ind w:left="284" w:hanging="284"/>
        <w:rPr>
          <w:rFonts w:ascii="Garamond" w:hAnsi="Garamond"/>
          <w:bCs/>
          <w:iCs/>
          <w:sz w:val="20"/>
          <w:szCs w:val="20"/>
        </w:rPr>
      </w:pPr>
      <w:r w:rsidRPr="00A03F41">
        <w:rPr>
          <w:rFonts w:ascii="Garamond" w:hAnsi="Garamond"/>
          <w:bCs/>
          <w:iCs/>
          <w:sz w:val="20"/>
          <w:szCs w:val="20"/>
        </w:rPr>
        <w:t>49. Nadeau, K., Hildeman, D., &amp; Anderson, E. (2011). IL-18: A key cytokine in inflammation-</w:t>
      </w:r>
      <w:proofErr w:type="spellStart"/>
      <w:r w:rsidRPr="00A03F41">
        <w:rPr>
          <w:rFonts w:ascii="Garamond" w:hAnsi="Garamond"/>
          <w:bCs/>
          <w:iCs/>
          <w:sz w:val="20"/>
          <w:szCs w:val="20"/>
        </w:rPr>
        <w:t>drivenrenal</w:t>
      </w:r>
      <w:proofErr w:type="spellEnd"/>
      <w:r w:rsidRPr="00A03F41">
        <w:rPr>
          <w:rFonts w:ascii="Garamond" w:hAnsi="Garamond"/>
          <w:bCs/>
          <w:iCs/>
          <w:sz w:val="20"/>
          <w:szCs w:val="20"/>
        </w:rPr>
        <w:t xml:space="preserve"> dysfunction</w:t>
      </w:r>
      <w:r w:rsidRPr="00A03F41">
        <w:rPr>
          <w:rFonts w:ascii="Garamond" w:hAnsi="Garamond"/>
          <w:bCs/>
          <w:i/>
          <w:iCs/>
          <w:sz w:val="20"/>
          <w:szCs w:val="20"/>
        </w:rPr>
        <w:t>. Clin J Am Soc Nephrol</w:t>
      </w:r>
      <w:r w:rsidRPr="00A03F41">
        <w:rPr>
          <w:rFonts w:ascii="Garamond" w:hAnsi="Garamond"/>
          <w:bCs/>
          <w:iCs/>
          <w:sz w:val="20"/>
          <w:szCs w:val="20"/>
        </w:rPr>
        <w:t xml:space="preserve">, </w:t>
      </w:r>
      <w:r w:rsidRPr="00A03F41">
        <w:rPr>
          <w:rFonts w:ascii="Garamond" w:hAnsi="Garamond"/>
          <w:bCs/>
          <w:i/>
          <w:iCs/>
          <w:sz w:val="20"/>
          <w:szCs w:val="20"/>
        </w:rPr>
        <w:t>6</w:t>
      </w:r>
      <w:r w:rsidRPr="00A03F41">
        <w:rPr>
          <w:rFonts w:ascii="Garamond" w:hAnsi="Garamond"/>
          <w:bCs/>
          <w:iCs/>
          <w:sz w:val="20"/>
          <w:szCs w:val="20"/>
        </w:rPr>
        <w:t>(3), 476–485.</w:t>
      </w:r>
    </w:p>
    <w:p w14:paraId="5D03C878" w14:textId="77777777" w:rsidR="00580893" w:rsidRDefault="00580893" w:rsidP="007A1526">
      <w:pPr>
        <w:spacing w:line="259" w:lineRule="auto"/>
        <w:jc w:val="both"/>
        <w:rPr>
          <w:rFonts w:ascii="Garamond" w:hAnsi="Garamond"/>
          <w:bCs/>
          <w:iCs/>
          <w:sz w:val="20"/>
          <w:szCs w:val="20"/>
        </w:rPr>
      </w:pPr>
    </w:p>
    <w:p w14:paraId="589866C3" w14:textId="77777777" w:rsidR="00501798" w:rsidRDefault="00501798" w:rsidP="007A1526">
      <w:pPr>
        <w:spacing w:line="259" w:lineRule="auto"/>
        <w:jc w:val="both"/>
        <w:rPr>
          <w:rFonts w:ascii="Garamond" w:hAnsi="Garamond"/>
          <w:bCs/>
          <w:iCs/>
          <w:sz w:val="20"/>
          <w:szCs w:val="20"/>
        </w:rPr>
      </w:pPr>
    </w:p>
    <w:sectPr w:rsidR="00501798" w:rsidSect="00477BEB">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80D8B" w14:textId="77777777" w:rsidR="0031384C" w:rsidRDefault="0031384C" w:rsidP="00202B90">
      <w:r>
        <w:separator/>
      </w:r>
    </w:p>
  </w:endnote>
  <w:endnote w:type="continuationSeparator" w:id="0">
    <w:p w14:paraId="66AB4B7A" w14:textId="77777777" w:rsidR="0031384C" w:rsidRDefault="0031384C"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82535093"/>
      <w:docPartObj>
        <w:docPartGallery w:val="Page Numbers (Bottom of Page)"/>
        <w:docPartUnique/>
      </w:docPartObj>
    </w:sdtPr>
    <w:sdtContent>
      <w:p w14:paraId="4F4A4570" w14:textId="6D1249A0" w:rsidR="00A876BF" w:rsidRDefault="00A876BF" w:rsidP="000072D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sdt>
    <w:sdtPr>
      <w:rPr>
        <w:rStyle w:val="PageNumber"/>
      </w:rPr>
      <w:id w:val="-558084790"/>
      <w:docPartObj>
        <w:docPartGallery w:val="Page Numbers (Bottom of Page)"/>
        <w:docPartUnique/>
      </w:docPartObj>
    </w:sdtPr>
    <w:sdtContent>
      <w:p w14:paraId="514B0A90" w14:textId="44EA662F" w:rsidR="00A876BF" w:rsidRDefault="00A876BF" w:rsidP="00A876BF">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6216EB1D" w14:textId="77777777" w:rsidR="006914B1" w:rsidRDefault="006914B1" w:rsidP="00A876B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76052241"/>
      <w:docPartObj>
        <w:docPartGallery w:val="Page Numbers (Bottom of Page)"/>
        <w:docPartUnique/>
      </w:docPartObj>
    </w:sdtPr>
    <w:sdtContent>
      <w:p w14:paraId="21CE46E4" w14:textId="51A5EDE9" w:rsidR="00A876BF" w:rsidRDefault="00A876BF" w:rsidP="000072D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sdtContent>
  </w:sdt>
  <w:p w14:paraId="43AE1140" w14:textId="77777777" w:rsidR="006914B1" w:rsidRPr="00C419BC" w:rsidRDefault="006914B1" w:rsidP="00A876BF">
    <w:pPr>
      <w:ind w:right="360"/>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3B720FA0"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Garamond" w:hAnsi="Garamond"/>
        <w:sz w:val="20"/>
        <w:szCs w:val="20"/>
      </w:rPr>
      <w:id w:val="-239562216"/>
      <w:docPartObj>
        <w:docPartGallery w:val="Page Numbers (Bottom of Page)"/>
        <w:docPartUnique/>
      </w:docPartObj>
    </w:sdtPr>
    <w:sdtContent>
      <w:p w14:paraId="67EA3454" w14:textId="2E5F9EE2" w:rsidR="00A876BF" w:rsidRPr="00A876BF" w:rsidRDefault="00A876BF" w:rsidP="000072D5">
        <w:pPr>
          <w:pStyle w:val="Footer"/>
          <w:framePr w:wrap="none" w:vAnchor="text" w:hAnchor="margin" w:xAlign="right" w:y="1"/>
          <w:rPr>
            <w:rStyle w:val="PageNumber"/>
            <w:rFonts w:ascii="Garamond" w:hAnsi="Garamond"/>
            <w:sz w:val="20"/>
            <w:szCs w:val="20"/>
          </w:rPr>
        </w:pPr>
        <w:r w:rsidRPr="00A876BF">
          <w:rPr>
            <w:rStyle w:val="PageNumber"/>
            <w:rFonts w:ascii="Garamond" w:hAnsi="Garamond"/>
            <w:sz w:val="20"/>
            <w:szCs w:val="20"/>
          </w:rPr>
          <w:fldChar w:fldCharType="begin"/>
        </w:r>
        <w:r w:rsidRPr="00A876BF">
          <w:rPr>
            <w:rStyle w:val="PageNumber"/>
            <w:rFonts w:ascii="Garamond" w:hAnsi="Garamond"/>
            <w:sz w:val="20"/>
            <w:szCs w:val="20"/>
          </w:rPr>
          <w:instrText xml:space="preserve"> PAGE </w:instrText>
        </w:r>
        <w:r w:rsidRPr="00A876BF">
          <w:rPr>
            <w:rStyle w:val="PageNumber"/>
            <w:rFonts w:ascii="Garamond" w:hAnsi="Garamond"/>
            <w:sz w:val="20"/>
            <w:szCs w:val="20"/>
          </w:rPr>
          <w:fldChar w:fldCharType="separate"/>
        </w:r>
        <w:r w:rsidRPr="00A876BF">
          <w:rPr>
            <w:rStyle w:val="PageNumber"/>
            <w:rFonts w:ascii="Garamond" w:hAnsi="Garamond"/>
            <w:noProof/>
            <w:sz w:val="20"/>
            <w:szCs w:val="20"/>
          </w:rPr>
          <w:t>73</w:t>
        </w:r>
        <w:r w:rsidRPr="00A876BF">
          <w:rPr>
            <w:rStyle w:val="PageNumber"/>
            <w:rFonts w:ascii="Garamond" w:hAnsi="Garamond"/>
            <w:sz w:val="20"/>
            <w:szCs w:val="20"/>
          </w:rPr>
          <w:fldChar w:fldCharType="end"/>
        </w:r>
      </w:p>
    </w:sdtContent>
  </w:sdt>
  <w:p w14:paraId="6EC70A1D" w14:textId="77777777" w:rsidR="00A876BF" w:rsidRPr="00A876BF" w:rsidRDefault="00A876BF" w:rsidP="00A876BF">
    <w:pPr>
      <w:pStyle w:val="Footer"/>
      <w:tabs>
        <w:tab w:val="right" w:pos="9720"/>
      </w:tabs>
      <w:ind w:left="-360" w:right="-360"/>
      <w:rPr>
        <w:rFonts w:ascii="Garamond" w:hAnsi="Garamond"/>
        <w:sz w:val="20"/>
        <w:szCs w:val="20"/>
      </w:rPr>
    </w:pPr>
    <w:r w:rsidRPr="00A876BF">
      <w:rPr>
        <w:rFonts w:ascii="Garamond" w:hAnsi="Garamond"/>
        <w:sz w:val="20"/>
        <w:szCs w:val="20"/>
      </w:rPr>
      <w:t>The Nigerian Health Journal, Volume 26, Issue 1</w:t>
    </w:r>
  </w:p>
  <w:p w14:paraId="64DBE5E8" w14:textId="77777777" w:rsidR="00A876BF" w:rsidRPr="00A876BF" w:rsidRDefault="00A876BF" w:rsidP="00A876BF">
    <w:pPr>
      <w:pStyle w:val="Footer"/>
      <w:tabs>
        <w:tab w:val="right" w:pos="9720"/>
      </w:tabs>
      <w:ind w:left="-360" w:right="-360"/>
      <w:rPr>
        <w:rFonts w:ascii="Garamond" w:hAnsi="Garamond"/>
        <w:sz w:val="20"/>
        <w:szCs w:val="20"/>
      </w:rPr>
    </w:pPr>
    <w:r w:rsidRPr="00A876BF">
      <w:rPr>
        <w:rFonts w:ascii="Garamond" w:hAnsi="Garamond"/>
        <w:sz w:val="20"/>
        <w:szCs w:val="20"/>
      </w:rPr>
      <w:t>Published by The Nigerian Medical Association, Rivers State Branch.</w:t>
    </w:r>
  </w:p>
  <w:p w14:paraId="635A1780" w14:textId="77777777" w:rsidR="00A876BF" w:rsidRDefault="00A876BF" w:rsidP="00A876B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44EC5BCA" w14:textId="6376E5C8" w:rsidR="00716D19" w:rsidRPr="00A876BF" w:rsidRDefault="00A876BF" w:rsidP="00A876B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p>
  <w:p w14:paraId="3A8A2887" w14:textId="77777777" w:rsidR="00716D19" w:rsidRDefault="00716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CF373" w14:textId="77777777" w:rsidR="0031384C" w:rsidRDefault="0031384C" w:rsidP="00202B90">
      <w:bookmarkStart w:id="0" w:name="_Hlk191386689"/>
      <w:bookmarkEnd w:id="0"/>
      <w:r>
        <w:separator/>
      </w:r>
    </w:p>
  </w:footnote>
  <w:footnote w:type="continuationSeparator" w:id="0">
    <w:p w14:paraId="07DB6A64" w14:textId="77777777" w:rsidR="0031384C" w:rsidRDefault="0031384C"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0DE50617" w14:textId="77707758" w:rsidR="00E751DE" w:rsidRPr="00E751DE" w:rsidRDefault="00E751DE" w:rsidP="00E751DE">
    <w:pPr>
      <w:pStyle w:val="Header"/>
      <w:tabs>
        <w:tab w:val="left" w:pos="630"/>
      </w:tabs>
      <w:rPr>
        <w:rFonts w:ascii="Garamond" w:hAnsi="Garamond"/>
        <w:sz w:val="20"/>
        <w:szCs w:val="22"/>
      </w:rPr>
    </w:pPr>
    <w:r w:rsidRPr="00E751DE">
      <w:rPr>
        <w:rFonts w:ascii="Garamond" w:hAnsi="Garamond"/>
        <w:sz w:val="20"/>
        <w:szCs w:val="22"/>
      </w:rPr>
      <w:t>Assessment of Haptoglobin, Creatinine and Novel Markers of AKI in Sickle Cell Disease Patients</w:t>
    </w:r>
  </w:p>
  <w:p w14:paraId="5D172485" w14:textId="2965E3C2" w:rsidR="002238CA" w:rsidRDefault="00C844AE"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 xml:space="preserve">Suleman </w:t>
    </w:r>
    <w:r w:rsidR="008134A3">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7ABB18B" w14:textId="77777777" w:rsidR="00C844AE" w:rsidRPr="00E751DE" w:rsidRDefault="00C844AE" w:rsidP="00C844AE">
    <w:pPr>
      <w:pStyle w:val="Header"/>
      <w:tabs>
        <w:tab w:val="left" w:pos="630"/>
      </w:tabs>
      <w:rPr>
        <w:rFonts w:ascii="Garamond" w:hAnsi="Garamond"/>
        <w:sz w:val="20"/>
        <w:szCs w:val="22"/>
      </w:rPr>
    </w:pPr>
    <w:r w:rsidRPr="00E751DE">
      <w:rPr>
        <w:rFonts w:ascii="Garamond" w:hAnsi="Garamond"/>
        <w:sz w:val="20"/>
        <w:szCs w:val="22"/>
      </w:rPr>
      <w:t>Assessment of Haptoglobin, Creatinine and Novel Markers of AKI in Sickle Cell Disease Patients</w:t>
    </w:r>
  </w:p>
  <w:p w14:paraId="10C7115E" w14:textId="77777777" w:rsidR="00C844AE" w:rsidRDefault="00C844AE" w:rsidP="00C844AE">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Suleman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2147069" w14:textId="77777777" w:rsidR="00C844AE" w:rsidRPr="00E751DE" w:rsidRDefault="00C844AE" w:rsidP="00C844AE">
    <w:pPr>
      <w:pStyle w:val="Header"/>
      <w:tabs>
        <w:tab w:val="left" w:pos="630"/>
      </w:tabs>
      <w:rPr>
        <w:rFonts w:ascii="Garamond" w:hAnsi="Garamond"/>
        <w:sz w:val="20"/>
        <w:szCs w:val="22"/>
      </w:rPr>
    </w:pPr>
    <w:r w:rsidRPr="00E751DE">
      <w:rPr>
        <w:rFonts w:ascii="Garamond" w:hAnsi="Garamond"/>
        <w:sz w:val="20"/>
        <w:szCs w:val="22"/>
      </w:rPr>
      <w:t>Assessment of Haptoglobin, Creatinine and Novel Markers of AKI in Sickle Cell Disease Patients</w:t>
    </w:r>
  </w:p>
  <w:p w14:paraId="65292CE1" w14:textId="77777777" w:rsidR="00C844AE" w:rsidRDefault="00C844AE" w:rsidP="00C844AE">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Suleman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5CD2"/>
    <w:rsid w:val="00027874"/>
    <w:rsid w:val="00030449"/>
    <w:rsid w:val="00030481"/>
    <w:rsid w:val="000304B6"/>
    <w:rsid w:val="000369FD"/>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B7BDB"/>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710"/>
    <w:rsid w:val="00154D8F"/>
    <w:rsid w:val="00155E5E"/>
    <w:rsid w:val="00156EB2"/>
    <w:rsid w:val="001610A9"/>
    <w:rsid w:val="00161160"/>
    <w:rsid w:val="00162549"/>
    <w:rsid w:val="0016465D"/>
    <w:rsid w:val="001649CA"/>
    <w:rsid w:val="001724E2"/>
    <w:rsid w:val="00173D7A"/>
    <w:rsid w:val="00174F75"/>
    <w:rsid w:val="0017507F"/>
    <w:rsid w:val="00180EDE"/>
    <w:rsid w:val="001814CF"/>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458"/>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52E"/>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84C"/>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B7DFF"/>
    <w:rsid w:val="003C1F14"/>
    <w:rsid w:val="003C3052"/>
    <w:rsid w:val="003C3609"/>
    <w:rsid w:val="003C416E"/>
    <w:rsid w:val="003D02D5"/>
    <w:rsid w:val="003D1EC1"/>
    <w:rsid w:val="003D2681"/>
    <w:rsid w:val="003D27EA"/>
    <w:rsid w:val="003D29EC"/>
    <w:rsid w:val="003D3D88"/>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77BEB"/>
    <w:rsid w:val="00480046"/>
    <w:rsid w:val="0049178F"/>
    <w:rsid w:val="00491DAB"/>
    <w:rsid w:val="0049362C"/>
    <w:rsid w:val="0049425B"/>
    <w:rsid w:val="004955D1"/>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D6951"/>
    <w:rsid w:val="004E01BE"/>
    <w:rsid w:val="004E0E16"/>
    <w:rsid w:val="004E4397"/>
    <w:rsid w:val="004F0A11"/>
    <w:rsid w:val="00501798"/>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1A63"/>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0893"/>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20AB"/>
    <w:rsid w:val="00633617"/>
    <w:rsid w:val="006337C2"/>
    <w:rsid w:val="0063483A"/>
    <w:rsid w:val="00634896"/>
    <w:rsid w:val="006359CB"/>
    <w:rsid w:val="00637BD4"/>
    <w:rsid w:val="0064358A"/>
    <w:rsid w:val="006445E9"/>
    <w:rsid w:val="0065029F"/>
    <w:rsid w:val="0065243F"/>
    <w:rsid w:val="00652AEE"/>
    <w:rsid w:val="00655021"/>
    <w:rsid w:val="006561C1"/>
    <w:rsid w:val="00662212"/>
    <w:rsid w:val="00662359"/>
    <w:rsid w:val="00664166"/>
    <w:rsid w:val="00665430"/>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3641"/>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16D19"/>
    <w:rsid w:val="00720BE5"/>
    <w:rsid w:val="00720D2C"/>
    <w:rsid w:val="0072145F"/>
    <w:rsid w:val="007222F8"/>
    <w:rsid w:val="00723539"/>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67CDC"/>
    <w:rsid w:val="00870E31"/>
    <w:rsid w:val="00872466"/>
    <w:rsid w:val="00880A2F"/>
    <w:rsid w:val="00881704"/>
    <w:rsid w:val="00881A1D"/>
    <w:rsid w:val="00881D4B"/>
    <w:rsid w:val="00887420"/>
    <w:rsid w:val="00887763"/>
    <w:rsid w:val="00887A05"/>
    <w:rsid w:val="00894107"/>
    <w:rsid w:val="008A6C51"/>
    <w:rsid w:val="008A7C4B"/>
    <w:rsid w:val="008B0BAA"/>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983"/>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3F41"/>
    <w:rsid w:val="00A04637"/>
    <w:rsid w:val="00A068FA"/>
    <w:rsid w:val="00A1203D"/>
    <w:rsid w:val="00A17558"/>
    <w:rsid w:val="00A20207"/>
    <w:rsid w:val="00A2315B"/>
    <w:rsid w:val="00A238CB"/>
    <w:rsid w:val="00A23FB7"/>
    <w:rsid w:val="00A277A9"/>
    <w:rsid w:val="00A32F47"/>
    <w:rsid w:val="00A33286"/>
    <w:rsid w:val="00A337ED"/>
    <w:rsid w:val="00A36667"/>
    <w:rsid w:val="00A41D2E"/>
    <w:rsid w:val="00A41DF1"/>
    <w:rsid w:val="00A421BC"/>
    <w:rsid w:val="00A44D5D"/>
    <w:rsid w:val="00A46D12"/>
    <w:rsid w:val="00A55167"/>
    <w:rsid w:val="00A62503"/>
    <w:rsid w:val="00A642D9"/>
    <w:rsid w:val="00A7208F"/>
    <w:rsid w:val="00A72C0A"/>
    <w:rsid w:val="00A74B40"/>
    <w:rsid w:val="00A7575B"/>
    <w:rsid w:val="00A76763"/>
    <w:rsid w:val="00A812B6"/>
    <w:rsid w:val="00A822A5"/>
    <w:rsid w:val="00A876BF"/>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6CE1"/>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44AE"/>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B3EE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003"/>
    <w:rsid w:val="00E03513"/>
    <w:rsid w:val="00E03827"/>
    <w:rsid w:val="00E13E2E"/>
    <w:rsid w:val="00E142FC"/>
    <w:rsid w:val="00E14730"/>
    <w:rsid w:val="00E1544D"/>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751DE"/>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7501B"/>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1747"/>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chart" Target="charts/chart2.xml"/><Relationship Id="rId39" Type="http://schemas.openxmlformats.org/officeDocument/2006/relationships/hyperlink" Target="https://doi.org/10.35503/ijmlr.2023.8202" TargetMode="External"/><Relationship Id="rId21" Type="http://schemas.openxmlformats.org/officeDocument/2006/relationships/hyperlink" Target="https://doi.org/10.71637/tnhj.v26i1.1144" TargetMode="External"/><Relationship Id="rId34" Type="http://schemas.openxmlformats.org/officeDocument/2006/relationships/hyperlink" Target="https://doi.org/10.7812/tpp/11-125"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jpeg"/><Relationship Id="rId29" Type="http://schemas.openxmlformats.org/officeDocument/2006/relationships/hyperlink" Target="https://doi.org/10.1155/2012/60743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creativecommons.org/licenses/by/3.0/" TargetMode="External"/><Relationship Id="rId32" Type="http://schemas.openxmlformats.org/officeDocument/2006/relationships/hyperlink" Target="https://doi.org/10.1681/ASN.2019050501" TargetMode="External"/><Relationship Id="rId37" Type="http://schemas.openxmlformats.org/officeDocument/2006/relationships/hyperlink" Target="https://doi.org/10.1016/j.bpa.2017.07.003" TargetMode="External"/><Relationship Id="rId40" Type="http://schemas.openxmlformats.org/officeDocument/2006/relationships/hyperlink" Target="https://doi.org/10.1097/MPH.0000000000002642" TargetMode="Externa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creativecommons.org/licenses/by/3.0/" TargetMode="External"/><Relationship Id="rId28" Type="http://schemas.openxmlformats.org/officeDocument/2006/relationships/hyperlink" Target="https://www.nhs.uk/conditions/Sickle-cell-anemia/Pages/Introduction.aspx" TargetMode="External"/><Relationship Id="rId36" Type="http://schemas.openxmlformats.org/officeDocument/2006/relationships/hyperlink" Target="https://doi.org/10.1136/jcp.2005.031906" TargetMode="Externa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yperlink" Target="https://doi.org/10.3233/CH-20900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doi.org/10.71637/tnhj.v26i1.1144" TargetMode="External"/><Relationship Id="rId27" Type="http://schemas.openxmlformats.org/officeDocument/2006/relationships/footer" Target="footer7.xml"/><Relationship Id="rId30" Type="http://schemas.openxmlformats.org/officeDocument/2006/relationships/hyperlink" Target="https://doi.org/10.3389/fimmu.2020.00454" TargetMode="External"/><Relationship Id="rId35" Type="http://schemas.openxmlformats.org/officeDocument/2006/relationships/hyperlink" Target="https://doi.org/10.1053/ajkd.1998.v32.pm9696716"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chart" Target="charts/chart1.xml"/><Relationship Id="rId33" Type="http://schemas.openxmlformats.org/officeDocument/2006/relationships/hyperlink" Target="https://doi.org/10.1016/S0140-6736(12)61229-X" TargetMode="External"/><Relationship Id="rId38" Type="http://schemas.openxmlformats.org/officeDocument/2006/relationships/hyperlink" Target="https://doi.org/10.1053/j.ajkd.2003.10.040"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ocuments\ABUAD\Project%20Ref%20Materials\Analysis%20Dat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er\Documents\ABUAD\Project%20Ref%20Materials\Analysis%20Dat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Sheet5!$B$2</c:f>
              <c:strCache>
                <c:ptCount val="1"/>
                <c:pt idx="0">
                  <c:v>HP (ng/mL)</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trendline>
            <c:spPr>
              <a:ln w="38100" cap="rnd">
                <a:solidFill>
                  <a:schemeClr val="tx1"/>
                </a:solidFill>
                <a:prstDash val="sysDot"/>
              </a:ln>
              <a:effectLst/>
            </c:spPr>
            <c:trendlineType val="linear"/>
            <c:dispRSqr val="1"/>
            <c:dispEq val="1"/>
            <c:trendlineLbl>
              <c:layout>
                <c:manualLayout>
                  <c:x val="-4.2936789151356083E-2"/>
                  <c:y val="-0.10938137941090698"/>
                </c:manualLayout>
              </c:layout>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Arial Black" panose="020B0A04020102020204" pitchFamily="34" charset="0"/>
                        <a:ea typeface="+mn-ea"/>
                        <a:cs typeface="+mn-cs"/>
                      </a:defRPr>
                    </a:pPr>
                    <a:r>
                      <a:rPr lang="en-US" sz="1200" baseline="0" dirty="0">
                        <a:latin typeface="Arial Black" panose="020B0A04020102020204" pitchFamily="34" charset="0"/>
                      </a:rPr>
                      <a:t>y = 1.1035x - 72.039</a:t>
                    </a:r>
                    <a:br>
                      <a:rPr lang="en-US" sz="1200" baseline="0" dirty="0">
                        <a:latin typeface="Arial Black" panose="020B0A04020102020204" pitchFamily="34" charset="0"/>
                      </a:rPr>
                    </a:br>
                    <a:r>
                      <a:rPr lang="en-US" sz="1200" baseline="0" dirty="0">
                        <a:latin typeface="Arial Black" panose="020B0A04020102020204" pitchFamily="34" charset="0"/>
                      </a:rPr>
                      <a:t>R² = 0.4268**</a:t>
                    </a:r>
                    <a:endParaRPr lang="en-US" sz="1200" dirty="0">
                      <a:latin typeface="Arial Black" panose="020B0A04020102020204" pitchFamily="34" charset="0"/>
                    </a:endParaRPr>
                  </a:p>
                </c:rich>
              </c:tx>
              <c:numFmt formatCode="General" sourceLinked="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trendlineLbl>
          </c:trendline>
          <c:xVal>
            <c:numRef>
              <c:f>Sheet5!$A$3:$A$14</c:f>
              <c:numCache>
                <c:formatCode>General</c:formatCode>
                <c:ptCount val="12"/>
                <c:pt idx="0">
                  <c:v>94</c:v>
                </c:pt>
                <c:pt idx="1">
                  <c:v>82</c:v>
                </c:pt>
                <c:pt idx="2">
                  <c:v>88</c:v>
                </c:pt>
                <c:pt idx="3">
                  <c:v>102</c:v>
                </c:pt>
                <c:pt idx="4">
                  <c:v>98</c:v>
                </c:pt>
                <c:pt idx="5">
                  <c:v>88</c:v>
                </c:pt>
                <c:pt idx="6">
                  <c:v>112</c:v>
                </c:pt>
                <c:pt idx="7">
                  <c:v>98</c:v>
                </c:pt>
                <c:pt idx="8">
                  <c:v>110</c:v>
                </c:pt>
                <c:pt idx="9">
                  <c:v>102</c:v>
                </c:pt>
                <c:pt idx="10">
                  <c:v>101</c:v>
                </c:pt>
                <c:pt idx="11">
                  <c:v>98</c:v>
                </c:pt>
              </c:numCache>
            </c:numRef>
          </c:xVal>
          <c:yVal>
            <c:numRef>
              <c:f>Sheet5!$B$3:$B$14</c:f>
              <c:numCache>
                <c:formatCode>General</c:formatCode>
                <c:ptCount val="12"/>
                <c:pt idx="0">
                  <c:v>20</c:v>
                </c:pt>
                <c:pt idx="1">
                  <c:v>29</c:v>
                </c:pt>
                <c:pt idx="2">
                  <c:v>36</c:v>
                </c:pt>
                <c:pt idx="3">
                  <c:v>45</c:v>
                </c:pt>
                <c:pt idx="4">
                  <c:v>22</c:v>
                </c:pt>
                <c:pt idx="5">
                  <c:v>21</c:v>
                </c:pt>
                <c:pt idx="6">
                  <c:v>65</c:v>
                </c:pt>
                <c:pt idx="7">
                  <c:v>38</c:v>
                </c:pt>
                <c:pt idx="8">
                  <c:v>55</c:v>
                </c:pt>
                <c:pt idx="9">
                  <c:v>17</c:v>
                </c:pt>
                <c:pt idx="10">
                  <c:v>43</c:v>
                </c:pt>
                <c:pt idx="11">
                  <c:v>39</c:v>
                </c:pt>
              </c:numCache>
            </c:numRef>
          </c:yVal>
          <c:smooth val="0"/>
          <c:extLst>
            <c:ext xmlns:c16="http://schemas.microsoft.com/office/drawing/2014/chart" uri="{C3380CC4-5D6E-409C-BE32-E72D297353CC}">
              <c16:uniqueId val="{00000002-067C-45C3-BF55-F5E9AC126723}"/>
            </c:ext>
          </c:extLst>
        </c:ser>
        <c:dLbls>
          <c:showLegendKey val="0"/>
          <c:showVal val="0"/>
          <c:showCatName val="0"/>
          <c:showSerName val="0"/>
          <c:showPercent val="0"/>
          <c:showBubbleSize val="0"/>
        </c:dLbls>
        <c:axId val="427071320"/>
        <c:axId val="427072040"/>
      </c:scatterChart>
      <c:valAx>
        <c:axId val="4270713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600" b="0" i="0" u="none" strike="noStrike" kern="1200" baseline="0">
                    <a:solidFill>
                      <a:schemeClr val="tx1">
                        <a:lumMod val="65000"/>
                        <a:lumOff val="35000"/>
                      </a:schemeClr>
                    </a:solidFill>
                    <a:latin typeface="Arial Black" panose="020B0A04020102020204" pitchFamily="34" charset="0"/>
                    <a:ea typeface="+mn-ea"/>
                    <a:cs typeface="+mn-cs"/>
                  </a:defRPr>
                </a:pPr>
                <a:r>
                  <a:rPr lang="en-US" sz="1600">
                    <a:latin typeface="Arial Black" panose="020B0A04020102020204" pitchFamily="34" charset="0"/>
                  </a:rPr>
                  <a:t>HP</a:t>
                </a:r>
                <a:r>
                  <a:rPr lang="en-US" sz="1600" baseline="0">
                    <a:latin typeface="Arial Black" panose="020B0A04020102020204" pitchFamily="34" charset="0"/>
                  </a:rPr>
                  <a:t> (ng/mL)</a:t>
                </a:r>
                <a:endParaRPr lang="en-US" sz="1600">
                  <a:latin typeface="Arial Black" panose="020B0A04020102020204" pitchFamily="34" charset="0"/>
                </a:endParaRPr>
              </a:p>
            </c:rich>
          </c:tx>
          <c:overlay val="0"/>
          <c:spPr>
            <a:noFill/>
            <a:ln>
              <a:noFill/>
            </a:ln>
            <a:effectLst/>
          </c:spPr>
          <c:txPr>
            <a:bodyPr rot="0" spcFirstLastPara="1" vertOverflow="ellipsis" vert="horz" wrap="square" anchor="ctr" anchorCtr="1"/>
            <a:lstStyle/>
            <a:p>
              <a:pPr>
                <a:defRPr sz="16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crossAx val="427072040"/>
        <c:crosses val="autoZero"/>
        <c:crossBetween val="midCat"/>
      </c:valAx>
      <c:valAx>
        <c:axId val="427072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Arial Black" panose="020B0A04020102020204" pitchFamily="34" charset="0"/>
                    <a:ea typeface="+mn-ea"/>
                    <a:cs typeface="+mn-cs"/>
                  </a:defRPr>
                </a:pPr>
                <a:r>
                  <a:rPr lang="en-US" sz="1400">
                    <a:latin typeface="Arial Black" panose="020B0A04020102020204" pitchFamily="34" charset="0"/>
                  </a:rPr>
                  <a:t>NGAL</a:t>
                </a:r>
                <a:r>
                  <a:rPr lang="en-US" sz="1400" baseline="0">
                    <a:latin typeface="Arial Black" panose="020B0A04020102020204" pitchFamily="34" charset="0"/>
                  </a:rPr>
                  <a:t> (pg/mL)</a:t>
                </a:r>
                <a:endParaRPr lang="en-US" sz="1400">
                  <a:latin typeface="Arial Black" panose="020B0A04020102020204" pitchFamily="34" charset="0"/>
                </a:endParaRPr>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crossAx val="42707132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Sheet5!$E$2</c:f>
              <c:strCache>
                <c:ptCount val="1"/>
                <c:pt idx="0">
                  <c:v>WBC</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trendline>
            <c:spPr>
              <a:ln w="19050" cap="rnd">
                <a:solidFill>
                  <a:schemeClr val="accent1"/>
                </a:solidFill>
                <a:prstDash val="sysDot"/>
              </a:ln>
              <a:effectLst/>
            </c:spPr>
            <c:trendlineType val="linear"/>
            <c:dispRSqr val="0"/>
            <c:dispEq val="0"/>
          </c:trendline>
          <c:trendline>
            <c:spPr>
              <a:ln w="28575" cap="rnd">
                <a:solidFill>
                  <a:schemeClr val="tx1"/>
                </a:solidFill>
                <a:prstDash val="sysDot"/>
              </a:ln>
              <a:effectLst/>
            </c:spPr>
            <c:trendlineType val="linear"/>
            <c:dispRSqr val="1"/>
            <c:dispEq val="1"/>
            <c:trendlineLbl>
              <c:layout>
                <c:manualLayout>
                  <c:x val="7.0122484689413827E-3"/>
                  <c:y val="-0.11672827354913969"/>
                </c:manualLayout>
              </c:layout>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Arial Black" panose="020B0A04020102020204" pitchFamily="34" charset="0"/>
                        <a:ea typeface="+mn-ea"/>
                        <a:cs typeface="+mn-cs"/>
                      </a:defRPr>
                    </a:pPr>
                    <a:r>
                      <a:rPr lang="en-US" sz="1400" baseline="0" dirty="0">
                        <a:latin typeface="Arial Black" panose="020B0A04020102020204" pitchFamily="34" charset="0"/>
                      </a:rPr>
                      <a:t>y = 0.0076x + 14.142</a:t>
                    </a:r>
                    <a:br>
                      <a:rPr lang="en-US" sz="1400" baseline="0" dirty="0">
                        <a:latin typeface="Arial Black" panose="020B0A04020102020204" pitchFamily="34" charset="0"/>
                      </a:rPr>
                    </a:br>
                    <a:r>
                      <a:rPr lang="en-US" sz="1400" baseline="0" dirty="0">
                        <a:latin typeface="Arial Black" panose="020B0A04020102020204" pitchFamily="34" charset="0"/>
                      </a:rPr>
                      <a:t>R² = 0.068**</a:t>
                    </a:r>
                    <a:endParaRPr lang="en-US" sz="1400" dirty="0">
                      <a:latin typeface="Arial Black" panose="020B0A04020102020204" pitchFamily="34" charset="0"/>
                    </a:endParaRPr>
                  </a:p>
                </c:rich>
              </c:tx>
              <c:numFmt formatCode="General" sourceLinked="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trendlineLbl>
          </c:trendline>
          <c:xVal>
            <c:numRef>
              <c:f>Sheet5!$D$3:$D$14</c:f>
              <c:numCache>
                <c:formatCode>0.0</c:formatCode>
                <c:ptCount val="12"/>
                <c:pt idx="0">
                  <c:v>507</c:v>
                </c:pt>
                <c:pt idx="1">
                  <c:v>403.98800000000006</c:v>
                </c:pt>
                <c:pt idx="2">
                  <c:v>597.58400000000006</c:v>
                </c:pt>
                <c:pt idx="3">
                  <c:v>101.66</c:v>
                </c:pt>
                <c:pt idx="4">
                  <c:v>215.696</c:v>
                </c:pt>
                <c:pt idx="5">
                  <c:v>38.012</c:v>
                </c:pt>
                <c:pt idx="6">
                  <c:v>279.34400000000005</c:v>
                </c:pt>
                <c:pt idx="7">
                  <c:v>114.03600000000002</c:v>
                </c:pt>
                <c:pt idx="8">
                  <c:v>177.684</c:v>
                </c:pt>
                <c:pt idx="9">
                  <c:v>44.2</c:v>
                </c:pt>
                <c:pt idx="10">
                  <c:v>324</c:v>
                </c:pt>
                <c:pt idx="11">
                  <c:v>186</c:v>
                </c:pt>
              </c:numCache>
            </c:numRef>
          </c:xVal>
          <c:yVal>
            <c:numRef>
              <c:f>Sheet5!$E$3:$E$14</c:f>
              <c:numCache>
                <c:formatCode>General</c:formatCode>
                <c:ptCount val="12"/>
                <c:pt idx="0">
                  <c:v>30.2</c:v>
                </c:pt>
                <c:pt idx="1">
                  <c:v>13.9</c:v>
                </c:pt>
                <c:pt idx="2">
                  <c:v>15.8</c:v>
                </c:pt>
                <c:pt idx="3">
                  <c:v>12.9</c:v>
                </c:pt>
                <c:pt idx="4">
                  <c:v>14.8</c:v>
                </c:pt>
                <c:pt idx="5">
                  <c:v>14.5</c:v>
                </c:pt>
                <c:pt idx="6">
                  <c:v>12.7</c:v>
                </c:pt>
                <c:pt idx="7">
                  <c:v>16</c:v>
                </c:pt>
                <c:pt idx="8">
                  <c:v>16.8</c:v>
                </c:pt>
                <c:pt idx="9">
                  <c:v>21.6</c:v>
                </c:pt>
                <c:pt idx="10">
                  <c:v>11.4</c:v>
                </c:pt>
                <c:pt idx="11">
                  <c:v>11.8</c:v>
                </c:pt>
              </c:numCache>
            </c:numRef>
          </c:yVal>
          <c:smooth val="0"/>
          <c:extLst>
            <c:ext xmlns:c16="http://schemas.microsoft.com/office/drawing/2014/chart" uri="{C3380CC4-5D6E-409C-BE32-E72D297353CC}">
              <c16:uniqueId val="{00000003-84CC-4F54-B0B5-31237FB19759}"/>
            </c:ext>
          </c:extLst>
        </c:ser>
        <c:dLbls>
          <c:showLegendKey val="0"/>
          <c:showVal val="0"/>
          <c:showCatName val="0"/>
          <c:showSerName val="0"/>
          <c:showPercent val="0"/>
          <c:showBubbleSize val="0"/>
        </c:dLbls>
        <c:axId val="578607632"/>
        <c:axId val="578605832"/>
      </c:scatterChart>
      <c:valAx>
        <c:axId val="5786076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Arial Black" panose="020B0A04020102020204" pitchFamily="34" charset="0"/>
                    <a:ea typeface="+mn-ea"/>
                    <a:cs typeface="+mn-cs"/>
                  </a:defRPr>
                </a:pPr>
                <a:r>
                  <a:rPr lang="en-US" sz="1400">
                    <a:latin typeface="Arial Black" panose="020B0A04020102020204" pitchFamily="34" charset="0"/>
                  </a:rPr>
                  <a:t>Creatinine</a:t>
                </a:r>
                <a:r>
                  <a:rPr lang="en-US" sz="1400" baseline="0">
                    <a:latin typeface="Arial Black" panose="020B0A04020102020204" pitchFamily="34" charset="0"/>
                  </a:rPr>
                  <a:t> (µmol/L)</a:t>
                </a:r>
                <a:endParaRPr lang="en-US" sz="1400">
                  <a:latin typeface="Arial Black" panose="020B0A0402010202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crossAx val="578605832"/>
        <c:crosses val="autoZero"/>
        <c:crossBetween val="midCat"/>
      </c:valAx>
      <c:valAx>
        <c:axId val="5786058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Arial Black" panose="020B0A04020102020204" pitchFamily="34" charset="0"/>
                    <a:ea typeface="+mn-ea"/>
                    <a:cs typeface="+mn-cs"/>
                  </a:defRPr>
                </a:pPr>
                <a:r>
                  <a:rPr lang="en-US" sz="1200">
                    <a:latin typeface="Arial Black" panose="020B0A04020102020204" pitchFamily="34" charset="0"/>
                  </a:rPr>
                  <a:t>WBC</a:t>
                </a:r>
                <a:r>
                  <a:rPr lang="en-US" sz="1200" baseline="0">
                    <a:latin typeface="Arial Black" panose="020B0A04020102020204" pitchFamily="34" charset="0"/>
                  </a:rPr>
                  <a:t> (10^9 cells/L)</a:t>
                </a:r>
                <a:endParaRPr lang="en-US" sz="1200">
                  <a:latin typeface="Arial Black" panose="020B0A04020102020204" pitchFamily="34" charset="0"/>
                </a:endParaRP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Black" panose="020B0A04020102020204" pitchFamily="34" charset="0"/>
                <a:ea typeface="+mn-ea"/>
                <a:cs typeface="+mn-cs"/>
              </a:defRPr>
            </a:pPr>
            <a:endParaRPr lang="en-US"/>
          </a:p>
        </c:txPr>
        <c:crossAx val="578607632"/>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8701</Words>
  <Characters>49598</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2026-04-06T06:08:00Z</dcterms:created>
  <dcterms:modified xsi:type="dcterms:W3CDTF">2026-04-06T06:09:00Z</dcterms:modified>
</cp:coreProperties>
</file>