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14E0A42B" w:rsidR="006732D7" w:rsidRPr="000931E7" w:rsidRDefault="005238E4"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Review</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B31A9F9">
                <wp:simplePos x="0" y="0"/>
                <wp:positionH relativeFrom="column">
                  <wp:posOffset>-232117</wp:posOffset>
                </wp:positionH>
                <wp:positionV relativeFrom="paragraph">
                  <wp:posOffset>121773</wp:posOffset>
                </wp:positionV>
                <wp:extent cx="6419850" cy="794825"/>
                <wp:effectExtent l="0" t="0" r="19050" b="2476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79482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E6B914C" id="Round Diagonal Corner Rectangle 262" o:spid="_x0000_s1026" style="position:absolute;margin-left:-18.3pt;margin-top:9.6pt;width:505.5pt;height:62.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79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" path="m132473,l6419850,r,l6419850,662352v,73163,-59310,132473,-132473,132473l,794825r,l,132473c,59310,59310,,132473,xe" fillcolor="#1a601c" strokecolor="#385723" strokeweight="1pt">
                <v:stroke joinstyle="miter"/>
                <v:path arrowok="t" o:connecttype="custom" o:connectlocs="132473,0;6419850,0;6419850,0;6419850,662352;6287377,794825;0,794825;0,794825;0,132473;132473,0" o:connectangles="0,0,0,0,0,0,0,0,0"/>
              </v:shape>
            </w:pict>
          </mc:Fallback>
        </mc:AlternateContent>
      </w:r>
    </w:p>
    <w:p w14:paraId="04B2E931" w14:textId="77777777" w:rsidR="00D374D0" w:rsidRPr="00D374D0" w:rsidRDefault="00D374D0" w:rsidP="00D374D0">
      <w:pPr>
        <w:pBdr>
          <w:bottom w:val="single" w:sz="6" w:space="1" w:color="auto"/>
        </w:pBdr>
        <w:jc w:val="both"/>
        <w:rPr>
          <w:rFonts w:ascii="Garamond" w:hAnsi="Garamond" w:cs="Times New Roman"/>
          <w:b/>
          <w:bCs/>
          <w:color w:val="FFFFFF" w:themeColor="background1"/>
          <w:sz w:val="32"/>
          <w:szCs w:val="32"/>
          <w:lang w:val="en"/>
        </w:rPr>
      </w:pPr>
      <w:bookmarkStart w:id="1" w:name="_top"/>
      <w:bookmarkStart w:id="2" w:name="_Hlk192762964"/>
      <w:bookmarkStart w:id="3" w:name="_Hlk192836332"/>
      <w:bookmarkEnd w:id="1"/>
      <w:r w:rsidRPr="00D374D0">
        <w:rPr>
          <w:rFonts w:ascii="Garamond" w:hAnsi="Garamond" w:cs="Times New Roman"/>
          <w:b/>
          <w:bCs/>
          <w:color w:val="FFFFFF" w:themeColor="background1"/>
          <w:sz w:val="32"/>
          <w:szCs w:val="32"/>
          <w:lang w:val="en"/>
        </w:rPr>
        <w:t>Uric Acid as a Causal Risk Factor for Cardiometabolic Syndrome: Insights from Recent Epidemiological and Experimental Evidence</w:t>
      </w:r>
    </w:p>
    <w:p w14:paraId="3D4B136B" w14:textId="05EF2128" w:rsidR="006C521A" w:rsidRPr="006C521A" w:rsidRDefault="0024597C" w:rsidP="006C521A">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6C521A">
        <w:rPr>
          <w:rFonts w:ascii="Garamond" w:hAnsi="Garamond"/>
          <w:b/>
          <w:bCs/>
          <w:i/>
          <w:iCs/>
          <w:color w:val="FFFFFF" w:themeColor="background1"/>
          <w:sz w:val="22"/>
          <w:szCs w:val="22"/>
          <w:vertAlign w:val="superscript"/>
        </w:rPr>
        <w:t>,3</w:t>
      </w:r>
      <w:r w:rsidR="006C521A" w:rsidRPr="006C521A">
        <w:rPr>
          <w:rFonts w:ascii="Garamond" w:hAnsi="Garamond"/>
          <w:b/>
          <w:bCs/>
          <w:i/>
          <w:iCs/>
          <w:color w:val="FFFFFF" w:themeColor="background1"/>
          <w:sz w:val="22"/>
          <w:szCs w:val="22"/>
        </w:rPr>
        <w:t xml:space="preserve">Elizabeth </w:t>
      </w:r>
      <w:proofErr w:type="spellStart"/>
      <w:r w:rsidR="006C521A" w:rsidRPr="006C521A">
        <w:rPr>
          <w:rFonts w:ascii="Garamond" w:hAnsi="Garamond"/>
          <w:b/>
          <w:bCs/>
          <w:i/>
          <w:iCs/>
          <w:color w:val="FFFFFF" w:themeColor="background1"/>
          <w:sz w:val="22"/>
          <w:szCs w:val="22"/>
        </w:rPr>
        <w:t>Ojochebo</w:t>
      </w:r>
      <w:proofErr w:type="spellEnd"/>
      <w:r w:rsidR="006C521A" w:rsidRPr="006C521A">
        <w:rPr>
          <w:rFonts w:ascii="Garamond" w:hAnsi="Garamond"/>
          <w:b/>
          <w:bCs/>
          <w:i/>
          <w:iCs/>
          <w:color w:val="FFFFFF" w:themeColor="background1"/>
          <w:sz w:val="22"/>
          <w:szCs w:val="22"/>
        </w:rPr>
        <w:t xml:space="preserve"> </w:t>
      </w:r>
      <w:proofErr w:type="spellStart"/>
      <w:r w:rsidR="006C521A" w:rsidRPr="006C521A">
        <w:rPr>
          <w:rFonts w:ascii="Garamond" w:hAnsi="Garamond"/>
          <w:b/>
          <w:bCs/>
          <w:i/>
          <w:iCs/>
          <w:color w:val="FFFFFF" w:themeColor="background1"/>
          <w:sz w:val="22"/>
          <w:szCs w:val="22"/>
        </w:rPr>
        <w:t>Dangana</w:t>
      </w:r>
      <w:proofErr w:type="spellEnd"/>
      <w:r w:rsidR="006C521A">
        <w:rPr>
          <w:rFonts w:ascii="Garamond" w:hAnsi="Garamond"/>
          <w:b/>
          <w:bCs/>
          <w:i/>
          <w:iCs/>
          <w:color w:val="FFFFFF" w:themeColor="background1"/>
          <w:sz w:val="22"/>
          <w:szCs w:val="22"/>
        </w:rPr>
        <w:t xml:space="preserve">, </w:t>
      </w:r>
      <w:r w:rsidR="006C521A" w:rsidRPr="006C521A">
        <w:rPr>
          <w:rFonts w:ascii="Garamond" w:hAnsi="Garamond"/>
          <w:b/>
          <w:bCs/>
          <w:i/>
          <w:iCs/>
          <w:color w:val="FFFFFF" w:themeColor="background1"/>
          <w:sz w:val="22"/>
          <w:szCs w:val="22"/>
          <w:vertAlign w:val="superscript"/>
        </w:rPr>
        <w:t>1</w:t>
      </w:r>
      <w:r w:rsidR="006C521A" w:rsidRPr="006C521A">
        <w:rPr>
          <w:rFonts w:ascii="Garamond" w:hAnsi="Garamond"/>
          <w:b/>
          <w:bCs/>
          <w:i/>
          <w:iCs/>
          <w:color w:val="FFFFFF" w:themeColor="background1"/>
          <w:sz w:val="22"/>
          <w:szCs w:val="22"/>
        </w:rPr>
        <w:t>Nasiru Muhammed Negedu</w:t>
      </w:r>
      <w:r w:rsidR="006C521A">
        <w:rPr>
          <w:rFonts w:ascii="Garamond" w:hAnsi="Garamond"/>
          <w:b/>
          <w:bCs/>
          <w:i/>
          <w:iCs/>
          <w:color w:val="FFFFFF" w:themeColor="background1"/>
          <w:sz w:val="22"/>
          <w:szCs w:val="22"/>
        </w:rPr>
        <w:t>,</w:t>
      </w:r>
      <w:r w:rsidR="006C521A" w:rsidRPr="006C521A">
        <w:rPr>
          <w:rFonts w:ascii="Garamond" w:hAnsi="Garamond"/>
          <w:b/>
          <w:bCs/>
          <w:i/>
          <w:iCs/>
          <w:color w:val="FFFFFF" w:themeColor="background1"/>
          <w:sz w:val="22"/>
          <w:szCs w:val="22"/>
        </w:rPr>
        <w:t xml:space="preserve"> </w:t>
      </w:r>
      <w:r w:rsidR="006C521A" w:rsidRPr="006C521A">
        <w:rPr>
          <w:rFonts w:ascii="Garamond" w:hAnsi="Garamond"/>
          <w:b/>
          <w:bCs/>
          <w:i/>
          <w:iCs/>
          <w:color w:val="FFFFFF" w:themeColor="background1"/>
          <w:sz w:val="22"/>
          <w:szCs w:val="22"/>
          <w:vertAlign w:val="superscript"/>
        </w:rPr>
        <w:t>1</w:t>
      </w:r>
      <w:r w:rsidR="006C521A" w:rsidRPr="006C521A">
        <w:rPr>
          <w:rFonts w:ascii="Garamond" w:hAnsi="Garamond"/>
          <w:b/>
          <w:bCs/>
          <w:i/>
          <w:iCs/>
          <w:color w:val="FFFFFF" w:themeColor="background1"/>
          <w:sz w:val="22"/>
          <w:szCs w:val="22"/>
        </w:rPr>
        <w:t xml:space="preserve">Christian </w:t>
      </w:r>
      <w:proofErr w:type="spellStart"/>
      <w:r w:rsidR="006C521A" w:rsidRPr="006C521A">
        <w:rPr>
          <w:rFonts w:ascii="Garamond" w:hAnsi="Garamond"/>
          <w:b/>
          <w:bCs/>
          <w:i/>
          <w:iCs/>
          <w:color w:val="FFFFFF" w:themeColor="background1"/>
          <w:sz w:val="22"/>
          <w:szCs w:val="22"/>
        </w:rPr>
        <w:t>Atuluku</w:t>
      </w:r>
      <w:proofErr w:type="spellEnd"/>
      <w:r w:rsidR="006C521A" w:rsidRPr="006C521A">
        <w:rPr>
          <w:rFonts w:ascii="Garamond" w:hAnsi="Garamond"/>
          <w:b/>
          <w:bCs/>
          <w:i/>
          <w:iCs/>
          <w:color w:val="FFFFFF" w:themeColor="background1"/>
          <w:sz w:val="22"/>
          <w:szCs w:val="22"/>
        </w:rPr>
        <w:t xml:space="preserve"> Ekpe</w:t>
      </w:r>
      <w:r w:rsidR="006C521A">
        <w:rPr>
          <w:rFonts w:ascii="Garamond" w:hAnsi="Garamond"/>
          <w:b/>
          <w:bCs/>
          <w:i/>
          <w:iCs/>
          <w:color w:val="FFFFFF" w:themeColor="background1"/>
          <w:sz w:val="22"/>
          <w:szCs w:val="22"/>
        </w:rPr>
        <w:t>,</w:t>
      </w:r>
      <w:r w:rsidR="006C521A" w:rsidRPr="006C521A">
        <w:rPr>
          <w:rFonts w:ascii="Garamond" w:hAnsi="Garamond"/>
          <w:b/>
          <w:bCs/>
          <w:i/>
          <w:iCs/>
          <w:color w:val="FFFFFF" w:themeColor="background1"/>
          <w:sz w:val="22"/>
          <w:szCs w:val="22"/>
        </w:rPr>
        <w:t xml:space="preserve"> </w:t>
      </w:r>
      <w:r w:rsidR="006C521A">
        <w:rPr>
          <w:rFonts w:ascii="Garamond" w:hAnsi="Garamond"/>
          <w:b/>
          <w:bCs/>
          <w:i/>
          <w:iCs/>
          <w:color w:val="FFFFFF" w:themeColor="background1"/>
          <w:sz w:val="22"/>
          <w:szCs w:val="22"/>
          <w:vertAlign w:val="superscript"/>
        </w:rPr>
        <w:t>2</w:t>
      </w:r>
      <w:r w:rsidR="006C521A" w:rsidRPr="006C521A">
        <w:rPr>
          <w:rFonts w:ascii="Garamond" w:hAnsi="Garamond"/>
          <w:b/>
          <w:bCs/>
          <w:i/>
          <w:iCs/>
          <w:color w:val="FFFFFF" w:themeColor="background1"/>
          <w:sz w:val="22"/>
          <w:szCs w:val="22"/>
        </w:rPr>
        <w:t xml:space="preserve">Simon Peterside </w:t>
      </w:r>
      <w:proofErr w:type="spellStart"/>
      <w:r w:rsidR="006C521A" w:rsidRPr="006C521A">
        <w:rPr>
          <w:rFonts w:ascii="Garamond" w:hAnsi="Garamond"/>
          <w:b/>
          <w:bCs/>
          <w:i/>
          <w:iCs/>
          <w:color w:val="FFFFFF" w:themeColor="background1"/>
          <w:sz w:val="22"/>
          <w:szCs w:val="22"/>
        </w:rPr>
        <w:t>Akogu</w:t>
      </w:r>
      <w:proofErr w:type="spellEnd"/>
      <w:r w:rsidR="006C521A">
        <w:rPr>
          <w:rFonts w:ascii="Garamond" w:hAnsi="Garamond"/>
          <w:b/>
          <w:bCs/>
          <w:i/>
          <w:iCs/>
          <w:color w:val="FFFFFF" w:themeColor="background1"/>
          <w:sz w:val="22"/>
          <w:szCs w:val="22"/>
        </w:rPr>
        <w:t xml:space="preserve">, </w:t>
      </w:r>
      <w:r w:rsidR="006C521A">
        <w:rPr>
          <w:rFonts w:ascii="Garamond" w:hAnsi="Garamond"/>
          <w:b/>
          <w:bCs/>
          <w:i/>
          <w:iCs/>
          <w:color w:val="FFFFFF" w:themeColor="background1"/>
          <w:sz w:val="22"/>
          <w:szCs w:val="22"/>
          <w:vertAlign w:val="superscript"/>
        </w:rPr>
        <w:t>3</w:t>
      </w:r>
      <w:r w:rsidR="006C521A" w:rsidRPr="006C521A">
        <w:rPr>
          <w:rFonts w:ascii="Garamond" w:hAnsi="Garamond"/>
          <w:b/>
          <w:bCs/>
          <w:i/>
          <w:iCs/>
          <w:color w:val="FFFFFF" w:themeColor="background1"/>
          <w:sz w:val="22"/>
          <w:szCs w:val="22"/>
        </w:rPr>
        <w:t>Ele</w:t>
      </w:r>
      <w:r w:rsidR="0066440C">
        <w:rPr>
          <w:rFonts w:ascii="Garamond" w:hAnsi="Garamond"/>
          <w:b/>
          <w:bCs/>
          <w:i/>
          <w:iCs/>
          <w:color w:val="FFFFFF" w:themeColor="background1"/>
          <w:sz w:val="22"/>
          <w:szCs w:val="22"/>
        </w:rPr>
        <w:t>o</w:t>
      </w:r>
      <w:r w:rsidR="006C521A" w:rsidRPr="006C521A">
        <w:rPr>
          <w:rFonts w:ascii="Garamond" w:hAnsi="Garamond"/>
          <w:b/>
          <w:bCs/>
          <w:i/>
          <w:iCs/>
          <w:color w:val="FFFFFF" w:themeColor="background1"/>
          <w:sz w:val="22"/>
          <w:szCs w:val="22"/>
        </w:rPr>
        <w:t>jo Benjamin</w:t>
      </w:r>
      <w:r w:rsidR="006C521A">
        <w:rPr>
          <w:rFonts w:ascii="Garamond" w:hAnsi="Garamond"/>
          <w:b/>
          <w:bCs/>
          <w:i/>
          <w:iCs/>
          <w:color w:val="FFFFFF" w:themeColor="background1"/>
          <w:sz w:val="22"/>
          <w:szCs w:val="22"/>
          <w:vertAlign w:val="superscript"/>
        </w:rPr>
        <w:t xml:space="preserve">, </w:t>
      </w:r>
      <w:r w:rsidR="006C521A" w:rsidRPr="006C521A">
        <w:rPr>
          <w:rFonts w:ascii="Garamond" w:hAnsi="Garamond"/>
          <w:b/>
          <w:bCs/>
          <w:i/>
          <w:iCs/>
          <w:color w:val="FFFFFF" w:themeColor="background1"/>
          <w:sz w:val="22"/>
          <w:szCs w:val="22"/>
          <w:vertAlign w:val="superscript"/>
        </w:rPr>
        <w:t>3,4</w:t>
      </w:r>
      <w:r w:rsidR="006C521A" w:rsidRPr="006C521A">
        <w:rPr>
          <w:rFonts w:ascii="Garamond" w:hAnsi="Garamond"/>
          <w:b/>
          <w:bCs/>
          <w:i/>
          <w:iCs/>
          <w:color w:val="FFFFFF" w:themeColor="background1"/>
          <w:sz w:val="22"/>
          <w:szCs w:val="22"/>
        </w:rPr>
        <w:t>Lawrence Aderemi Olatunj</w:t>
      </w:r>
      <w:r w:rsidR="006C521A">
        <w:rPr>
          <w:rFonts w:ascii="Garamond" w:hAnsi="Garamond"/>
          <w:b/>
          <w:bCs/>
          <w:i/>
          <w:iCs/>
          <w:color w:val="FFFFFF" w:themeColor="background1"/>
          <w:sz w:val="22"/>
          <w:szCs w:val="22"/>
        </w:rPr>
        <w:t>i</w:t>
      </w:r>
      <w:r w:rsidR="00740410">
        <w:rPr>
          <w:rFonts w:ascii="Garamond" w:hAnsi="Garamond"/>
          <w:b/>
          <w:bCs/>
          <w:i/>
          <w:iCs/>
          <w:color w:val="FFFFFF" w:themeColor="background1"/>
          <w:sz w:val="22"/>
          <w:szCs w:val="22"/>
        </w:rPr>
        <w:t xml:space="preserve"> </w:t>
      </w:r>
    </w:p>
    <w:p w14:paraId="49390183" w14:textId="239E1C23" w:rsidR="006C521A" w:rsidRPr="006C521A" w:rsidRDefault="006C521A" w:rsidP="006C521A">
      <w:pPr>
        <w:pBdr>
          <w:bottom w:val="single" w:sz="6" w:space="1" w:color="auto"/>
        </w:pBdr>
        <w:jc w:val="both"/>
        <w:rPr>
          <w:rFonts w:ascii="Garamond" w:hAnsi="Garamond"/>
          <w:i/>
          <w:iCs/>
          <w:sz w:val="20"/>
          <w:szCs w:val="20"/>
        </w:rPr>
      </w:pPr>
      <w:bookmarkStart w:id="4" w:name="_Hlk209348096"/>
      <w:bookmarkEnd w:id="2"/>
      <w:bookmarkEnd w:id="3"/>
      <w:r w:rsidRPr="006C521A">
        <w:rPr>
          <w:rFonts w:ascii="Garamond" w:hAnsi="Garamond"/>
          <w:i/>
          <w:iCs/>
          <w:sz w:val="20"/>
          <w:szCs w:val="20"/>
          <w:vertAlign w:val="superscript"/>
        </w:rPr>
        <w:t>1</w:t>
      </w:r>
      <w:r w:rsidRPr="006C521A">
        <w:rPr>
          <w:rFonts w:ascii="Garamond" w:hAnsi="Garamond"/>
          <w:i/>
          <w:iCs/>
          <w:sz w:val="20"/>
          <w:szCs w:val="20"/>
        </w:rPr>
        <w:t xml:space="preserve">Department of Physiology, Faculty of Basic Medical Sciences, College of Health Sciences, Prince Abubakar Audu University, </w:t>
      </w:r>
      <w:proofErr w:type="spellStart"/>
      <w:r w:rsidRPr="006C521A">
        <w:rPr>
          <w:rFonts w:ascii="Garamond" w:hAnsi="Garamond"/>
          <w:i/>
          <w:iCs/>
          <w:sz w:val="20"/>
          <w:szCs w:val="20"/>
        </w:rPr>
        <w:t>Anyigba</w:t>
      </w:r>
      <w:proofErr w:type="spellEnd"/>
      <w:r w:rsidRPr="006C521A">
        <w:rPr>
          <w:rFonts w:ascii="Garamond" w:hAnsi="Garamond"/>
          <w:i/>
          <w:iCs/>
          <w:sz w:val="20"/>
          <w:szCs w:val="20"/>
        </w:rPr>
        <w:t>, Kogi State, Nigeria.</w:t>
      </w:r>
    </w:p>
    <w:p w14:paraId="2AFBE9E4" w14:textId="77777777" w:rsidR="006C521A" w:rsidRPr="006C521A" w:rsidRDefault="006C521A" w:rsidP="006C521A">
      <w:pPr>
        <w:pBdr>
          <w:bottom w:val="single" w:sz="6" w:space="1" w:color="auto"/>
        </w:pBdr>
        <w:jc w:val="both"/>
        <w:rPr>
          <w:rFonts w:ascii="Garamond" w:hAnsi="Garamond"/>
          <w:i/>
          <w:iCs/>
          <w:sz w:val="20"/>
          <w:szCs w:val="20"/>
        </w:rPr>
      </w:pPr>
      <w:r w:rsidRPr="006C521A">
        <w:rPr>
          <w:rFonts w:ascii="Garamond" w:hAnsi="Garamond"/>
          <w:i/>
          <w:iCs/>
          <w:sz w:val="20"/>
          <w:szCs w:val="20"/>
          <w:vertAlign w:val="superscript"/>
        </w:rPr>
        <w:t>2</w:t>
      </w:r>
      <w:r w:rsidRPr="006C521A">
        <w:rPr>
          <w:rFonts w:ascii="Garamond" w:hAnsi="Garamond"/>
          <w:i/>
          <w:iCs/>
          <w:sz w:val="20"/>
          <w:szCs w:val="20"/>
        </w:rPr>
        <w:t xml:space="preserve">Department of Obstetrics and </w:t>
      </w:r>
      <w:proofErr w:type="spellStart"/>
      <w:r w:rsidRPr="006C521A">
        <w:rPr>
          <w:rFonts w:ascii="Garamond" w:hAnsi="Garamond"/>
          <w:i/>
          <w:iCs/>
          <w:sz w:val="20"/>
          <w:szCs w:val="20"/>
        </w:rPr>
        <w:t>Gynaecology</w:t>
      </w:r>
      <w:proofErr w:type="spellEnd"/>
      <w:r w:rsidRPr="006C521A">
        <w:rPr>
          <w:rFonts w:ascii="Garamond" w:hAnsi="Garamond"/>
          <w:i/>
          <w:iCs/>
          <w:sz w:val="20"/>
          <w:szCs w:val="20"/>
        </w:rPr>
        <w:t xml:space="preserve">, Faculty of Clinical Sciences, College of Health Sciences, Prince Abubakar Audu University, </w:t>
      </w:r>
      <w:proofErr w:type="spellStart"/>
      <w:r w:rsidRPr="006C521A">
        <w:rPr>
          <w:rFonts w:ascii="Garamond" w:hAnsi="Garamond"/>
          <w:i/>
          <w:iCs/>
          <w:sz w:val="20"/>
          <w:szCs w:val="20"/>
        </w:rPr>
        <w:t>Anyigba</w:t>
      </w:r>
      <w:proofErr w:type="spellEnd"/>
      <w:r w:rsidRPr="006C521A">
        <w:rPr>
          <w:rFonts w:ascii="Garamond" w:hAnsi="Garamond"/>
          <w:i/>
          <w:iCs/>
          <w:sz w:val="20"/>
          <w:szCs w:val="20"/>
        </w:rPr>
        <w:t>, Kogi State, Nigeria.</w:t>
      </w:r>
    </w:p>
    <w:p w14:paraId="1D488781" w14:textId="77777777" w:rsidR="006C521A" w:rsidRPr="006C521A" w:rsidRDefault="006C521A" w:rsidP="006C521A">
      <w:pPr>
        <w:pBdr>
          <w:bottom w:val="single" w:sz="6" w:space="1" w:color="auto"/>
        </w:pBdr>
        <w:jc w:val="both"/>
        <w:rPr>
          <w:rFonts w:ascii="Garamond" w:hAnsi="Garamond"/>
          <w:i/>
          <w:iCs/>
          <w:sz w:val="20"/>
          <w:szCs w:val="20"/>
        </w:rPr>
      </w:pPr>
      <w:r w:rsidRPr="006C521A">
        <w:rPr>
          <w:rFonts w:ascii="Garamond" w:hAnsi="Garamond"/>
          <w:i/>
          <w:iCs/>
          <w:sz w:val="20"/>
          <w:szCs w:val="20"/>
          <w:vertAlign w:val="superscript"/>
        </w:rPr>
        <w:t>3</w:t>
      </w:r>
      <w:r w:rsidRPr="006C521A">
        <w:rPr>
          <w:rFonts w:ascii="Garamond" w:hAnsi="Garamond"/>
          <w:i/>
          <w:iCs/>
          <w:sz w:val="20"/>
          <w:szCs w:val="20"/>
        </w:rPr>
        <w:t>Cardiometabolic Research and Awareness Foundation College of Health Sciences, University of Ilorin Kwara State, Nigeria</w:t>
      </w:r>
    </w:p>
    <w:p w14:paraId="028311C5" w14:textId="37D6B424" w:rsidR="006C521A" w:rsidRPr="006C521A" w:rsidRDefault="006C521A" w:rsidP="006C521A">
      <w:pPr>
        <w:pBdr>
          <w:bottom w:val="single" w:sz="6" w:space="1" w:color="auto"/>
        </w:pBdr>
        <w:jc w:val="both"/>
        <w:rPr>
          <w:rFonts w:ascii="Garamond" w:hAnsi="Garamond"/>
          <w:i/>
          <w:iCs/>
          <w:sz w:val="20"/>
          <w:szCs w:val="20"/>
        </w:rPr>
      </w:pPr>
      <w:r w:rsidRPr="006C521A">
        <w:rPr>
          <w:rFonts w:ascii="Garamond" w:hAnsi="Garamond"/>
          <w:i/>
          <w:iCs/>
          <w:sz w:val="20"/>
          <w:szCs w:val="20"/>
          <w:vertAlign w:val="superscript"/>
        </w:rPr>
        <w:t>4</w:t>
      </w:r>
      <w:r w:rsidRPr="006C521A">
        <w:rPr>
          <w:rFonts w:ascii="Garamond" w:hAnsi="Garamond"/>
          <w:i/>
          <w:iCs/>
          <w:sz w:val="20"/>
          <w:szCs w:val="20"/>
        </w:rPr>
        <w:t>Department of Physiology, Faculty of Basic Medical Sciences, College of Health Sciences, University of Ilorin Kwara State, Nigeria</w:t>
      </w:r>
      <w:r w:rsidR="00740410">
        <w:rPr>
          <w:rFonts w:ascii="Garamond" w:hAnsi="Garamond"/>
          <w:i/>
          <w:iCs/>
          <w:sz w:val="20"/>
          <w:szCs w:val="20"/>
        </w:rPr>
        <w:t xml:space="preserve"> </w:t>
      </w:r>
    </w:p>
    <w:p w14:paraId="6403B298" w14:textId="794D64FD" w:rsidR="002265FA" w:rsidRPr="002265FA" w:rsidRDefault="002265FA" w:rsidP="002265FA">
      <w:pPr>
        <w:pBdr>
          <w:bottom w:val="single" w:sz="6" w:space="1" w:color="auto"/>
        </w:pBdr>
        <w:jc w:val="both"/>
        <w:rPr>
          <w:rFonts w:ascii="Garamond" w:hAnsi="Garamond"/>
          <w:i/>
          <w:iCs/>
          <w:sz w:val="20"/>
          <w:szCs w:val="20"/>
        </w:rPr>
      </w:pPr>
    </w:p>
    <w:bookmarkEnd w:id="4"/>
    <w:p w14:paraId="413CFD05" w14:textId="15939005" w:rsidR="00855308" w:rsidRPr="0066440C" w:rsidRDefault="001D4D3C" w:rsidP="0066440C">
      <w:pPr>
        <w:rPr>
          <w:rFonts w:ascii="Garamond" w:eastAsia="Times New Roman" w:hAnsi="Garamond" w:cs="Times New Roman"/>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6C521A" w:rsidRPr="006C521A">
        <w:rPr>
          <w:rFonts w:ascii="Garamond" w:hAnsi="Garamond" w:cs="Segoe UI"/>
          <w:b/>
          <w:bCs/>
          <w:sz w:val="20"/>
          <w:szCs w:val="20"/>
          <w:shd w:val="clear" w:color="auto" w:fill="FFFFFF"/>
        </w:rPr>
        <w:t xml:space="preserve">Elizabeth Ojochebo </w:t>
      </w:r>
      <w:proofErr w:type="spellStart"/>
      <w:r w:rsidR="006C521A" w:rsidRPr="006C521A">
        <w:rPr>
          <w:rFonts w:ascii="Garamond" w:hAnsi="Garamond" w:cs="Segoe UI"/>
          <w:b/>
          <w:bCs/>
          <w:sz w:val="20"/>
          <w:szCs w:val="20"/>
          <w:shd w:val="clear" w:color="auto" w:fill="FFFFFF"/>
        </w:rPr>
        <w:t>Dangana</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6C521A" w:rsidRPr="006C521A">
        <w:rPr>
          <w:rFonts w:ascii="Garamond" w:hAnsi="Garamond"/>
          <w:bCs/>
          <w:sz w:val="20"/>
          <w:szCs w:val="20"/>
        </w:rPr>
        <w:t xml:space="preserve">Department of Physiology, College of Health Sciences, Kogi State University, </w:t>
      </w:r>
      <w:proofErr w:type="spellStart"/>
      <w:r w:rsidR="006C521A" w:rsidRPr="006C521A">
        <w:rPr>
          <w:rFonts w:ascii="Garamond" w:hAnsi="Garamond"/>
          <w:bCs/>
          <w:sz w:val="20"/>
          <w:szCs w:val="20"/>
        </w:rPr>
        <w:t>Anyigba</w:t>
      </w:r>
      <w:proofErr w:type="spellEnd"/>
      <w:r w:rsidR="006C521A">
        <w:rPr>
          <w:rFonts w:ascii="Garamond" w:hAnsi="Garamond"/>
          <w:bCs/>
          <w:sz w:val="20"/>
          <w:szCs w:val="20"/>
        </w:rPr>
        <w:t xml:space="preserve">, </w:t>
      </w:r>
      <w:r w:rsidR="006C521A" w:rsidRPr="006C521A">
        <w:rPr>
          <w:rFonts w:ascii="Garamond" w:hAnsi="Garamond"/>
          <w:bCs/>
          <w:sz w:val="20"/>
          <w:szCs w:val="20"/>
        </w:rPr>
        <w:t>Nigeria</w:t>
      </w:r>
      <w:r w:rsidR="006C521A">
        <w:rPr>
          <w:rFonts w:ascii="Garamond" w:hAnsi="Garamond"/>
          <w:bCs/>
          <w:sz w:val="20"/>
          <w:szCs w:val="20"/>
        </w:rPr>
        <w:t xml:space="preserve">. </w:t>
      </w:r>
      <w:hyperlink r:id="rId8">
        <w:r w:rsidR="0066440C" w:rsidRPr="00840979">
          <w:rPr>
            <w:rFonts w:ascii="Garamond" w:eastAsia="Times New Roman" w:hAnsi="Garamond" w:cs="Times New Roman"/>
            <w:color w:val="1155CC"/>
            <w:sz w:val="20"/>
            <w:szCs w:val="20"/>
            <w:u w:val="single"/>
          </w:rPr>
          <w:t>Dangana.e@ksu.ng</w:t>
        </w:r>
      </w:hyperlink>
      <w:r w:rsidR="0066440C">
        <w:rPr>
          <w:rFonts w:ascii="Garamond" w:eastAsia="Times New Roman" w:hAnsi="Garamond" w:cs="Times New Roman"/>
          <w:sz w:val="20"/>
          <w:szCs w:val="20"/>
        </w:rPr>
        <w:t xml:space="preserve">, </w:t>
      </w:r>
      <w:r w:rsidR="0066440C" w:rsidRPr="00840979">
        <w:rPr>
          <w:rFonts w:ascii="Garamond" w:eastAsia="Times New Roman" w:hAnsi="Garamond" w:cs="Times New Roman"/>
          <w:sz w:val="20"/>
          <w:szCs w:val="20"/>
        </w:rPr>
        <w:t>+2348072021604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4DF8DF6F"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6C521A">
        <w:rPr>
          <w:rFonts w:ascii="Garamond" w:hAnsi="Garamond"/>
          <w:sz w:val="16"/>
          <w:szCs w:val="16"/>
        </w:rPr>
        <w:t>15</w:t>
      </w:r>
      <w:r w:rsidR="00943E61" w:rsidRPr="00F30FAF">
        <w:rPr>
          <w:rFonts w:ascii="Garamond" w:hAnsi="Garamond"/>
          <w:sz w:val="16"/>
          <w:szCs w:val="16"/>
        </w:rPr>
        <w:t xml:space="preserve"> </w:t>
      </w:r>
      <w:r w:rsidR="005D69B0">
        <w:rPr>
          <w:rFonts w:ascii="Garamond" w:hAnsi="Garamond"/>
          <w:sz w:val="16"/>
          <w:szCs w:val="16"/>
        </w:rPr>
        <w:t>September</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6C521A">
        <w:rPr>
          <w:rFonts w:ascii="Garamond" w:hAnsi="Garamond"/>
          <w:sz w:val="16"/>
          <w:szCs w:val="16"/>
        </w:rPr>
        <w:t>14</w:t>
      </w:r>
      <w:r w:rsidR="00943E61" w:rsidRPr="00F30FAF">
        <w:rPr>
          <w:rFonts w:ascii="Garamond" w:hAnsi="Garamond"/>
          <w:sz w:val="16"/>
          <w:szCs w:val="16"/>
        </w:rPr>
        <w:t xml:space="preserve"> </w:t>
      </w:r>
      <w:r w:rsidR="005D69B0">
        <w:rPr>
          <w:rFonts w:ascii="Garamond" w:hAnsi="Garamond"/>
          <w:sz w:val="16"/>
          <w:szCs w:val="16"/>
        </w:rPr>
        <w:t>November</w:t>
      </w:r>
      <w:r w:rsidR="00943E61" w:rsidRPr="00F30FAF">
        <w:rPr>
          <w:rFonts w:ascii="Garamond" w:hAnsi="Garamond"/>
          <w:sz w:val="16"/>
          <w:szCs w:val="16"/>
        </w:rPr>
        <w:t xml:space="preserve"> 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5D69B0">
        <w:rPr>
          <w:rFonts w:ascii="Garamond" w:hAnsi="Garamond"/>
          <w:sz w:val="16"/>
          <w:szCs w:val="16"/>
        </w:rPr>
        <w:t>1</w:t>
      </w:r>
      <w:r w:rsidR="006C521A">
        <w:rPr>
          <w:rFonts w:ascii="Garamond" w:hAnsi="Garamond"/>
          <w:sz w:val="16"/>
          <w:szCs w:val="16"/>
        </w:rPr>
        <w:t>0</w:t>
      </w:r>
      <w:r w:rsidR="0023667C" w:rsidRPr="00F30FAF">
        <w:rPr>
          <w:rFonts w:ascii="Garamond" w:hAnsi="Garamond"/>
          <w:sz w:val="16"/>
          <w:szCs w:val="16"/>
        </w:rPr>
        <w:t xml:space="preserve"> </w:t>
      </w:r>
      <w:r w:rsidR="006C521A">
        <w:rPr>
          <w:rFonts w:ascii="Garamond" w:hAnsi="Garamond"/>
          <w:sz w:val="16"/>
          <w:szCs w:val="16"/>
        </w:rPr>
        <w:t>March</w:t>
      </w:r>
      <w:r w:rsidRPr="00F30FAF">
        <w:rPr>
          <w:rFonts w:ascii="Garamond" w:hAnsi="Garamond"/>
          <w:sz w:val="16"/>
          <w:szCs w:val="16"/>
        </w:rPr>
        <w:t xml:space="preserve"> 202</w:t>
      </w:r>
      <w:r w:rsidR="006C521A">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6A4672F2" w:rsidR="006732D7" w:rsidRPr="000931E7" w:rsidRDefault="00AA07A3" w:rsidP="006732D7">
      <w:pPr>
        <w:jc w:val="both"/>
        <w:rPr>
          <w:rFonts w:ascii="Garamond" w:hAnsi="Garamond"/>
          <w:sz w:val="22"/>
          <w:szCs w:val="22"/>
        </w:rPr>
      </w:pPr>
      <w:r w:rsidRPr="000931E7">
        <w:rPr>
          <w:rFonts w:ascii="Garamond" w:hAnsi="Garamond"/>
          <w:b/>
          <w:sz w:val="22"/>
          <w:szCs w:val="20"/>
        </w:rPr>
        <w:t>ABSTRACT</w:t>
      </w:r>
    </w:p>
    <w:p w14:paraId="526E1920" w14:textId="782F9267" w:rsidR="00D374D0" w:rsidRPr="00D374D0" w:rsidRDefault="0017507F" w:rsidP="00D374D0">
      <w:pPr>
        <w:jc w:val="both"/>
        <w:rPr>
          <w:rFonts w:ascii="Garamond" w:eastAsiaTheme="minorHAnsi" w:hAnsi="Garamond" w:cstheme="minorHAnsi"/>
          <w:bCs/>
          <w:sz w:val="20"/>
          <w:szCs w:val="20"/>
          <w:lang w:val="en"/>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D374D0">
        <w:rPr>
          <w:rFonts w:ascii="Garamond" w:eastAsiaTheme="minorHAnsi" w:hAnsi="Garamond" w:cstheme="minorHAnsi"/>
          <w:b/>
          <w:bCs/>
          <w:sz w:val="20"/>
          <w:szCs w:val="20"/>
          <w:lang w:val="en-GB"/>
        </w:rPr>
        <w:t xml:space="preserve"> </w:t>
      </w:r>
      <w:r w:rsidR="00D374D0" w:rsidRPr="00D374D0">
        <w:rPr>
          <w:rFonts w:ascii="Garamond" w:eastAsiaTheme="minorHAnsi" w:hAnsi="Garamond" w:cstheme="minorHAnsi"/>
          <w:bCs/>
          <w:sz w:val="20"/>
          <w:szCs w:val="20"/>
          <w:lang w:val="en"/>
        </w:rPr>
        <w:t xml:space="preserve">Uric acid is the end product of purine metabolism and serves as a major antioxidant in human plasma. While physiological concentrations may be protective, elevated serum uric acid has been increasingly associated with insulin resistance, type 2 diabetes mellitus, hypertension, </w:t>
      </w:r>
      <w:proofErr w:type="spellStart"/>
      <w:r w:rsidR="00D374D0" w:rsidRPr="00D374D0">
        <w:rPr>
          <w:rFonts w:ascii="Garamond" w:eastAsiaTheme="minorHAnsi" w:hAnsi="Garamond" w:cstheme="minorHAnsi"/>
          <w:bCs/>
          <w:sz w:val="20"/>
          <w:szCs w:val="20"/>
          <w:lang w:val="en"/>
        </w:rPr>
        <w:t>dyslipidaemia</w:t>
      </w:r>
      <w:proofErr w:type="spellEnd"/>
      <w:r w:rsidR="00D374D0" w:rsidRPr="00D374D0">
        <w:rPr>
          <w:rFonts w:ascii="Garamond" w:eastAsiaTheme="minorHAnsi" w:hAnsi="Garamond" w:cstheme="minorHAnsi"/>
          <w:bCs/>
          <w:sz w:val="20"/>
          <w:szCs w:val="20"/>
          <w:lang w:val="en"/>
        </w:rPr>
        <w:t xml:space="preserve">, and non-alcoholic fatty liver disease. The role of uric acid as a causal factor in cardiometabolic syndrome remains controversial.     </w:t>
      </w:r>
    </w:p>
    <w:p w14:paraId="64C6B96A" w14:textId="014AC3DC" w:rsidR="00D374D0" w:rsidRPr="00D374D0" w:rsidRDefault="00D374D0" w:rsidP="00D374D0">
      <w:pPr>
        <w:jc w:val="both"/>
        <w:rPr>
          <w:rFonts w:ascii="Garamond" w:eastAsiaTheme="minorHAnsi" w:hAnsi="Garamond" w:cstheme="minorHAnsi"/>
          <w:bCs/>
          <w:sz w:val="20"/>
          <w:szCs w:val="20"/>
          <w:lang w:val="en"/>
        </w:rPr>
      </w:pPr>
      <w:r w:rsidRPr="00D374D0">
        <w:rPr>
          <w:rFonts w:ascii="Garamond" w:eastAsiaTheme="minorHAnsi" w:hAnsi="Garamond" w:cstheme="minorHAnsi"/>
          <w:b/>
          <w:bCs/>
          <w:sz w:val="20"/>
          <w:szCs w:val="20"/>
          <w:lang w:val="en"/>
        </w:rPr>
        <w:t>Methods</w:t>
      </w:r>
      <w:r w:rsidR="00740410">
        <w:rPr>
          <w:rFonts w:ascii="Garamond" w:eastAsiaTheme="minorHAnsi" w:hAnsi="Garamond" w:cstheme="minorHAnsi"/>
          <w:bCs/>
          <w:sz w:val="20"/>
          <w:szCs w:val="20"/>
          <w:lang w:val="en"/>
        </w:rPr>
        <w:t xml:space="preserve">: </w:t>
      </w:r>
      <w:r w:rsidRPr="00D374D0">
        <w:rPr>
          <w:rFonts w:ascii="Garamond" w:eastAsiaTheme="minorHAnsi" w:hAnsi="Garamond" w:cstheme="minorHAnsi"/>
          <w:bCs/>
          <w:sz w:val="20"/>
          <w:szCs w:val="20"/>
          <w:lang w:val="en"/>
        </w:rPr>
        <w:t>This narrative review examined evidence from epidemiological studies, experimental animal models, genetic analyses, and clinical trials that investigated the relationship between serum uric acid and cardiometabolic syndrome and its components. Emphasis was placed on mechanistic pathways and clinical implications of hyperuricemia.</w:t>
      </w:r>
    </w:p>
    <w:p w14:paraId="36C3FAB7" w14:textId="4F2B8F64" w:rsidR="00D374D0" w:rsidRPr="00D374D0" w:rsidRDefault="00D374D0" w:rsidP="00D374D0">
      <w:pPr>
        <w:jc w:val="both"/>
        <w:rPr>
          <w:rFonts w:ascii="Garamond" w:eastAsiaTheme="minorHAnsi" w:hAnsi="Garamond" w:cstheme="minorHAnsi"/>
          <w:bCs/>
          <w:sz w:val="20"/>
          <w:szCs w:val="20"/>
          <w:lang w:val="en"/>
        </w:rPr>
      </w:pPr>
      <w:r w:rsidRPr="00D374D0">
        <w:rPr>
          <w:rFonts w:ascii="Garamond" w:eastAsiaTheme="minorHAnsi" w:hAnsi="Garamond" w:cstheme="minorHAnsi"/>
          <w:b/>
          <w:bCs/>
          <w:sz w:val="20"/>
          <w:szCs w:val="20"/>
          <w:lang w:val="en"/>
        </w:rPr>
        <w:t>Results</w:t>
      </w:r>
      <w:r w:rsidR="00740410">
        <w:rPr>
          <w:rFonts w:ascii="Garamond" w:eastAsiaTheme="minorHAnsi" w:hAnsi="Garamond" w:cstheme="minorHAnsi"/>
          <w:bCs/>
          <w:sz w:val="20"/>
          <w:szCs w:val="20"/>
          <w:lang w:val="en"/>
        </w:rPr>
        <w:t xml:space="preserve">: </w:t>
      </w:r>
      <w:r w:rsidRPr="00D374D0">
        <w:rPr>
          <w:rFonts w:ascii="Garamond" w:eastAsiaTheme="minorHAnsi" w:hAnsi="Garamond" w:cstheme="minorHAnsi"/>
          <w:bCs/>
          <w:sz w:val="20"/>
          <w:szCs w:val="20"/>
          <w:lang w:val="en"/>
        </w:rPr>
        <w:t>Most prospective and experimental studies indicate that elevated serum uric acid frequently precedes the development of insulin resistance and type 2 diabetes mellitus and is independently associated with cardiometabolic syndrome. Mechanistic evidence suggests that uric acid contributes to endothelial dysfunction through reduced nitric oxide bioavailability, increased oxidative stress, inflammation, and impaired insulin signaling. Hyperuricemia   has also been linked to hypertension, renal dysfunction, and hepatic triglyceride accumulation via pathways involving mitochondrial dysfunction and inhibition of AMP-activated protein kinase. Pharmacological reduction of uric acid has been associated with improvement in cardiometabolic parameters in experimental models and selected clinical studies.</w:t>
      </w:r>
    </w:p>
    <w:p w14:paraId="177604D7" w14:textId="77777777" w:rsidR="00D374D0" w:rsidRPr="00D374D0" w:rsidRDefault="00D374D0" w:rsidP="00D374D0">
      <w:pPr>
        <w:jc w:val="both"/>
        <w:rPr>
          <w:rFonts w:ascii="Garamond" w:eastAsiaTheme="minorHAnsi" w:hAnsi="Garamond" w:cstheme="minorHAnsi"/>
          <w:bCs/>
          <w:sz w:val="20"/>
          <w:szCs w:val="20"/>
          <w:lang w:val="en"/>
        </w:rPr>
      </w:pPr>
      <w:r w:rsidRPr="00D374D0">
        <w:rPr>
          <w:rFonts w:ascii="Garamond" w:eastAsiaTheme="minorHAnsi" w:hAnsi="Garamond" w:cstheme="minorHAnsi"/>
          <w:b/>
          <w:bCs/>
          <w:sz w:val="20"/>
          <w:szCs w:val="20"/>
          <w:lang w:val="en"/>
        </w:rPr>
        <w:t>Conclusion:</w:t>
      </w:r>
      <w:r w:rsidRPr="00D374D0">
        <w:rPr>
          <w:rFonts w:ascii="Garamond" w:eastAsiaTheme="minorHAnsi" w:hAnsi="Garamond" w:cstheme="minorHAnsi"/>
          <w:bCs/>
          <w:sz w:val="20"/>
          <w:szCs w:val="20"/>
          <w:lang w:val="en"/>
        </w:rPr>
        <w:t xml:space="preserve"> Current evidence supports a contributory role of elevated uric acid in the development of cardiometabolic syndrome. Uric acid may represent a modifiable risk factor and a potential therapeutic target in cardiometabolic disorders.  </w:t>
      </w:r>
    </w:p>
    <w:p w14:paraId="1602A6ED" w14:textId="77777777" w:rsidR="00D374D0" w:rsidRDefault="00D374D0" w:rsidP="00D374D0">
      <w:pPr>
        <w:jc w:val="both"/>
        <w:rPr>
          <w:rFonts w:ascii="Garamond" w:eastAsiaTheme="minorHAnsi" w:hAnsi="Garamond" w:cstheme="minorHAnsi"/>
          <w:b/>
          <w:bCs/>
          <w:sz w:val="20"/>
          <w:szCs w:val="20"/>
          <w:lang w:val="en"/>
        </w:rPr>
      </w:pPr>
    </w:p>
    <w:p w14:paraId="25A47516" w14:textId="5410726D" w:rsidR="00D374D0" w:rsidRPr="00D374D0" w:rsidRDefault="00D374D0" w:rsidP="00D374D0">
      <w:pPr>
        <w:jc w:val="both"/>
        <w:rPr>
          <w:rFonts w:ascii="Garamond" w:eastAsiaTheme="minorHAnsi" w:hAnsi="Garamond" w:cstheme="minorHAnsi"/>
          <w:bCs/>
          <w:sz w:val="20"/>
          <w:szCs w:val="20"/>
          <w:lang w:val="en"/>
        </w:rPr>
      </w:pPr>
      <w:r w:rsidRPr="00D374D0">
        <w:rPr>
          <w:rFonts w:ascii="Garamond" w:eastAsiaTheme="minorHAnsi" w:hAnsi="Garamond" w:cstheme="minorHAnsi"/>
          <w:b/>
          <w:bCs/>
          <w:sz w:val="20"/>
          <w:szCs w:val="20"/>
          <w:lang w:val="en"/>
        </w:rPr>
        <w:t>Keywords:</w:t>
      </w:r>
      <w:r w:rsidRPr="00D374D0">
        <w:rPr>
          <w:rFonts w:ascii="Garamond" w:eastAsiaTheme="minorHAnsi" w:hAnsi="Garamond" w:cstheme="minorHAnsi"/>
          <w:bCs/>
          <w:sz w:val="20"/>
          <w:szCs w:val="20"/>
          <w:lang w:val="en"/>
        </w:rPr>
        <w:t xml:space="preserve"> Uric acid; cardiometabolic syndrome; insulin resistance; type 2 diabetes mellitus; non-alcoholic fatty liver disease.     </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AA07A3">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40"/>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21239E7C"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394A6A3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685BB47B" w14:textId="77777777" w:rsidR="006732D7" w:rsidRDefault="000720E5" w:rsidP="006732D7">
      <w:pPr>
        <w:jc w:val="both"/>
        <w:rPr>
          <w:rFonts w:ascii="Garamond" w:hAnsi="Garamond"/>
          <w:b/>
          <w:sz w:val="22"/>
          <w:szCs w:val="20"/>
        </w:r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DC10CD3">
                <wp:simplePos x="0" y="0"/>
                <wp:positionH relativeFrom="margin">
                  <wp:posOffset>3254829</wp:posOffset>
                </wp:positionH>
                <wp:positionV relativeFrom="paragraph">
                  <wp:posOffset>24584</wp:posOffset>
                </wp:positionV>
                <wp:extent cx="2671639" cy="1121228"/>
                <wp:effectExtent l="0" t="0" r="8255" b="9525"/>
                <wp:wrapNone/>
                <wp:docPr id="8" name="Text Box 8"/>
                <wp:cNvGraphicFramePr/>
                <a:graphic xmlns:a="http://schemas.openxmlformats.org/drawingml/2006/main">
                  <a:graphicData uri="http://schemas.microsoft.com/office/word/2010/wordprocessingShape">
                    <wps:wsp>
                      <wps:cNvSpPr txBox="1"/>
                      <wps:spPr>
                        <a:xfrm>
                          <a:off x="0" y="0"/>
                          <a:ext cx="2671639" cy="1121228"/>
                        </a:xfrm>
                        <a:prstGeom prst="rect">
                          <a:avLst/>
                        </a:prstGeom>
                        <a:solidFill>
                          <a:sysClr val="window" lastClr="FFFFFF"/>
                        </a:solidFill>
                        <a:ln w="6350">
                          <a:solidFill>
                            <a:srgbClr val="70AD47">
                              <a:lumMod val="75000"/>
                            </a:srgbClr>
                          </a:solidFill>
                        </a:ln>
                      </wps:spPr>
                      <wps:txbx>
                        <w:txbxContent>
                          <w:p w14:paraId="65562D4D" w14:textId="63D808A1" w:rsidR="00576722" w:rsidRPr="00F56767" w:rsidRDefault="00F56767" w:rsidP="00AA07A3">
                            <w:pPr>
                              <w:pBdr>
                                <w:bottom w:val="single" w:sz="6" w:space="1" w:color="auto"/>
                              </w:pBdr>
                              <w:rPr>
                                <w:rFonts w:ascii="Garamond" w:hAnsi="Garamond" w:cs="Segoe UI"/>
                                <w:color w:val="000000" w:themeColor="text1"/>
                                <w:sz w:val="20"/>
                                <w:szCs w:val="20"/>
                                <w:shd w:val="clear" w:color="auto" w:fill="FFFFFF"/>
                              </w:rPr>
                            </w:pPr>
                            <w:proofErr w:type="spellStart"/>
                            <w:r w:rsidRPr="00F56767">
                              <w:rPr>
                                <w:rFonts w:ascii="Garamond" w:hAnsi="Garamond" w:cs="Segoe UI"/>
                                <w:i/>
                                <w:iCs/>
                                <w:sz w:val="20"/>
                                <w:szCs w:val="20"/>
                                <w:shd w:val="clear" w:color="auto" w:fill="FFFFFF"/>
                              </w:rPr>
                              <w:t>Dangana</w:t>
                            </w:r>
                            <w:proofErr w:type="spellEnd"/>
                            <w:r w:rsidRPr="00F56767">
                              <w:rPr>
                                <w:rFonts w:ascii="Garamond" w:hAnsi="Garamond" w:cs="Segoe UI"/>
                                <w:i/>
                                <w:iCs/>
                                <w:sz w:val="20"/>
                                <w:szCs w:val="20"/>
                                <w:shd w:val="clear" w:color="auto" w:fill="FFFFFF"/>
                              </w:rPr>
                              <w:t xml:space="preserve"> EO, </w:t>
                            </w:r>
                            <w:proofErr w:type="spellStart"/>
                            <w:r w:rsidRPr="00F56767">
                              <w:rPr>
                                <w:rFonts w:ascii="Garamond" w:hAnsi="Garamond" w:cs="Segoe UI"/>
                                <w:i/>
                                <w:iCs/>
                                <w:sz w:val="20"/>
                                <w:szCs w:val="20"/>
                                <w:shd w:val="clear" w:color="auto" w:fill="FFFFFF"/>
                              </w:rPr>
                              <w:t>Negedu</w:t>
                            </w:r>
                            <w:proofErr w:type="spellEnd"/>
                            <w:r w:rsidRPr="00F56767">
                              <w:rPr>
                                <w:rFonts w:ascii="Garamond" w:hAnsi="Garamond" w:cs="Segoe UI"/>
                                <w:i/>
                                <w:iCs/>
                                <w:sz w:val="20"/>
                                <w:szCs w:val="20"/>
                                <w:shd w:val="clear" w:color="auto" w:fill="FFFFFF"/>
                              </w:rPr>
                              <w:t xml:space="preserve"> NM, Ekpe</w:t>
                            </w:r>
                            <w:r w:rsidR="00740410">
                              <w:rPr>
                                <w:rFonts w:ascii="Garamond" w:hAnsi="Garamond" w:cs="Segoe UI"/>
                                <w:i/>
                                <w:iCs/>
                                <w:sz w:val="20"/>
                                <w:szCs w:val="20"/>
                                <w:shd w:val="clear" w:color="auto" w:fill="FFFFFF"/>
                              </w:rPr>
                              <w:t xml:space="preserve"> </w:t>
                            </w:r>
                            <w:r w:rsidRPr="00F56767">
                              <w:rPr>
                                <w:rFonts w:ascii="Garamond" w:hAnsi="Garamond" w:cs="Segoe UI"/>
                                <w:i/>
                                <w:iCs/>
                                <w:sz w:val="20"/>
                                <w:szCs w:val="20"/>
                                <w:shd w:val="clear" w:color="auto" w:fill="FFFFFF"/>
                              </w:rPr>
                              <w:t xml:space="preserve">CA, </w:t>
                            </w:r>
                            <w:proofErr w:type="spellStart"/>
                            <w:r w:rsidRPr="00F56767">
                              <w:rPr>
                                <w:rFonts w:ascii="Garamond" w:hAnsi="Garamond" w:cs="Segoe UI"/>
                                <w:i/>
                                <w:iCs/>
                                <w:sz w:val="20"/>
                                <w:szCs w:val="20"/>
                                <w:shd w:val="clear" w:color="auto" w:fill="FFFFFF"/>
                              </w:rPr>
                              <w:t>Akogu</w:t>
                            </w:r>
                            <w:proofErr w:type="spellEnd"/>
                            <w:r w:rsidRPr="00F56767">
                              <w:rPr>
                                <w:rFonts w:ascii="Garamond" w:hAnsi="Garamond" w:cs="Segoe UI"/>
                                <w:i/>
                                <w:iCs/>
                                <w:sz w:val="20"/>
                                <w:szCs w:val="20"/>
                                <w:shd w:val="clear" w:color="auto" w:fill="FFFFFF"/>
                              </w:rPr>
                              <w:t xml:space="preserve"> SP, Benjamin E, Olatunji LA. </w:t>
                            </w:r>
                            <w:r w:rsidR="00D374D0" w:rsidRPr="00F56767">
                              <w:rPr>
                                <w:rFonts w:ascii="Garamond" w:hAnsi="Garamond" w:cs="Segoe UI"/>
                                <w:sz w:val="20"/>
                                <w:szCs w:val="20"/>
                                <w:shd w:val="clear" w:color="auto" w:fill="FFFFFF"/>
                                <w:lang w:val="en"/>
                              </w:rPr>
                              <w:t xml:space="preserve">Uric Acid as a Causal Risk Factor for Cardiometabolic Syndrome: Insights from Recent Epidemiological and Experimental Evidence. </w:t>
                            </w:r>
                            <w:r w:rsidR="00576722" w:rsidRPr="00F56767">
                              <w:rPr>
                                <w:rFonts w:ascii="Garamond" w:hAnsi="Garamond" w:cs="Segoe UI"/>
                                <w:color w:val="000000" w:themeColor="text1"/>
                                <w:sz w:val="20"/>
                                <w:szCs w:val="20"/>
                                <w:shd w:val="clear" w:color="auto" w:fill="FFFFFF"/>
                              </w:rPr>
                              <w:t>The Nigerian Health Journal 202</w:t>
                            </w:r>
                            <w:r w:rsidR="00347612" w:rsidRPr="00F56767">
                              <w:rPr>
                                <w:rFonts w:ascii="Garamond" w:hAnsi="Garamond" w:cs="Segoe UI"/>
                                <w:color w:val="000000" w:themeColor="text1"/>
                                <w:sz w:val="20"/>
                                <w:szCs w:val="20"/>
                                <w:shd w:val="clear" w:color="auto" w:fill="FFFFFF"/>
                              </w:rPr>
                              <w:t>6</w:t>
                            </w:r>
                            <w:r w:rsidR="00576722" w:rsidRPr="00F56767">
                              <w:rPr>
                                <w:rFonts w:ascii="Garamond" w:hAnsi="Garamond" w:cs="Segoe UI"/>
                                <w:color w:val="000000" w:themeColor="text1"/>
                                <w:sz w:val="20"/>
                                <w:szCs w:val="20"/>
                                <w:shd w:val="clear" w:color="auto" w:fill="FFFFFF"/>
                              </w:rPr>
                              <w:t>; 2</w:t>
                            </w:r>
                            <w:r w:rsidR="00347612" w:rsidRPr="00F56767">
                              <w:rPr>
                                <w:rFonts w:ascii="Garamond" w:hAnsi="Garamond" w:cs="Segoe UI"/>
                                <w:color w:val="000000" w:themeColor="text1"/>
                                <w:sz w:val="20"/>
                                <w:szCs w:val="20"/>
                                <w:shd w:val="clear" w:color="auto" w:fill="FFFFFF"/>
                              </w:rPr>
                              <w:t>6</w:t>
                            </w:r>
                            <w:r w:rsidR="00576722" w:rsidRPr="00F56767">
                              <w:rPr>
                                <w:rFonts w:ascii="Garamond" w:hAnsi="Garamond" w:cs="Segoe UI"/>
                                <w:color w:val="000000" w:themeColor="text1"/>
                                <w:sz w:val="20"/>
                                <w:szCs w:val="20"/>
                                <w:shd w:val="clear" w:color="auto" w:fill="FFFFFF"/>
                              </w:rPr>
                              <w:t>(</w:t>
                            </w:r>
                            <w:r w:rsidR="00347612" w:rsidRPr="00F56767">
                              <w:rPr>
                                <w:rFonts w:ascii="Garamond" w:hAnsi="Garamond" w:cs="Segoe UI"/>
                                <w:color w:val="000000" w:themeColor="text1"/>
                                <w:sz w:val="20"/>
                                <w:szCs w:val="20"/>
                                <w:shd w:val="clear" w:color="auto" w:fill="FFFFFF"/>
                              </w:rPr>
                              <w:t>1</w:t>
                            </w:r>
                            <w:r w:rsidR="00576722" w:rsidRPr="00F56767">
                              <w:rPr>
                                <w:rFonts w:ascii="Garamond" w:hAnsi="Garamond" w:cs="Segoe UI"/>
                                <w:color w:val="000000" w:themeColor="text1"/>
                                <w:sz w:val="20"/>
                                <w:szCs w:val="20"/>
                                <w:shd w:val="clear" w:color="auto" w:fill="FFFFFF"/>
                              </w:rPr>
                              <w:t>)</w:t>
                            </w:r>
                            <w:r w:rsidR="00AA07A3">
                              <w:rPr>
                                <w:rFonts w:ascii="Garamond" w:hAnsi="Garamond" w:cs="Segoe UI"/>
                                <w:color w:val="000000" w:themeColor="text1"/>
                                <w:sz w:val="20"/>
                                <w:szCs w:val="20"/>
                                <w:shd w:val="clear" w:color="auto" w:fill="FFFFFF"/>
                              </w:rPr>
                              <w:t>: 140 - 146</w:t>
                            </w:r>
                            <w:r w:rsidR="00576722" w:rsidRPr="00F56767">
                              <w:rPr>
                                <w:rFonts w:ascii="Garamond" w:hAnsi="Garamond" w:cs="Segoe UI"/>
                                <w:color w:val="000000" w:themeColor="text1"/>
                                <w:sz w:val="20"/>
                                <w:szCs w:val="20"/>
                                <w:shd w:val="clear" w:color="auto" w:fill="FFFFFF"/>
                              </w:rPr>
                              <w:t>.</w:t>
                            </w:r>
                            <w:r w:rsidR="00AA07A3">
                              <w:rPr>
                                <w:rFonts w:ascii="Garamond" w:hAnsi="Garamond" w:cs="Segoe UI"/>
                                <w:color w:val="000000" w:themeColor="text1"/>
                                <w:sz w:val="20"/>
                                <w:szCs w:val="20"/>
                                <w:shd w:val="clear" w:color="auto" w:fill="FFFFFF"/>
                              </w:rPr>
                              <w:t xml:space="preserve"> </w:t>
                            </w:r>
                            <w:hyperlink r:id="rId22" w:history="1">
                              <w:r w:rsidR="00AA07A3" w:rsidRPr="008D4B15">
                                <w:rPr>
                                  <w:rStyle w:val="Hyperlink"/>
                                  <w:rFonts w:ascii="Garamond" w:hAnsi="Garamond" w:cs="Arial"/>
                                  <w:sz w:val="20"/>
                                  <w:szCs w:val="20"/>
                                </w:rPr>
                                <w:t>https://doi.org/10.71637/tnhj.v26i1.1214</w:t>
                              </w:r>
                            </w:hyperlink>
                          </w:p>
                          <w:p w14:paraId="68F037F5" w14:textId="77777777" w:rsidR="00DD3D36" w:rsidRPr="000720E5" w:rsidRDefault="00DD3D36" w:rsidP="00AA07A3">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5pt;width:210.35pt;height:8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" fillcolor="window" strokecolor="#548235" strokeweight=".5pt">
                <v:textbox>
                  <w:txbxContent>
                    <w:p w14:paraId="65562D4D" w14:textId="63D808A1" w:rsidR="00576722" w:rsidRPr="00F56767" w:rsidRDefault="00F56767" w:rsidP="00AA07A3">
                      <w:pPr>
                        <w:pBdr>
                          <w:bottom w:val="single" w:sz="6" w:space="1" w:color="auto"/>
                        </w:pBdr>
                        <w:rPr>
                          <w:rFonts w:ascii="Garamond" w:hAnsi="Garamond" w:cs="Segoe UI"/>
                          <w:color w:val="000000" w:themeColor="text1"/>
                          <w:sz w:val="20"/>
                          <w:szCs w:val="20"/>
                          <w:shd w:val="clear" w:color="auto" w:fill="FFFFFF"/>
                        </w:rPr>
                      </w:pPr>
                      <w:proofErr w:type="spellStart"/>
                      <w:r w:rsidRPr="00F56767">
                        <w:rPr>
                          <w:rFonts w:ascii="Garamond" w:hAnsi="Garamond" w:cs="Segoe UI"/>
                          <w:i/>
                          <w:iCs/>
                          <w:sz w:val="20"/>
                          <w:szCs w:val="20"/>
                          <w:shd w:val="clear" w:color="auto" w:fill="FFFFFF"/>
                        </w:rPr>
                        <w:t>Dangana</w:t>
                      </w:r>
                      <w:proofErr w:type="spellEnd"/>
                      <w:r w:rsidRPr="00F56767">
                        <w:rPr>
                          <w:rFonts w:ascii="Garamond" w:hAnsi="Garamond" w:cs="Segoe UI"/>
                          <w:i/>
                          <w:iCs/>
                          <w:sz w:val="20"/>
                          <w:szCs w:val="20"/>
                          <w:shd w:val="clear" w:color="auto" w:fill="FFFFFF"/>
                        </w:rPr>
                        <w:t xml:space="preserve"> EO, </w:t>
                      </w:r>
                      <w:proofErr w:type="spellStart"/>
                      <w:r w:rsidRPr="00F56767">
                        <w:rPr>
                          <w:rFonts w:ascii="Garamond" w:hAnsi="Garamond" w:cs="Segoe UI"/>
                          <w:i/>
                          <w:iCs/>
                          <w:sz w:val="20"/>
                          <w:szCs w:val="20"/>
                          <w:shd w:val="clear" w:color="auto" w:fill="FFFFFF"/>
                        </w:rPr>
                        <w:t>Negedu</w:t>
                      </w:r>
                      <w:proofErr w:type="spellEnd"/>
                      <w:r w:rsidRPr="00F56767">
                        <w:rPr>
                          <w:rFonts w:ascii="Garamond" w:hAnsi="Garamond" w:cs="Segoe UI"/>
                          <w:i/>
                          <w:iCs/>
                          <w:sz w:val="20"/>
                          <w:szCs w:val="20"/>
                          <w:shd w:val="clear" w:color="auto" w:fill="FFFFFF"/>
                        </w:rPr>
                        <w:t xml:space="preserve"> NM, Ekpe</w:t>
                      </w:r>
                      <w:r w:rsidR="00740410">
                        <w:rPr>
                          <w:rFonts w:ascii="Garamond" w:hAnsi="Garamond" w:cs="Segoe UI"/>
                          <w:i/>
                          <w:iCs/>
                          <w:sz w:val="20"/>
                          <w:szCs w:val="20"/>
                          <w:shd w:val="clear" w:color="auto" w:fill="FFFFFF"/>
                        </w:rPr>
                        <w:t xml:space="preserve"> </w:t>
                      </w:r>
                      <w:r w:rsidRPr="00F56767">
                        <w:rPr>
                          <w:rFonts w:ascii="Garamond" w:hAnsi="Garamond" w:cs="Segoe UI"/>
                          <w:i/>
                          <w:iCs/>
                          <w:sz w:val="20"/>
                          <w:szCs w:val="20"/>
                          <w:shd w:val="clear" w:color="auto" w:fill="FFFFFF"/>
                        </w:rPr>
                        <w:t xml:space="preserve">CA, </w:t>
                      </w:r>
                      <w:proofErr w:type="spellStart"/>
                      <w:r w:rsidRPr="00F56767">
                        <w:rPr>
                          <w:rFonts w:ascii="Garamond" w:hAnsi="Garamond" w:cs="Segoe UI"/>
                          <w:i/>
                          <w:iCs/>
                          <w:sz w:val="20"/>
                          <w:szCs w:val="20"/>
                          <w:shd w:val="clear" w:color="auto" w:fill="FFFFFF"/>
                        </w:rPr>
                        <w:t>Akogu</w:t>
                      </w:r>
                      <w:proofErr w:type="spellEnd"/>
                      <w:r w:rsidRPr="00F56767">
                        <w:rPr>
                          <w:rFonts w:ascii="Garamond" w:hAnsi="Garamond" w:cs="Segoe UI"/>
                          <w:i/>
                          <w:iCs/>
                          <w:sz w:val="20"/>
                          <w:szCs w:val="20"/>
                          <w:shd w:val="clear" w:color="auto" w:fill="FFFFFF"/>
                        </w:rPr>
                        <w:t xml:space="preserve"> SP, Benjamin E, Olatunji LA. </w:t>
                      </w:r>
                      <w:r w:rsidR="00D374D0" w:rsidRPr="00F56767">
                        <w:rPr>
                          <w:rFonts w:ascii="Garamond" w:hAnsi="Garamond" w:cs="Segoe UI"/>
                          <w:sz w:val="20"/>
                          <w:szCs w:val="20"/>
                          <w:shd w:val="clear" w:color="auto" w:fill="FFFFFF"/>
                          <w:lang w:val="en"/>
                        </w:rPr>
                        <w:t xml:space="preserve">Uric Acid as a Causal Risk Factor for Cardiometabolic Syndrome: Insights from Recent Epidemiological and Experimental Evidence. </w:t>
                      </w:r>
                      <w:r w:rsidR="00576722" w:rsidRPr="00F56767">
                        <w:rPr>
                          <w:rFonts w:ascii="Garamond" w:hAnsi="Garamond" w:cs="Segoe UI"/>
                          <w:color w:val="000000" w:themeColor="text1"/>
                          <w:sz w:val="20"/>
                          <w:szCs w:val="20"/>
                          <w:shd w:val="clear" w:color="auto" w:fill="FFFFFF"/>
                        </w:rPr>
                        <w:t>The Nigerian Health Journal 202</w:t>
                      </w:r>
                      <w:r w:rsidR="00347612" w:rsidRPr="00F56767">
                        <w:rPr>
                          <w:rFonts w:ascii="Garamond" w:hAnsi="Garamond" w:cs="Segoe UI"/>
                          <w:color w:val="000000" w:themeColor="text1"/>
                          <w:sz w:val="20"/>
                          <w:szCs w:val="20"/>
                          <w:shd w:val="clear" w:color="auto" w:fill="FFFFFF"/>
                        </w:rPr>
                        <w:t>6</w:t>
                      </w:r>
                      <w:r w:rsidR="00576722" w:rsidRPr="00F56767">
                        <w:rPr>
                          <w:rFonts w:ascii="Garamond" w:hAnsi="Garamond" w:cs="Segoe UI"/>
                          <w:color w:val="000000" w:themeColor="text1"/>
                          <w:sz w:val="20"/>
                          <w:szCs w:val="20"/>
                          <w:shd w:val="clear" w:color="auto" w:fill="FFFFFF"/>
                        </w:rPr>
                        <w:t>; 2</w:t>
                      </w:r>
                      <w:r w:rsidR="00347612" w:rsidRPr="00F56767">
                        <w:rPr>
                          <w:rFonts w:ascii="Garamond" w:hAnsi="Garamond" w:cs="Segoe UI"/>
                          <w:color w:val="000000" w:themeColor="text1"/>
                          <w:sz w:val="20"/>
                          <w:szCs w:val="20"/>
                          <w:shd w:val="clear" w:color="auto" w:fill="FFFFFF"/>
                        </w:rPr>
                        <w:t>6</w:t>
                      </w:r>
                      <w:r w:rsidR="00576722" w:rsidRPr="00F56767">
                        <w:rPr>
                          <w:rFonts w:ascii="Garamond" w:hAnsi="Garamond" w:cs="Segoe UI"/>
                          <w:color w:val="000000" w:themeColor="text1"/>
                          <w:sz w:val="20"/>
                          <w:szCs w:val="20"/>
                          <w:shd w:val="clear" w:color="auto" w:fill="FFFFFF"/>
                        </w:rPr>
                        <w:t>(</w:t>
                      </w:r>
                      <w:r w:rsidR="00347612" w:rsidRPr="00F56767">
                        <w:rPr>
                          <w:rFonts w:ascii="Garamond" w:hAnsi="Garamond" w:cs="Segoe UI"/>
                          <w:color w:val="000000" w:themeColor="text1"/>
                          <w:sz w:val="20"/>
                          <w:szCs w:val="20"/>
                          <w:shd w:val="clear" w:color="auto" w:fill="FFFFFF"/>
                        </w:rPr>
                        <w:t>1</w:t>
                      </w:r>
                      <w:r w:rsidR="00576722" w:rsidRPr="00F56767">
                        <w:rPr>
                          <w:rFonts w:ascii="Garamond" w:hAnsi="Garamond" w:cs="Segoe UI"/>
                          <w:color w:val="000000" w:themeColor="text1"/>
                          <w:sz w:val="20"/>
                          <w:szCs w:val="20"/>
                          <w:shd w:val="clear" w:color="auto" w:fill="FFFFFF"/>
                        </w:rPr>
                        <w:t>)</w:t>
                      </w:r>
                      <w:r w:rsidR="00AA07A3">
                        <w:rPr>
                          <w:rFonts w:ascii="Garamond" w:hAnsi="Garamond" w:cs="Segoe UI"/>
                          <w:color w:val="000000" w:themeColor="text1"/>
                          <w:sz w:val="20"/>
                          <w:szCs w:val="20"/>
                          <w:shd w:val="clear" w:color="auto" w:fill="FFFFFF"/>
                        </w:rPr>
                        <w:t>: 140 - 146</w:t>
                      </w:r>
                      <w:r w:rsidR="00576722" w:rsidRPr="00F56767">
                        <w:rPr>
                          <w:rFonts w:ascii="Garamond" w:hAnsi="Garamond" w:cs="Segoe UI"/>
                          <w:color w:val="000000" w:themeColor="text1"/>
                          <w:sz w:val="20"/>
                          <w:szCs w:val="20"/>
                          <w:shd w:val="clear" w:color="auto" w:fill="FFFFFF"/>
                        </w:rPr>
                        <w:t>.</w:t>
                      </w:r>
                      <w:r w:rsidR="00AA07A3">
                        <w:rPr>
                          <w:rFonts w:ascii="Garamond" w:hAnsi="Garamond" w:cs="Segoe UI"/>
                          <w:color w:val="000000" w:themeColor="text1"/>
                          <w:sz w:val="20"/>
                          <w:szCs w:val="20"/>
                          <w:shd w:val="clear" w:color="auto" w:fill="FFFFFF"/>
                        </w:rPr>
                        <w:t xml:space="preserve"> </w:t>
                      </w:r>
                      <w:hyperlink r:id="rId23" w:history="1">
                        <w:r w:rsidR="00AA07A3" w:rsidRPr="008D4B15">
                          <w:rPr>
                            <w:rStyle w:val="Hyperlink"/>
                            <w:rFonts w:ascii="Garamond" w:hAnsi="Garamond" w:cs="Arial"/>
                            <w:sz w:val="20"/>
                            <w:szCs w:val="20"/>
                          </w:rPr>
                          <w:t>https://doi.org/10.71637/tnhj.v26i1.1214</w:t>
                        </w:r>
                      </w:hyperlink>
                    </w:p>
                    <w:p w14:paraId="68F037F5" w14:textId="77777777" w:rsidR="00DD3D36" w:rsidRPr="000720E5" w:rsidRDefault="00DD3D36" w:rsidP="00AA07A3">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0AFE17C0" w14:textId="77777777" w:rsidR="00D374D0" w:rsidRPr="00D374D0" w:rsidRDefault="00D374D0" w:rsidP="00D374D0">
      <w:pPr>
        <w:rPr>
          <w:rFonts w:ascii="Garamond" w:hAnsi="Garamond"/>
          <w:sz w:val="22"/>
          <w:szCs w:val="20"/>
        </w:rPr>
      </w:pPr>
    </w:p>
    <w:p w14:paraId="039FFAD9" w14:textId="77777777" w:rsidR="00D374D0" w:rsidRPr="00D374D0" w:rsidRDefault="00D374D0" w:rsidP="00D374D0">
      <w:pPr>
        <w:rPr>
          <w:rFonts w:ascii="Garamond" w:hAnsi="Garamond"/>
          <w:sz w:val="22"/>
          <w:szCs w:val="20"/>
        </w:rPr>
      </w:pPr>
    </w:p>
    <w:p w14:paraId="2B9E8364" w14:textId="77777777" w:rsidR="00D374D0" w:rsidRPr="00D374D0" w:rsidRDefault="00D374D0" w:rsidP="00D374D0">
      <w:pPr>
        <w:rPr>
          <w:rFonts w:ascii="Garamond" w:hAnsi="Garamond"/>
          <w:sz w:val="22"/>
          <w:szCs w:val="20"/>
        </w:rPr>
      </w:pPr>
    </w:p>
    <w:p w14:paraId="14741218" w14:textId="77777777" w:rsidR="00D374D0" w:rsidRPr="00D374D0" w:rsidRDefault="00D374D0" w:rsidP="00D374D0">
      <w:pPr>
        <w:rPr>
          <w:rFonts w:ascii="Garamond" w:hAnsi="Garamond"/>
          <w:sz w:val="22"/>
          <w:szCs w:val="20"/>
        </w:rPr>
      </w:pPr>
    </w:p>
    <w:p w14:paraId="0D9C60D5" w14:textId="77777777" w:rsidR="00D374D0" w:rsidRPr="00D374D0" w:rsidRDefault="00D374D0" w:rsidP="00D374D0">
      <w:pPr>
        <w:rPr>
          <w:rFonts w:ascii="Garamond" w:hAnsi="Garamond"/>
          <w:sz w:val="22"/>
          <w:szCs w:val="20"/>
        </w:rPr>
      </w:pPr>
    </w:p>
    <w:p w14:paraId="5FF98123" w14:textId="77777777" w:rsidR="00D374D0" w:rsidRDefault="00D374D0" w:rsidP="00D374D0">
      <w:pPr>
        <w:rPr>
          <w:rFonts w:ascii="Garamond" w:hAnsi="Garamond"/>
          <w:b/>
          <w:sz w:val="22"/>
          <w:szCs w:val="20"/>
        </w:rPr>
      </w:pPr>
    </w:p>
    <w:p w14:paraId="2473312A" w14:textId="4E12B79B" w:rsidR="00D374D0" w:rsidRPr="000518CF" w:rsidRDefault="00D374D0" w:rsidP="00D374D0">
      <w:pPr>
        <w:tabs>
          <w:tab w:val="left" w:pos="6345"/>
        </w:tabs>
        <w:rPr>
          <w:rFonts w:ascii="Garamond" w:hAnsi="Garamond"/>
          <w:b/>
          <w:sz w:val="22"/>
          <w:szCs w:val="20"/>
        </w:rPr>
        <w:sectPr w:rsidR="00D374D0" w:rsidRPr="000518CF" w:rsidSect="00081D29">
          <w:type w:val="continuous"/>
          <w:pgSz w:w="12240" w:h="15840"/>
          <w:pgMar w:top="1440" w:right="1440" w:bottom="1440" w:left="1440" w:header="720" w:footer="720" w:gutter="0"/>
          <w:cols w:space="720"/>
          <w:titlePg/>
          <w:docGrid w:linePitch="360"/>
        </w:sectPr>
      </w:pPr>
    </w:p>
    <w:p w14:paraId="72E150ED" w14:textId="19893EFC" w:rsidR="000720E5" w:rsidRDefault="00740410"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18A5849B" w14:textId="4C7A9FF9" w:rsidR="00E8527B"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Recent evidence further underscores the role of uric acid as a determinant of cardiometabolic syndrome</w:t>
      </w:r>
      <w:r w:rsidR="00740410">
        <w:rPr>
          <w:rFonts w:ascii="Garamond" w:hAnsi="Garamond"/>
          <w:bCs/>
          <w:iCs/>
          <w:sz w:val="20"/>
          <w:szCs w:val="20"/>
          <w:lang w:val="en"/>
        </w:rPr>
        <w:t>.</w:t>
      </w:r>
      <w:r w:rsidRPr="005238E4">
        <w:rPr>
          <w:rFonts w:ascii="Garamond" w:hAnsi="Garamond"/>
          <w:bCs/>
          <w:iCs/>
          <w:sz w:val="20"/>
          <w:szCs w:val="20"/>
          <w:vertAlign w:val="superscript"/>
          <w:lang w:val="en"/>
        </w:rPr>
        <w:t>1, 2</w:t>
      </w:r>
      <w:r w:rsidRPr="005238E4">
        <w:rPr>
          <w:rFonts w:ascii="Garamond" w:hAnsi="Garamond"/>
          <w:bCs/>
          <w:iCs/>
          <w:sz w:val="20"/>
          <w:szCs w:val="20"/>
          <w:lang w:val="en"/>
        </w:rPr>
        <w:t xml:space="preserve">  A 2025 NHANES-based analysis revealed that individuals in the highest serum uric acid (SUA) quartile had significantly higher odds of cardiometabolic syndrome (OR = 2.72), with notable variations by sex, education, and ethnicity</w:t>
      </w:r>
      <w:r w:rsidR="00740410">
        <w:rPr>
          <w:rFonts w:ascii="Garamond" w:hAnsi="Garamond"/>
          <w:bCs/>
          <w:iCs/>
          <w:sz w:val="20"/>
          <w:szCs w:val="20"/>
          <w:lang w:val="en"/>
        </w:rPr>
        <w:t>.</w:t>
      </w:r>
      <w:r w:rsidRPr="005238E4">
        <w:rPr>
          <w:rFonts w:ascii="Garamond" w:hAnsi="Garamond"/>
          <w:bCs/>
          <w:iCs/>
          <w:sz w:val="20"/>
          <w:szCs w:val="20"/>
          <w:vertAlign w:val="superscript"/>
          <w:lang w:val="en"/>
        </w:rPr>
        <w:t>3</w:t>
      </w:r>
      <w:r w:rsidRPr="005238E4">
        <w:rPr>
          <w:rFonts w:ascii="Garamond" w:hAnsi="Garamond"/>
          <w:bCs/>
          <w:iCs/>
          <w:sz w:val="20"/>
          <w:szCs w:val="20"/>
          <w:lang w:val="en"/>
        </w:rPr>
        <w:t xml:space="preserve"> Emerging genetic evidence also suggests a causal link between SUA and hypertension</w:t>
      </w:r>
      <w:r w:rsidR="00740410">
        <w:rPr>
          <w:rFonts w:ascii="Garamond" w:hAnsi="Garamond"/>
          <w:bCs/>
          <w:iCs/>
          <w:sz w:val="20"/>
          <w:szCs w:val="20"/>
          <w:lang w:val="en"/>
        </w:rPr>
        <w:t>.</w:t>
      </w:r>
      <w:r w:rsidRPr="005238E4">
        <w:rPr>
          <w:rFonts w:ascii="Cambria Math" w:hAnsi="Cambria Math" w:cs="Cambria Math"/>
          <w:bCs/>
          <w:iCs/>
          <w:sz w:val="20"/>
          <w:szCs w:val="20"/>
          <w:lang w:val="en"/>
        </w:rPr>
        <w:t>⁴</w:t>
      </w:r>
      <w:r w:rsidRPr="005238E4">
        <w:rPr>
          <w:rFonts w:ascii="Garamond" w:hAnsi="Garamond"/>
          <w:bCs/>
          <w:iCs/>
          <w:sz w:val="20"/>
          <w:szCs w:val="20"/>
          <w:lang w:val="en"/>
        </w:rPr>
        <w:t xml:space="preserve"> Mechanistically, elevated uric acid may drive insulin resistance, oxidative stress, and endothelial dysfunction</w:t>
      </w:r>
      <w:r w:rsidRPr="005238E4">
        <w:rPr>
          <w:rFonts w:ascii="Garamond" w:hAnsi="Garamond" w:cs="Garamond"/>
          <w:bCs/>
          <w:iCs/>
          <w:sz w:val="20"/>
          <w:szCs w:val="20"/>
          <w:lang w:val="en"/>
        </w:rPr>
        <w:t>—</w:t>
      </w:r>
      <w:r w:rsidRPr="005238E4">
        <w:rPr>
          <w:rFonts w:ascii="Garamond" w:hAnsi="Garamond"/>
          <w:bCs/>
          <w:iCs/>
          <w:sz w:val="20"/>
          <w:szCs w:val="20"/>
          <w:lang w:val="en"/>
        </w:rPr>
        <w:t>pathways central to metabolic syndrome and cardiovascular disease</w:t>
      </w:r>
      <w:r w:rsidR="00740410">
        <w:rPr>
          <w:rFonts w:ascii="Garamond" w:hAnsi="Garamond"/>
          <w:bCs/>
          <w:iCs/>
          <w:sz w:val="20"/>
          <w:szCs w:val="20"/>
          <w:lang w:val="en"/>
        </w:rPr>
        <w:t>.</w:t>
      </w:r>
      <w:r w:rsidRPr="005238E4">
        <w:rPr>
          <w:rFonts w:ascii="Garamond" w:hAnsi="Garamond"/>
          <w:bCs/>
          <w:iCs/>
          <w:sz w:val="20"/>
          <w:szCs w:val="20"/>
          <w:vertAlign w:val="superscript"/>
          <w:lang w:val="en"/>
        </w:rPr>
        <w:t>5,6</w:t>
      </w:r>
      <w:sdt>
        <w:sdtPr>
          <w:rPr>
            <w:rFonts w:ascii="Garamond" w:hAnsi="Garamond"/>
            <w:bCs/>
            <w:iCs/>
            <w:sz w:val="20"/>
            <w:szCs w:val="20"/>
            <w:lang w:val="en"/>
          </w:rPr>
          <w:tag w:val="goog_rdk_3"/>
          <w:id w:val="-1219669119"/>
        </w:sdtPr>
        <w:sdtContent>
          <w:r w:rsidRPr="005238E4">
            <w:rPr>
              <w:rFonts w:ascii="Garamond" w:hAnsi="Garamond"/>
              <w:bCs/>
              <w:iCs/>
              <w:sz w:val="20"/>
              <w:szCs w:val="20"/>
              <w:lang w:val="en"/>
            </w:rPr>
            <w:t xml:space="preserve"> Notably, even adolescent populations with obesity show cardiometabolic risk elevations in the higher SUA tertiles (≥6.41 mg/dL)</w:t>
          </w:r>
          <w:r w:rsidR="00740410">
            <w:rPr>
              <w:rFonts w:ascii="Garamond" w:hAnsi="Garamond"/>
              <w:bCs/>
              <w:iCs/>
              <w:sz w:val="20"/>
              <w:szCs w:val="20"/>
              <w:lang w:val="en"/>
            </w:rPr>
            <w:t>.</w:t>
          </w:r>
          <w:r w:rsidRPr="005238E4">
            <w:rPr>
              <w:rFonts w:ascii="Cambria Math" w:hAnsi="Cambria Math" w:cs="Cambria Math"/>
              <w:bCs/>
              <w:iCs/>
              <w:sz w:val="20"/>
              <w:szCs w:val="20"/>
              <w:lang w:val="en"/>
            </w:rPr>
            <w:t>⁷</w:t>
          </w:r>
        </w:sdtContent>
      </w:sdt>
    </w:p>
    <w:p w14:paraId="54839514" w14:textId="1757ED26" w:rsidR="00E8527B"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 xml:space="preserve">Uric acid is synthesized mainly in the liver, intestines and the vascular endothelium as the end product of an exogenous pool of purines, and endogenously from damaged, dying and dead cells, whereby nucleic acids, adenine and guanine, are degraded into uric acid. Mentioning uric acid generates dread because it is the established etiological agent of the severe, acute and chronic inflammatory arthritis, gout and is implicated in the initiation and progress of the metabolic </w:t>
      </w:r>
      <w:proofErr w:type="gramStart"/>
      <w:r w:rsidRPr="005238E4">
        <w:rPr>
          <w:rFonts w:ascii="Garamond" w:hAnsi="Garamond"/>
          <w:bCs/>
          <w:iCs/>
          <w:sz w:val="20"/>
          <w:szCs w:val="20"/>
          <w:lang w:val="en"/>
        </w:rPr>
        <w:t>syndrome</w:t>
      </w:r>
      <w:r w:rsidR="00740410">
        <w:rPr>
          <w:rFonts w:ascii="Garamond" w:hAnsi="Garamond"/>
          <w:bCs/>
          <w:iCs/>
          <w:sz w:val="20"/>
          <w:szCs w:val="20"/>
          <w:lang w:val="en"/>
        </w:rPr>
        <w:t>,</w:t>
      </w:r>
      <w:r w:rsidRPr="005238E4">
        <w:rPr>
          <w:rFonts w:ascii="Cambria Math" w:hAnsi="Cambria Math" w:cs="Cambria Math"/>
          <w:bCs/>
          <w:iCs/>
          <w:sz w:val="20"/>
          <w:szCs w:val="20"/>
          <w:lang w:val="en"/>
        </w:rPr>
        <w:t>⁸</w:t>
      </w:r>
      <w:proofErr w:type="gramEnd"/>
      <w:r w:rsidRPr="005238E4">
        <w:rPr>
          <w:rFonts w:ascii="Garamond" w:hAnsi="Garamond"/>
          <w:bCs/>
          <w:iCs/>
          <w:sz w:val="20"/>
          <w:szCs w:val="20"/>
          <w:lang w:val="en"/>
        </w:rPr>
        <w:t xml:space="preserve"> yet uric acid is the predominant anti-oxidant molecule in plasma and is necessarily sufficient for induction of type 2 immune responses. These properties may explain its protective potential in neurological and infectious diseases, mainly schistosomiasis. The pivotal protective potential of uric acid against blood-borne pathogens and neurological and autoimmune diseases is yet to be established</w:t>
      </w:r>
      <w:r w:rsidR="00740410">
        <w:rPr>
          <w:rFonts w:ascii="Garamond" w:hAnsi="Garamond"/>
          <w:bCs/>
          <w:iCs/>
          <w:sz w:val="20"/>
          <w:szCs w:val="20"/>
          <w:lang w:val="en"/>
        </w:rPr>
        <w:t>.</w:t>
      </w:r>
      <w:r w:rsidRPr="005238E4">
        <w:rPr>
          <w:rFonts w:ascii="Cambria Math" w:hAnsi="Cambria Math" w:cs="Cambria Math"/>
          <w:bCs/>
          <w:iCs/>
          <w:sz w:val="20"/>
          <w:szCs w:val="20"/>
          <w:lang w:val="en"/>
        </w:rPr>
        <w:t>⁹</w:t>
      </w:r>
      <w:r w:rsidRPr="005238E4">
        <w:rPr>
          <w:rFonts w:ascii="Garamond" w:hAnsi="Garamond"/>
          <w:bCs/>
          <w:iCs/>
          <w:sz w:val="20"/>
          <w:szCs w:val="20"/>
          <w:lang w:val="en"/>
        </w:rPr>
        <w:t xml:space="preserve"> In the liver, uric acid is synthesized from xanthine via xanthine oxidase and contributes significantly to the antioxidant system which helps maintain oxidative stress particularly at concentrations that are in the range of low-to-normal human </w:t>
      </w:r>
      <w:r w:rsidR="00740410" w:rsidRPr="005238E4">
        <w:rPr>
          <w:rFonts w:ascii="Garamond" w:hAnsi="Garamond"/>
          <w:bCs/>
          <w:iCs/>
          <w:sz w:val="20"/>
          <w:szCs w:val="20"/>
          <w:lang w:val="en"/>
        </w:rPr>
        <w:t>uremia</w:t>
      </w:r>
      <w:r w:rsidR="00740410">
        <w:rPr>
          <w:rFonts w:ascii="Garamond" w:hAnsi="Garamond"/>
          <w:bCs/>
          <w:iCs/>
          <w:sz w:val="20"/>
          <w:szCs w:val="20"/>
          <w:lang w:val="en"/>
        </w:rPr>
        <w:t>.</w:t>
      </w:r>
      <w:r w:rsidR="00740410" w:rsidRPr="00740410">
        <w:rPr>
          <w:rFonts w:ascii="Garamond" w:hAnsi="Garamond"/>
          <w:sz w:val="20"/>
          <w:szCs w:val="20"/>
          <w:vertAlign w:val="superscript"/>
          <w:lang w:val="en"/>
        </w:rPr>
        <w:t>¹</w:t>
      </w:r>
      <w:r w:rsidRPr="00740410">
        <w:rPr>
          <w:rFonts w:ascii="Cambria Math" w:hAnsi="Cambria Math" w:cs="Cambria Math"/>
          <w:sz w:val="20"/>
          <w:szCs w:val="20"/>
          <w:vertAlign w:val="superscript"/>
          <w:lang w:val="en"/>
        </w:rPr>
        <w:t>⁰</w:t>
      </w:r>
      <w:r w:rsidRPr="005238E4">
        <w:rPr>
          <w:rFonts w:ascii="Garamond" w:hAnsi="Garamond"/>
          <w:bCs/>
          <w:iCs/>
          <w:sz w:val="20"/>
          <w:szCs w:val="20"/>
          <w:lang w:val="en"/>
        </w:rPr>
        <w:t xml:space="preserve"> However, higher uric acid level exerts nitric oxide inhibitory, pro-inflammatory, prooxidant and proliferative actions that frequently accompanies insulin resistance (IR)</w:t>
      </w:r>
      <w:r w:rsidRPr="005238E4">
        <w:rPr>
          <w:rFonts w:ascii="Garamond" w:hAnsi="Garamond" w:cs="Garamond"/>
          <w:bCs/>
          <w:iCs/>
          <w:sz w:val="20"/>
          <w:szCs w:val="20"/>
          <w:lang w:val="en"/>
        </w:rPr>
        <w:t>¹</w:t>
      </w:r>
      <w:r w:rsidR="00740410" w:rsidRPr="005238E4">
        <w:rPr>
          <w:rFonts w:ascii="Garamond" w:hAnsi="Garamond" w:cs="Garamond"/>
          <w:bCs/>
          <w:iCs/>
          <w:sz w:val="20"/>
          <w:szCs w:val="20"/>
          <w:lang w:val="en"/>
        </w:rPr>
        <w:t>¹</w:t>
      </w:r>
      <w:r w:rsidR="00740410" w:rsidRPr="005238E4">
        <w:rPr>
          <w:rFonts w:ascii="Garamond" w:hAnsi="Garamond"/>
          <w:bCs/>
          <w:iCs/>
          <w:sz w:val="20"/>
          <w:szCs w:val="20"/>
          <w:lang w:val="en"/>
        </w:rPr>
        <w:t xml:space="preserve"> and</w:t>
      </w:r>
      <w:r w:rsidRPr="005238E4">
        <w:rPr>
          <w:rFonts w:ascii="Garamond" w:hAnsi="Garamond"/>
          <w:bCs/>
          <w:iCs/>
          <w:sz w:val="20"/>
          <w:szCs w:val="20"/>
          <w:lang w:val="en"/>
        </w:rPr>
        <w:t xml:space="preserve"> cardiometabolic syndrome (CMS)</w:t>
      </w:r>
      <w:r w:rsidR="00740410">
        <w:rPr>
          <w:rFonts w:ascii="Garamond" w:hAnsi="Garamond"/>
          <w:bCs/>
          <w:iCs/>
          <w:sz w:val="20"/>
          <w:szCs w:val="20"/>
          <w:lang w:val="en"/>
        </w:rPr>
        <w:t>.</w:t>
      </w:r>
      <w:r w:rsidRPr="005238E4">
        <w:rPr>
          <w:rFonts w:ascii="Garamond" w:hAnsi="Garamond" w:cs="Garamond"/>
          <w:bCs/>
          <w:iCs/>
          <w:sz w:val="20"/>
          <w:szCs w:val="20"/>
          <w:lang w:val="en"/>
        </w:rPr>
        <w:t>¹²</w:t>
      </w:r>
      <w:r w:rsidRPr="005238E4">
        <w:rPr>
          <w:rFonts w:ascii="Garamond" w:hAnsi="Garamond"/>
          <w:bCs/>
          <w:iCs/>
          <w:sz w:val="20"/>
          <w:szCs w:val="20"/>
          <w:lang w:val="en"/>
        </w:rPr>
        <w:t xml:space="preserve"> An elevated serum uric acid is also one of the best independent predictors of diabetes and commonly precedes the development of both insulin resistance and diabetes type 2, as it was discovered that one quarter of diabetes cases can be attributed to a high serum uric acid level and elevated serum uric acid levels were found to be closely associated with insulin resistance and diabetes mellitus type 2. In response to controversial </w:t>
      </w:r>
      <w:proofErr w:type="gramStart"/>
      <w:r w:rsidRPr="005238E4">
        <w:rPr>
          <w:rFonts w:ascii="Garamond" w:hAnsi="Garamond"/>
          <w:bCs/>
          <w:iCs/>
          <w:sz w:val="20"/>
          <w:szCs w:val="20"/>
          <w:lang w:val="en"/>
        </w:rPr>
        <w:t>findings</w:t>
      </w:r>
      <w:r w:rsidR="00740410">
        <w:rPr>
          <w:rFonts w:ascii="Garamond" w:hAnsi="Garamond"/>
          <w:bCs/>
          <w:iCs/>
          <w:sz w:val="20"/>
          <w:szCs w:val="20"/>
          <w:lang w:val="en"/>
        </w:rPr>
        <w:t>,</w:t>
      </w:r>
      <w:r w:rsidRPr="005238E4">
        <w:rPr>
          <w:rFonts w:ascii="Garamond" w:hAnsi="Garamond"/>
          <w:bCs/>
          <w:iCs/>
          <w:sz w:val="20"/>
          <w:szCs w:val="20"/>
          <w:lang w:val="en"/>
        </w:rPr>
        <w:t>¹</w:t>
      </w:r>
      <w:proofErr w:type="gramEnd"/>
      <w:r w:rsidRPr="005238E4">
        <w:rPr>
          <w:rFonts w:ascii="Garamond" w:hAnsi="Garamond"/>
          <w:bCs/>
          <w:iCs/>
          <w:sz w:val="20"/>
          <w:szCs w:val="20"/>
          <w:lang w:val="en"/>
        </w:rPr>
        <w:t>³ a meta-analysis of prospective cohort studies¹</w:t>
      </w:r>
      <w:r w:rsidRPr="005238E4">
        <w:rPr>
          <w:rFonts w:ascii="Cambria Math" w:hAnsi="Cambria Math" w:cs="Cambria Math"/>
          <w:bCs/>
          <w:iCs/>
          <w:sz w:val="20"/>
          <w:szCs w:val="20"/>
          <w:lang w:val="en"/>
        </w:rPr>
        <w:t>⁴</w:t>
      </w:r>
      <w:r w:rsidRPr="005238E4">
        <w:rPr>
          <w:rFonts w:ascii="Garamond" w:hAnsi="Garamond"/>
          <w:bCs/>
          <w:iCs/>
          <w:sz w:val="20"/>
          <w:szCs w:val="20"/>
          <w:lang w:val="en"/>
        </w:rPr>
        <w:t xml:space="preserve"> and a </w:t>
      </w:r>
      <w:r w:rsidRPr="005238E4">
        <w:rPr>
          <w:rFonts w:ascii="Garamond" w:hAnsi="Garamond"/>
          <w:bCs/>
          <w:iCs/>
          <w:sz w:val="20"/>
          <w:szCs w:val="20"/>
          <w:lang w:val="en"/>
        </w:rPr>
        <w:t>recent critical review¹¹ concluded that serum uric acid is a strong and independent risk factor for diabetes in middle-aged and older people. Additionally, an increased serum uric acid level was significantly correlated with the severity of albuminuria and diabetic retinopathy in patients with type 2 diabetes mellitus</w:t>
      </w:r>
      <w:r w:rsidR="00740410">
        <w:rPr>
          <w:rFonts w:ascii="Garamond" w:hAnsi="Garamond"/>
          <w:bCs/>
          <w:iCs/>
          <w:sz w:val="20"/>
          <w:szCs w:val="20"/>
          <w:lang w:val="en"/>
        </w:rPr>
        <w:t>.</w:t>
      </w:r>
      <w:r w:rsidRPr="005238E4">
        <w:rPr>
          <w:rFonts w:ascii="Garamond" w:hAnsi="Garamond"/>
          <w:bCs/>
          <w:iCs/>
          <w:sz w:val="20"/>
          <w:szCs w:val="20"/>
          <w:lang w:val="en"/>
        </w:rPr>
        <w:t>¹</w:t>
      </w:r>
      <w:r w:rsidRPr="005238E4">
        <w:rPr>
          <w:rFonts w:ascii="Cambria Math" w:hAnsi="Cambria Math" w:cs="Cambria Math"/>
          <w:bCs/>
          <w:iCs/>
          <w:sz w:val="20"/>
          <w:szCs w:val="20"/>
          <w:lang w:val="en"/>
        </w:rPr>
        <w:t>⁵</w:t>
      </w:r>
      <w:r w:rsidRPr="005238E4">
        <w:rPr>
          <w:rFonts w:ascii="Garamond" w:hAnsi="Garamond"/>
          <w:bCs/>
          <w:iCs/>
          <w:sz w:val="20"/>
          <w:szCs w:val="20"/>
          <w:lang w:val="en"/>
        </w:rPr>
        <w:t xml:space="preserve"> Furthermore, studies have proposed that elevated uric acid termed hyperuricemia may be considered a true mediator of renal dysfunction and a causal risk factor for atherothrombotic CVD such as myocardial infarction, hypertension, preeclampsia, and stroke</w:t>
      </w:r>
      <w:r w:rsidR="00740410">
        <w:rPr>
          <w:rFonts w:ascii="Garamond" w:hAnsi="Garamond"/>
          <w:bCs/>
          <w:iCs/>
          <w:sz w:val="20"/>
          <w:szCs w:val="20"/>
          <w:lang w:val="en"/>
        </w:rPr>
        <w:t>.</w:t>
      </w:r>
      <w:r w:rsidRPr="005238E4">
        <w:rPr>
          <w:rFonts w:ascii="Garamond" w:hAnsi="Garamond"/>
          <w:bCs/>
          <w:iCs/>
          <w:sz w:val="20"/>
          <w:szCs w:val="20"/>
          <w:vertAlign w:val="superscript"/>
          <w:lang w:val="en"/>
        </w:rPr>
        <w:t>10,16</w:t>
      </w:r>
      <w:r w:rsidRPr="005238E4">
        <w:rPr>
          <w:rFonts w:ascii="Garamond" w:hAnsi="Garamond"/>
          <w:bCs/>
          <w:iCs/>
          <w:sz w:val="20"/>
          <w:szCs w:val="20"/>
          <w:lang w:val="en"/>
        </w:rPr>
        <w:t xml:space="preserve"> The aim of this review is to show that uric acid can be considered a causal risk factor of cardiometabolic syndrome.</w:t>
      </w:r>
    </w:p>
    <w:p w14:paraId="75576473" w14:textId="06187CEE" w:rsidR="005238E4" w:rsidRPr="005238E4"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 xml:space="preserve">Reports have suggested that uric acid promotes insulin resistance by inhibiting endothelial function because insulin depends on nitric oxide for stimulation of glucose uptake via vasodilation induced by nitric oxide in the skeletal muscle. Consequently, uric acid reduces glucose uptake in the skeletal </w:t>
      </w:r>
      <w:proofErr w:type="gramStart"/>
      <w:r w:rsidR="00740410" w:rsidRPr="005238E4">
        <w:rPr>
          <w:rFonts w:ascii="Garamond" w:hAnsi="Garamond"/>
          <w:bCs/>
          <w:iCs/>
          <w:sz w:val="20"/>
          <w:szCs w:val="20"/>
          <w:lang w:val="en"/>
        </w:rPr>
        <w:t>muscle</w:t>
      </w:r>
      <w:r w:rsidR="00740410">
        <w:rPr>
          <w:rFonts w:ascii="Garamond" w:hAnsi="Garamond"/>
          <w:bCs/>
          <w:iCs/>
          <w:sz w:val="20"/>
          <w:szCs w:val="20"/>
          <w:lang w:val="en"/>
        </w:rPr>
        <w:t>.</w:t>
      </w:r>
      <w:r w:rsidR="00740410" w:rsidRPr="005238E4">
        <w:rPr>
          <w:rFonts w:ascii="Garamond" w:hAnsi="Garamond"/>
          <w:bCs/>
          <w:iCs/>
          <w:sz w:val="20"/>
          <w:szCs w:val="20"/>
          <w:lang w:val="en"/>
        </w:rPr>
        <w:t>¹</w:t>
      </w:r>
      <w:proofErr w:type="gramEnd"/>
      <w:r w:rsidRPr="005238E4">
        <w:rPr>
          <w:rFonts w:ascii="Cambria Math" w:hAnsi="Cambria Math" w:cs="Cambria Math"/>
          <w:bCs/>
          <w:iCs/>
          <w:sz w:val="20"/>
          <w:szCs w:val="20"/>
          <w:lang w:val="en"/>
        </w:rPr>
        <w:t>⁷</w:t>
      </w:r>
      <w:r w:rsidRPr="005238E4">
        <w:rPr>
          <w:rFonts w:ascii="Garamond" w:hAnsi="Garamond"/>
          <w:bCs/>
          <w:iCs/>
          <w:sz w:val="20"/>
          <w:szCs w:val="20"/>
          <w:lang w:val="en"/>
        </w:rPr>
        <w:t xml:space="preserve"> Therefore, excess uric acid reduces nitric oxide bioavailability and hyperuricemia plays an important role in the development or worsening of IR</w:t>
      </w:r>
      <w:r w:rsidR="00740410">
        <w:rPr>
          <w:rFonts w:ascii="Garamond" w:hAnsi="Garamond"/>
          <w:bCs/>
          <w:iCs/>
          <w:sz w:val="20"/>
          <w:szCs w:val="20"/>
          <w:lang w:val="en"/>
        </w:rPr>
        <w:t>.</w:t>
      </w:r>
      <w:r w:rsidRPr="005238E4">
        <w:rPr>
          <w:rFonts w:ascii="Garamond" w:hAnsi="Garamond" w:cs="Garamond"/>
          <w:bCs/>
          <w:iCs/>
          <w:sz w:val="20"/>
          <w:szCs w:val="20"/>
          <w:lang w:val="en"/>
        </w:rPr>
        <w:t>¹³</w:t>
      </w:r>
      <w:r w:rsidRPr="005238E4">
        <w:rPr>
          <w:rFonts w:ascii="Garamond" w:hAnsi="Garamond"/>
          <w:bCs/>
          <w:iCs/>
          <w:sz w:val="20"/>
          <w:szCs w:val="20"/>
          <w:lang w:val="en"/>
        </w:rPr>
        <w:t xml:space="preserve"> Therefore, elevated uric acid is suggested to be a relevant causal risk factor for the development of CMS and its complications. </w:t>
      </w:r>
    </w:p>
    <w:p w14:paraId="5BA74C43" w14:textId="77777777" w:rsidR="00E8527B" w:rsidRDefault="00E8527B" w:rsidP="005238E4">
      <w:pPr>
        <w:spacing w:line="259" w:lineRule="auto"/>
        <w:jc w:val="both"/>
        <w:rPr>
          <w:rFonts w:ascii="Garamond" w:hAnsi="Garamond"/>
          <w:b/>
          <w:bCs/>
          <w:iCs/>
          <w:sz w:val="20"/>
          <w:szCs w:val="20"/>
          <w:lang w:val="en"/>
        </w:rPr>
      </w:pPr>
    </w:p>
    <w:p w14:paraId="34B5887D" w14:textId="1D0A500B" w:rsidR="005238E4" w:rsidRPr="005238E4" w:rsidRDefault="00740410" w:rsidP="005238E4">
      <w:pPr>
        <w:spacing w:line="259" w:lineRule="auto"/>
        <w:jc w:val="both"/>
        <w:rPr>
          <w:rFonts w:ascii="Garamond" w:hAnsi="Garamond"/>
          <w:b/>
          <w:bCs/>
          <w:iCs/>
          <w:sz w:val="22"/>
          <w:szCs w:val="22"/>
          <w:lang w:val="en"/>
        </w:rPr>
      </w:pPr>
      <w:r w:rsidRPr="005238E4">
        <w:rPr>
          <w:rFonts w:ascii="Garamond" w:hAnsi="Garamond"/>
          <w:b/>
          <w:bCs/>
          <w:iCs/>
          <w:sz w:val="22"/>
          <w:szCs w:val="22"/>
          <w:lang w:val="en"/>
        </w:rPr>
        <w:t xml:space="preserve">METHODOLOGY </w:t>
      </w:r>
    </w:p>
    <w:p w14:paraId="3341EEDD" w14:textId="77777777" w:rsidR="005238E4" w:rsidRPr="005238E4"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Relevant literature was identified through searches of major scientific databases including PubMed, Scopus, and Google Scholar. Key search terms included “uric acid,” “hyperuricemia,” “cardiometabolic syndrome,” “insulin resistance,” “hypertension,” and “non-alcoholic fatty liver disease.” Priority was given to peer-reviewed articles, meta-analyses, and prospective cohort studies published in English. Studies that explored mechanistic pathways, clinical associations, or therapeutic implications of uric acid in cardiometabolic disorders were included to provide a comprehensive overview of the current evidence.</w:t>
      </w:r>
    </w:p>
    <w:p w14:paraId="080372C0" w14:textId="77777777" w:rsidR="00E8527B" w:rsidRDefault="00E8527B" w:rsidP="005238E4">
      <w:pPr>
        <w:spacing w:line="259" w:lineRule="auto"/>
        <w:jc w:val="both"/>
        <w:rPr>
          <w:rFonts w:ascii="Garamond" w:hAnsi="Garamond"/>
          <w:b/>
          <w:bCs/>
          <w:iCs/>
          <w:sz w:val="22"/>
          <w:szCs w:val="22"/>
          <w:lang w:val="en"/>
        </w:rPr>
      </w:pPr>
    </w:p>
    <w:p w14:paraId="03756AC2" w14:textId="09C63454" w:rsidR="005238E4" w:rsidRPr="005238E4" w:rsidRDefault="00740410" w:rsidP="005238E4">
      <w:pPr>
        <w:spacing w:line="259" w:lineRule="auto"/>
        <w:jc w:val="both"/>
        <w:rPr>
          <w:rFonts w:ascii="Garamond" w:hAnsi="Garamond"/>
          <w:b/>
          <w:bCs/>
          <w:iCs/>
          <w:sz w:val="22"/>
          <w:szCs w:val="22"/>
          <w:lang w:val="en"/>
        </w:rPr>
      </w:pPr>
      <w:r w:rsidRPr="005238E4">
        <w:rPr>
          <w:rFonts w:ascii="Garamond" w:hAnsi="Garamond"/>
          <w:b/>
          <w:bCs/>
          <w:iCs/>
          <w:sz w:val="22"/>
          <w:szCs w:val="22"/>
          <w:lang w:val="en"/>
        </w:rPr>
        <w:t>DISCUSSION</w:t>
      </w:r>
    </w:p>
    <w:p w14:paraId="4A8D391E" w14:textId="77777777" w:rsidR="005238E4" w:rsidRPr="005238E4" w:rsidRDefault="005238E4" w:rsidP="005238E4">
      <w:pPr>
        <w:spacing w:line="259" w:lineRule="auto"/>
        <w:jc w:val="both"/>
        <w:rPr>
          <w:rFonts w:ascii="Garamond" w:hAnsi="Garamond"/>
          <w:b/>
          <w:bCs/>
          <w:iCs/>
          <w:sz w:val="20"/>
          <w:szCs w:val="20"/>
          <w:lang w:val="en"/>
        </w:rPr>
      </w:pPr>
      <w:r w:rsidRPr="005238E4">
        <w:rPr>
          <w:rFonts w:ascii="Garamond" w:hAnsi="Garamond"/>
          <w:b/>
          <w:bCs/>
          <w:iCs/>
          <w:sz w:val="20"/>
          <w:szCs w:val="20"/>
          <w:lang w:val="en"/>
        </w:rPr>
        <w:t xml:space="preserve">Cardiometabolic Syndrome </w:t>
      </w:r>
    </w:p>
    <w:p w14:paraId="5577491A" w14:textId="23318E8B" w:rsidR="005238E4" w:rsidRPr="0066440C"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 xml:space="preserve">Cardio Metabolic Syndrome (CMS), also known as IR syndrome or metabolic syndrome X, is a combination of metabolic disorders or risk factors that essentially includes a combination of diabetes mellitus, systemic arterial hypertension, central obesity and hyper-lipidemia. CMS has so far drawn global concern and </w:t>
      </w:r>
      <w:proofErr w:type="gramStart"/>
      <w:r w:rsidRPr="005238E4">
        <w:rPr>
          <w:rFonts w:ascii="Garamond" w:hAnsi="Garamond"/>
          <w:bCs/>
          <w:iCs/>
          <w:sz w:val="20"/>
          <w:szCs w:val="20"/>
          <w:lang w:val="en"/>
        </w:rPr>
        <w:t>interest</w:t>
      </w:r>
      <w:r w:rsidR="00740410">
        <w:rPr>
          <w:rFonts w:ascii="Garamond" w:hAnsi="Garamond"/>
          <w:bCs/>
          <w:iCs/>
          <w:sz w:val="20"/>
          <w:szCs w:val="20"/>
          <w:lang w:val="en"/>
        </w:rPr>
        <w:t>.</w:t>
      </w:r>
      <w:r w:rsidRPr="005238E4">
        <w:rPr>
          <w:rFonts w:ascii="Garamond" w:hAnsi="Garamond"/>
          <w:bCs/>
          <w:iCs/>
          <w:sz w:val="20"/>
          <w:szCs w:val="20"/>
          <w:lang w:val="en"/>
        </w:rPr>
        <w:t>¹</w:t>
      </w:r>
      <w:proofErr w:type="gramEnd"/>
      <w:r w:rsidRPr="005238E4">
        <w:rPr>
          <w:rFonts w:ascii="Cambria Math" w:hAnsi="Cambria Math" w:cs="Cambria Math"/>
          <w:bCs/>
          <w:iCs/>
          <w:sz w:val="20"/>
          <w:szCs w:val="20"/>
          <w:lang w:val="en"/>
        </w:rPr>
        <w:t>⁸</w:t>
      </w:r>
      <w:r w:rsidRPr="005238E4">
        <w:rPr>
          <w:rFonts w:ascii="Garamond" w:hAnsi="Garamond"/>
          <w:bCs/>
          <w:iCs/>
          <w:sz w:val="20"/>
          <w:szCs w:val="20"/>
          <w:lang w:val="en"/>
        </w:rPr>
        <w:t xml:space="preserve"> This disease is easily justified because </w:t>
      </w:r>
      <w:r w:rsidRPr="005238E4">
        <w:rPr>
          <w:rFonts w:ascii="Garamond" w:hAnsi="Garamond"/>
          <w:bCs/>
          <w:iCs/>
          <w:sz w:val="20"/>
          <w:szCs w:val="20"/>
          <w:lang w:val="en"/>
        </w:rPr>
        <w:lastRenderedPageBreak/>
        <w:t xml:space="preserve">cardiovascular disease is the cause of death of 18 million people around the world with diabetes and hypertension being the major risk factors </w:t>
      </w:r>
      <w:r w:rsidRPr="005238E4">
        <w:rPr>
          <w:rFonts w:ascii="Garamond" w:hAnsi="Garamond"/>
          <w:bCs/>
          <w:iCs/>
          <w:sz w:val="20"/>
          <w:szCs w:val="20"/>
          <w:vertAlign w:val="superscript"/>
          <w:lang w:val="en"/>
        </w:rPr>
        <w:t>19, 20, 21,22</w:t>
      </w:r>
      <w:r w:rsidRPr="005238E4">
        <w:rPr>
          <w:rFonts w:ascii="Garamond" w:hAnsi="Garamond"/>
          <w:bCs/>
          <w:iCs/>
          <w:sz w:val="20"/>
          <w:szCs w:val="20"/>
          <w:lang w:val="en"/>
        </w:rPr>
        <w:t>. Diabetes mellitus, a key component of CMS, has been shown by many studies to create an increased relative risk (RR) for CVD events. Recent studies also show a higher prevalence of metabolic syndrome in people with hyperuricemia.</w:t>
      </w:r>
      <w:r w:rsidRPr="005238E4">
        <w:rPr>
          <w:rFonts w:ascii="Garamond" w:hAnsi="Garamond"/>
          <w:bCs/>
          <w:iCs/>
          <w:sz w:val="20"/>
          <w:szCs w:val="20"/>
          <w:vertAlign w:val="superscript"/>
          <w:lang w:val="en"/>
        </w:rPr>
        <w:t>19,21,8</w:t>
      </w:r>
      <w:r w:rsidRPr="005238E4">
        <w:rPr>
          <w:rFonts w:ascii="Garamond" w:hAnsi="Garamond"/>
          <w:bCs/>
          <w:iCs/>
          <w:sz w:val="20"/>
          <w:szCs w:val="20"/>
          <w:lang w:val="en"/>
        </w:rPr>
        <w:t xml:space="preserve"> The results of some studies indicate a strong relationship between uric acid levels and metabolic syndrome in adults and children and have suggested various mechanisms to justify this relationship.</w:t>
      </w:r>
      <w:r w:rsidRPr="005238E4">
        <w:rPr>
          <w:rFonts w:ascii="Garamond" w:hAnsi="Garamond"/>
          <w:bCs/>
          <w:iCs/>
          <w:sz w:val="20"/>
          <w:szCs w:val="20"/>
          <w:vertAlign w:val="superscript"/>
          <w:lang w:val="en"/>
        </w:rPr>
        <w:t>23,24</w:t>
      </w:r>
      <w:r w:rsidRPr="005238E4">
        <w:rPr>
          <w:rFonts w:ascii="Garamond" w:hAnsi="Garamond"/>
          <w:bCs/>
          <w:iCs/>
          <w:sz w:val="20"/>
          <w:szCs w:val="20"/>
          <w:lang w:val="en"/>
        </w:rPr>
        <w:t xml:space="preserve">  Also in a study, nicotine-induced cardiometabolic alteration was accompanied with elevated uric acid level through the adenosine deaminase/xanthine oxidase pathway (ADA/XO- pathway) and treatments that ameliorated cardiometabolic factors also suppressed uric acid level.²</w:t>
      </w:r>
      <w:r w:rsidRPr="005238E4">
        <w:rPr>
          <w:rFonts w:ascii="Cambria Math" w:hAnsi="Cambria Math" w:cs="Cambria Math"/>
          <w:bCs/>
          <w:iCs/>
          <w:sz w:val="20"/>
          <w:szCs w:val="20"/>
          <w:lang w:val="en"/>
        </w:rPr>
        <w:t>⁵</w:t>
      </w:r>
      <w:r w:rsidRPr="005238E4">
        <w:rPr>
          <w:rFonts w:ascii="Garamond" w:hAnsi="Garamond"/>
          <w:bCs/>
          <w:iCs/>
          <w:sz w:val="20"/>
          <w:szCs w:val="20"/>
          <w:lang w:val="en"/>
        </w:rPr>
        <w:t xml:space="preserve"> In other models of CMS as well, suppressing elevated uric acid attenuated CMS and its complications.</w:t>
      </w:r>
      <w:r w:rsidRPr="005238E4">
        <w:rPr>
          <w:rFonts w:ascii="Garamond" w:hAnsi="Garamond"/>
          <w:bCs/>
          <w:iCs/>
          <w:sz w:val="20"/>
          <w:szCs w:val="20"/>
          <w:vertAlign w:val="superscript"/>
          <w:lang w:val="en"/>
        </w:rPr>
        <w:t>26,27</w:t>
      </w:r>
      <w:r w:rsidRPr="005238E4">
        <w:rPr>
          <w:rFonts w:ascii="Garamond" w:hAnsi="Garamond"/>
          <w:bCs/>
          <w:iCs/>
          <w:sz w:val="20"/>
          <w:szCs w:val="20"/>
          <w:lang w:val="en"/>
        </w:rPr>
        <w:t xml:space="preserve"> Furthermore, hyperuricemia promotes the occurrence and development of cardiovascular diseases by regulating molecular signals, such as inflammatory response, oxidative stress, insulin resistance/diabetes, endoplasmic reticulum stress, and endothelial dysfunction.²</w:t>
      </w:r>
      <w:r w:rsidRPr="005238E4">
        <w:rPr>
          <w:rFonts w:ascii="Cambria Math" w:hAnsi="Cambria Math" w:cs="Cambria Math"/>
          <w:bCs/>
          <w:iCs/>
          <w:sz w:val="20"/>
          <w:szCs w:val="20"/>
          <w:lang w:val="en"/>
        </w:rPr>
        <w:t>⁸</w:t>
      </w:r>
      <w:r w:rsidRPr="005238E4">
        <w:rPr>
          <w:rFonts w:ascii="Garamond" w:hAnsi="Garamond"/>
          <w:bCs/>
          <w:iCs/>
          <w:sz w:val="20"/>
          <w:szCs w:val="20"/>
          <w:lang w:val="en"/>
        </w:rPr>
        <w:t xml:space="preserve"> </w:t>
      </w:r>
    </w:p>
    <w:p w14:paraId="02D032B5" w14:textId="3F2FB76D" w:rsidR="00E8527B" w:rsidRDefault="005238E4" w:rsidP="005238E4">
      <w:pPr>
        <w:spacing w:line="259" w:lineRule="auto"/>
        <w:jc w:val="both"/>
        <w:rPr>
          <w:rFonts w:ascii="Garamond" w:hAnsi="Garamond"/>
          <w:bCs/>
          <w:iCs/>
          <w:sz w:val="20"/>
          <w:szCs w:val="20"/>
          <w:lang w:val="en"/>
        </w:rPr>
      </w:pPr>
      <w:r w:rsidRPr="0066440C">
        <w:rPr>
          <w:rFonts w:ascii="Garamond" w:hAnsi="Garamond"/>
          <w:b/>
          <w:bCs/>
          <w:i/>
          <w:sz w:val="20"/>
          <w:szCs w:val="20"/>
          <w:lang w:val="en"/>
        </w:rPr>
        <w:t>Uric acid and insulin resistance</w:t>
      </w:r>
      <w:r w:rsidR="0066440C">
        <w:rPr>
          <w:rFonts w:ascii="Garamond" w:hAnsi="Garamond"/>
          <w:b/>
          <w:bCs/>
          <w:i/>
          <w:sz w:val="20"/>
          <w:szCs w:val="20"/>
          <w:lang w:val="en"/>
        </w:rPr>
        <w:t xml:space="preserve">: </w:t>
      </w:r>
      <w:r w:rsidRPr="005238E4">
        <w:rPr>
          <w:rFonts w:ascii="Garamond" w:hAnsi="Garamond"/>
          <w:bCs/>
          <w:iCs/>
          <w:sz w:val="20"/>
          <w:szCs w:val="20"/>
          <w:lang w:val="en"/>
        </w:rPr>
        <w:t xml:space="preserve">Insulin resistance (IR) is a pathological situation, in which there is a lack of physiological response to insulin acting on peripheral tissues </w:t>
      </w:r>
      <w:r w:rsidRPr="005238E4">
        <w:rPr>
          <w:rFonts w:ascii="Garamond" w:hAnsi="Garamond"/>
          <w:bCs/>
          <w:iCs/>
          <w:sz w:val="20"/>
          <w:szCs w:val="20"/>
          <w:vertAlign w:val="superscript"/>
          <w:lang w:val="en"/>
        </w:rPr>
        <w:t>29,30,31</w:t>
      </w:r>
      <w:r w:rsidRPr="005238E4">
        <w:rPr>
          <w:rFonts w:ascii="Garamond" w:hAnsi="Garamond"/>
          <w:bCs/>
          <w:iCs/>
          <w:sz w:val="20"/>
          <w:szCs w:val="20"/>
          <w:lang w:val="en"/>
        </w:rPr>
        <w:t xml:space="preserve">. IR reduces glucose utilization in the muscles and fats and increases gluconeogenesis in the liver, leading to metabolic and hemodynamic disturbances known as metabolic syndrome. Some studies have suggested that IR is the underlying cause of metabolic syndrome. Increased insulin secretion may increase blood uric acid levels due to its role in reducing renal excretion of uric acid and sodium, thereby affecting cardiovascular events </w:t>
      </w:r>
      <w:r w:rsidRPr="005238E4">
        <w:rPr>
          <w:rFonts w:ascii="Garamond" w:hAnsi="Garamond"/>
          <w:bCs/>
          <w:iCs/>
          <w:sz w:val="20"/>
          <w:szCs w:val="20"/>
          <w:vertAlign w:val="superscript"/>
          <w:lang w:val="en"/>
        </w:rPr>
        <w:t>26,19,20,21</w:t>
      </w:r>
      <w:r w:rsidRPr="005238E4">
        <w:rPr>
          <w:rFonts w:ascii="Garamond" w:hAnsi="Garamond"/>
          <w:bCs/>
          <w:iCs/>
          <w:sz w:val="20"/>
          <w:szCs w:val="20"/>
          <w:lang w:val="en"/>
        </w:rPr>
        <w:t xml:space="preserve"> which contributes to increased incidence and mortality of cardiovascular disease compared to normal levels³² Obesity, in particular visceral adiposity, is also positively associated with hyperuricemia, which can be reduced by body weight loss</w:t>
      </w:r>
      <w:r w:rsidR="00740410">
        <w:rPr>
          <w:rFonts w:ascii="Garamond" w:hAnsi="Garamond"/>
          <w:bCs/>
          <w:iCs/>
          <w:sz w:val="20"/>
          <w:szCs w:val="20"/>
          <w:lang w:val="en"/>
        </w:rPr>
        <w:t>.</w:t>
      </w:r>
      <w:r w:rsidRPr="005238E4">
        <w:rPr>
          <w:rFonts w:ascii="Garamond" w:hAnsi="Garamond"/>
          <w:bCs/>
          <w:iCs/>
          <w:sz w:val="20"/>
          <w:szCs w:val="20"/>
          <w:vertAlign w:val="superscript"/>
          <w:lang w:val="en"/>
        </w:rPr>
        <w:t>26,17,33,34</w:t>
      </w:r>
      <w:r w:rsidRPr="005238E4">
        <w:rPr>
          <w:rFonts w:ascii="Garamond" w:hAnsi="Garamond"/>
          <w:bCs/>
          <w:iCs/>
          <w:sz w:val="20"/>
          <w:szCs w:val="20"/>
          <w:lang w:val="en"/>
        </w:rPr>
        <w:t xml:space="preserve"> Hyperuricemia is also frequently observed in patients with cardiovascular diseases. The question of whether hyperuricemia is an independent risk factor for cardiovascular disease was raised more than five decades ago</w:t>
      </w:r>
      <w:r w:rsidR="00740410">
        <w:rPr>
          <w:rFonts w:ascii="Garamond" w:hAnsi="Garamond"/>
          <w:bCs/>
          <w:iCs/>
          <w:sz w:val="20"/>
          <w:szCs w:val="20"/>
          <w:lang w:val="en"/>
        </w:rPr>
        <w:t>.</w:t>
      </w:r>
      <w:r w:rsidRPr="005238E4">
        <w:rPr>
          <w:rFonts w:ascii="Garamond" w:hAnsi="Garamond"/>
          <w:bCs/>
          <w:iCs/>
          <w:sz w:val="20"/>
          <w:szCs w:val="20"/>
          <w:vertAlign w:val="superscript"/>
          <w:lang w:val="en"/>
        </w:rPr>
        <w:t>29,35,36,30</w:t>
      </w:r>
      <w:r w:rsidRPr="005238E4">
        <w:rPr>
          <w:rFonts w:ascii="Garamond" w:hAnsi="Garamond"/>
          <w:bCs/>
          <w:iCs/>
          <w:sz w:val="20"/>
          <w:szCs w:val="20"/>
          <w:lang w:val="en"/>
        </w:rPr>
        <w:t xml:space="preserve"> It has been reported so far, the association between hyperuricemia and IR which has contributed to high cardiovascular mortality. Also, studies suggest that hyperuricemia indeed may have a direct vascular effect </w:t>
      </w:r>
      <w:r w:rsidRPr="005238E4">
        <w:rPr>
          <w:rFonts w:ascii="Garamond" w:hAnsi="Garamond"/>
          <w:bCs/>
          <w:iCs/>
          <w:sz w:val="20"/>
          <w:szCs w:val="20"/>
          <w:vertAlign w:val="superscript"/>
          <w:lang w:val="en"/>
        </w:rPr>
        <w:t>37,38</w:t>
      </w:r>
      <w:r w:rsidRPr="005238E4">
        <w:rPr>
          <w:rFonts w:ascii="Garamond" w:hAnsi="Garamond"/>
          <w:bCs/>
          <w:iCs/>
          <w:sz w:val="20"/>
          <w:szCs w:val="20"/>
          <w:lang w:val="en"/>
        </w:rPr>
        <w:t xml:space="preserve">. In hypertensive children with </w:t>
      </w:r>
      <w:r w:rsidRPr="005238E4">
        <w:rPr>
          <w:rFonts w:ascii="Garamond" w:hAnsi="Garamond"/>
          <w:bCs/>
          <w:iCs/>
          <w:sz w:val="20"/>
          <w:szCs w:val="20"/>
          <w:lang w:val="en"/>
        </w:rPr>
        <w:t>normal renal function, there is a strong correlation between hyperuricemia and blood pressure</w:t>
      </w:r>
      <w:r w:rsidR="00740410">
        <w:rPr>
          <w:rFonts w:ascii="Garamond" w:hAnsi="Garamond"/>
          <w:bCs/>
          <w:iCs/>
          <w:sz w:val="20"/>
          <w:szCs w:val="20"/>
          <w:lang w:val="en"/>
        </w:rPr>
        <w:t>,</w:t>
      </w:r>
      <w:r w:rsidRPr="00740410">
        <w:rPr>
          <w:rFonts w:ascii="Garamond" w:hAnsi="Garamond"/>
          <w:sz w:val="20"/>
          <w:szCs w:val="20"/>
          <w:vertAlign w:val="superscript"/>
          <w:lang w:val="en"/>
        </w:rPr>
        <w:t>³</w:t>
      </w:r>
      <w:r w:rsidRPr="00740410">
        <w:rPr>
          <w:rFonts w:ascii="Cambria Math" w:hAnsi="Cambria Math" w:cs="Cambria Math"/>
          <w:sz w:val="20"/>
          <w:szCs w:val="20"/>
          <w:vertAlign w:val="superscript"/>
          <w:lang w:val="en"/>
        </w:rPr>
        <w:t>⁹</w:t>
      </w:r>
      <w:r w:rsidRPr="005238E4">
        <w:rPr>
          <w:rFonts w:ascii="Garamond" w:hAnsi="Garamond"/>
          <w:bCs/>
          <w:iCs/>
          <w:sz w:val="20"/>
          <w:szCs w:val="20"/>
          <w:lang w:val="en"/>
        </w:rPr>
        <w:t xml:space="preserve"> and in a controlled trial, treatment of these subjects with the xanthine oxidase inhibitor allopurinol significantly lowered blood pressure in a short-term study</w:t>
      </w:r>
      <w:r w:rsidR="00740410">
        <w:rPr>
          <w:rFonts w:ascii="Garamond" w:hAnsi="Garamond"/>
          <w:bCs/>
          <w:iCs/>
          <w:sz w:val="20"/>
          <w:szCs w:val="20"/>
          <w:lang w:val="en"/>
        </w:rPr>
        <w:t>.</w:t>
      </w:r>
      <w:r w:rsidRPr="005238E4">
        <w:rPr>
          <w:rFonts w:ascii="Garamond" w:hAnsi="Garamond"/>
          <w:bCs/>
          <w:iCs/>
          <w:sz w:val="20"/>
          <w:szCs w:val="20"/>
          <w:vertAlign w:val="superscript"/>
          <w:lang w:val="en"/>
        </w:rPr>
        <w:t>37,40</w:t>
      </w:r>
      <w:r w:rsidRPr="005238E4">
        <w:rPr>
          <w:rFonts w:ascii="Garamond" w:hAnsi="Garamond"/>
          <w:bCs/>
          <w:iCs/>
          <w:sz w:val="20"/>
          <w:szCs w:val="20"/>
          <w:lang w:val="en"/>
        </w:rPr>
        <w:t xml:space="preserve"> In the last 20 years, over 10 studies have reported that hyperuricemia is an independent risk factor for the development of hypertension. Hyperuricemia has been reported to predict the onset of type 2 diabetes (T2DM) and have so far contributed to diabetes related mortality. Uric acid level is increased during the early stages of impaired glucose metabolism</w:t>
      </w:r>
      <w:r w:rsidR="00740410">
        <w:rPr>
          <w:rFonts w:ascii="Garamond" w:hAnsi="Garamond"/>
          <w:bCs/>
          <w:iCs/>
          <w:sz w:val="20"/>
          <w:szCs w:val="20"/>
          <w:lang w:val="en"/>
        </w:rPr>
        <w:t>.</w:t>
      </w:r>
      <w:r w:rsidRPr="005238E4">
        <w:rPr>
          <w:rFonts w:ascii="Garamond" w:hAnsi="Garamond"/>
          <w:bCs/>
          <w:iCs/>
          <w:sz w:val="20"/>
          <w:szCs w:val="20"/>
          <w:lang w:val="en"/>
        </w:rPr>
        <w:t xml:space="preserve"> </w:t>
      </w:r>
      <w:r w:rsidRPr="005238E4">
        <w:rPr>
          <w:rFonts w:ascii="Garamond" w:hAnsi="Garamond"/>
          <w:bCs/>
          <w:iCs/>
          <w:sz w:val="20"/>
          <w:szCs w:val="20"/>
          <w:vertAlign w:val="superscript"/>
          <w:lang w:val="en"/>
        </w:rPr>
        <w:t>25,41,42,43</w:t>
      </w:r>
      <w:r w:rsidRPr="005238E4">
        <w:rPr>
          <w:rFonts w:ascii="Garamond" w:hAnsi="Garamond"/>
          <w:bCs/>
          <w:iCs/>
          <w:sz w:val="20"/>
          <w:szCs w:val="20"/>
          <w:lang w:val="en"/>
        </w:rPr>
        <w:t xml:space="preserve"> Furthermore, in diabetic patients, hyperuricemia has been linked to both micro- and macrovascular complications. Also, hyperuricemia has been traditionally related to nephrolithiasis and gout. However, it has also been associated with the development of T2DM, cardiometabolic and cardiovascular diseases. </w:t>
      </w:r>
    </w:p>
    <w:p w14:paraId="7FBF026B" w14:textId="451124B4" w:rsidR="005238E4" w:rsidRPr="005238E4"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On the basis of pathophysiological, elevated serum uric acid levels may be associated with abnormal lipid and glucose metabolism. The effects of antidiabetic drugs (e.g. metformin, pioglitazone, sulfonylureas, dipeptidyl peptidase 4 inhibitors, glucagon-like peptide-1 receptor agonists, sodium-glucose co-transporter 2 inhibitors and insulin) on uric acid concentrations as have been reviewed</w:t>
      </w:r>
      <w:r w:rsidRPr="005238E4">
        <w:rPr>
          <w:rFonts w:ascii="Garamond" w:hAnsi="Garamond"/>
          <w:bCs/>
          <w:iCs/>
          <w:sz w:val="20"/>
          <w:szCs w:val="20"/>
          <w:vertAlign w:val="superscript"/>
          <w:lang w:val="en"/>
        </w:rPr>
        <w:t>44</w:t>
      </w:r>
      <w:r w:rsidRPr="005238E4">
        <w:rPr>
          <w:rFonts w:ascii="Garamond" w:hAnsi="Garamond"/>
          <w:bCs/>
          <w:iCs/>
          <w:sz w:val="20"/>
          <w:szCs w:val="20"/>
          <w:lang w:val="en"/>
        </w:rPr>
        <w:t xml:space="preserve"> supports uric acid as a causal risk for CMS.</w:t>
      </w:r>
    </w:p>
    <w:p w14:paraId="5DCCB07D" w14:textId="5E1EF3B1" w:rsidR="005238E4" w:rsidRPr="005238E4"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 xml:space="preserve">Chronically elevated circulating uric acid concentrations are associated with increased risk of hypertension, CV disease and chronic kidney disease (CKD). The extent to which uric acid contributes to these conditions, either as a cause or an aggravating factor, remains unclear, but interventions that reduce production or increase in uric acid excretion in </w:t>
      </w:r>
      <w:proofErr w:type="spellStart"/>
      <w:r w:rsidRPr="005238E4">
        <w:rPr>
          <w:rFonts w:ascii="Garamond" w:hAnsi="Garamond"/>
          <w:bCs/>
          <w:iCs/>
          <w:sz w:val="20"/>
          <w:szCs w:val="20"/>
          <w:lang w:val="en"/>
        </w:rPr>
        <w:t>hyperuricemic</w:t>
      </w:r>
      <w:proofErr w:type="spellEnd"/>
      <w:r w:rsidRPr="005238E4">
        <w:rPr>
          <w:rFonts w:ascii="Garamond" w:hAnsi="Garamond"/>
          <w:bCs/>
          <w:iCs/>
          <w:sz w:val="20"/>
          <w:szCs w:val="20"/>
          <w:lang w:val="en"/>
        </w:rPr>
        <w:t xml:space="preserve"> patients have consistently improved cardio-renal prognoses. Uric acid concentrations are often elevated in type 2 diabetes, which contributes to the metabolic syndrome of CV risk. Treatment of type 2 diabetes with a Sodium-glucose transport protein 2 (SGLT2) inhibitor increases uric acid excretion as a result, reduces circulating uric acid and improves parameters of CV alongside renal function. This raises the possibility that the lowering of uric acid by SGLT2 inhibition may assist in reducing adverse CV events and slowing progression of chronic kidney disease (CKD) in type 2 diabetes</w:t>
      </w:r>
      <w:r w:rsidR="00740410">
        <w:rPr>
          <w:rFonts w:ascii="Garamond" w:hAnsi="Garamond"/>
          <w:bCs/>
          <w:iCs/>
          <w:sz w:val="20"/>
          <w:szCs w:val="20"/>
          <w:lang w:val="en"/>
        </w:rPr>
        <w:t>.</w:t>
      </w:r>
      <w:r w:rsidRPr="005238E4">
        <w:rPr>
          <w:rFonts w:ascii="Garamond" w:hAnsi="Garamond"/>
          <w:bCs/>
          <w:iCs/>
          <w:sz w:val="20"/>
          <w:szCs w:val="20"/>
          <w:vertAlign w:val="superscript"/>
          <w:lang w:val="en"/>
        </w:rPr>
        <w:t>45,46</w:t>
      </w:r>
    </w:p>
    <w:p w14:paraId="6A30C8F8" w14:textId="23C435E3" w:rsidR="00E8527B" w:rsidRDefault="005238E4" w:rsidP="005238E4">
      <w:pPr>
        <w:spacing w:line="259" w:lineRule="auto"/>
        <w:jc w:val="both"/>
        <w:rPr>
          <w:rFonts w:ascii="Garamond" w:hAnsi="Garamond"/>
          <w:bCs/>
          <w:iCs/>
          <w:sz w:val="20"/>
          <w:szCs w:val="20"/>
          <w:lang w:val="en"/>
        </w:rPr>
      </w:pPr>
      <w:r w:rsidRPr="0066440C">
        <w:rPr>
          <w:rFonts w:ascii="Garamond" w:hAnsi="Garamond"/>
          <w:b/>
          <w:bCs/>
          <w:i/>
          <w:sz w:val="20"/>
          <w:szCs w:val="20"/>
          <w:lang w:val="en"/>
        </w:rPr>
        <w:t>Uric acid and pathogenesis of hypertension</w:t>
      </w:r>
      <w:r w:rsidR="0066440C">
        <w:rPr>
          <w:rFonts w:ascii="Garamond" w:hAnsi="Garamond"/>
          <w:b/>
          <w:bCs/>
          <w:iCs/>
          <w:sz w:val="20"/>
          <w:szCs w:val="20"/>
          <w:lang w:val="en"/>
        </w:rPr>
        <w:t xml:space="preserve">: </w:t>
      </w:r>
      <w:r w:rsidRPr="005238E4">
        <w:rPr>
          <w:rFonts w:ascii="Garamond" w:hAnsi="Garamond"/>
          <w:bCs/>
          <w:iCs/>
          <w:sz w:val="20"/>
          <w:szCs w:val="20"/>
          <w:lang w:val="en"/>
        </w:rPr>
        <w:t>Over the years, the association between increased serum uric acid and hypertension has been controversial</w:t>
      </w:r>
      <w:r w:rsidR="00740410">
        <w:rPr>
          <w:rFonts w:ascii="Garamond" w:hAnsi="Garamond"/>
          <w:bCs/>
          <w:iCs/>
          <w:sz w:val="20"/>
          <w:szCs w:val="20"/>
          <w:lang w:val="en"/>
        </w:rPr>
        <w:t>.</w:t>
      </w:r>
      <w:r w:rsidRPr="005238E4">
        <w:rPr>
          <w:rFonts w:ascii="Garamond" w:hAnsi="Garamond"/>
          <w:bCs/>
          <w:iCs/>
          <w:sz w:val="20"/>
          <w:szCs w:val="20"/>
          <w:vertAlign w:val="superscript"/>
          <w:lang w:val="en"/>
        </w:rPr>
        <w:t>47</w:t>
      </w:r>
      <w:r w:rsidRPr="005238E4">
        <w:rPr>
          <w:rFonts w:ascii="Garamond" w:hAnsi="Garamond"/>
          <w:bCs/>
          <w:iCs/>
          <w:sz w:val="20"/>
          <w:szCs w:val="20"/>
          <w:lang w:val="en"/>
        </w:rPr>
        <w:t xml:space="preserve"> Hyperuricemia has been shown to increase the risk of </w:t>
      </w:r>
      <w:r w:rsidRPr="005238E4">
        <w:rPr>
          <w:rFonts w:ascii="Garamond" w:hAnsi="Garamond"/>
          <w:bCs/>
          <w:iCs/>
          <w:sz w:val="20"/>
          <w:szCs w:val="20"/>
          <w:lang w:val="en"/>
        </w:rPr>
        <w:lastRenderedPageBreak/>
        <w:t xml:space="preserve">sudden death associated with cardiac and diabetic vascular </w:t>
      </w:r>
      <w:proofErr w:type="gramStart"/>
      <w:r w:rsidRPr="005238E4">
        <w:rPr>
          <w:rFonts w:ascii="Garamond" w:hAnsi="Garamond"/>
          <w:bCs/>
          <w:iCs/>
          <w:sz w:val="20"/>
          <w:szCs w:val="20"/>
          <w:lang w:val="en"/>
        </w:rPr>
        <w:t>disease</w:t>
      </w:r>
      <w:r w:rsidR="00740410">
        <w:rPr>
          <w:rFonts w:ascii="Garamond" w:hAnsi="Garamond"/>
          <w:bCs/>
          <w:iCs/>
          <w:sz w:val="20"/>
          <w:szCs w:val="20"/>
          <w:lang w:val="en"/>
        </w:rPr>
        <w:t>.</w:t>
      </w:r>
      <w:r w:rsidRPr="005238E4">
        <w:rPr>
          <w:rFonts w:ascii="Cambria Math" w:hAnsi="Cambria Math" w:cs="Cambria Math"/>
          <w:bCs/>
          <w:iCs/>
          <w:sz w:val="20"/>
          <w:szCs w:val="20"/>
          <w:lang w:val="en"/>
        </w:rPr>
        <w:t>⁸</w:t>
      </w:r>
      <w:proofErr w:type="gramEnd"/>
      <w:r w:rsidRPr="005238E4">
        <w:rPr>
          <w:rFonts w:ascii="Garamond" w:hAnsi="Garamond"/>
          <w:bCs/>
          <w:iCs/>
          <w:sz w:val="20"/>
          <w:szCs w:val="20"/>
          <w:lang w:val="en"/>
        </w:rPr>
        <w:t xml:space="preserve"> </w:t>
      </w:r>
    </w:p>
    <w:p w14:paraId="09578CBC" w14:textId="2CE9CDE7" w:rsidR="00E8527B" w:rsidRPr="0066440C"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Gout, kidney st</w:t>
      </w:r>
      <w:r w:rsidR="00E8527B">
        <w:rPr>
          <w:rFonts w:ascii="Garamond" w:hAnsi="Garamond"/>
          <w:bCs/>
          <w:iCs/>
          <w:sz w:val="20"/>
          <w:szCs w:val="20"/>
          <w:lang w:val="en"/>
        </w:rPr>
        <w:t>0</w:t>
      </w:r>
      <w:r w:rsidRPr="005238E4">
        <w:rPr>
          <w:rFonts w:ascii="Garamond" w:hAnsi="Garamond"/>
          <w:bCs/>
          <w:iCs/>
          <w:sz w:val="20"/>
          <w:szCs w:val="20"/>
          <w:lang w:val="en"/>
        </w:rPr>
        <w:t xml:space="preserve">ones and vascular calcification are results of increased extracellular uric acid deposition </w:t>
      </w:r>
      <w:r w:rsidRPr="005238E4">
        <w:rPr>
          <w:rFonts w:ascii="Garamond" w:hAnsi="Garamond"/>
          <w:bCs/>
          <w:iCs/>
          <w:sz w:val="20"/>
          <w:szCs w:val="20"/>
          <w:vertAlign w:val="superscript"/>
          <w:lang w:val="en"/>
        </w:rPr>
        <w:t>48,49</w:t>
      </w:r>
      <w:r w:rsidRPr="005238E4">
        <w:rPr>
          <w:rFonts w:ascii="Garamond" w:hAnsi="Garamond"/>
          <w:bCs/>
          <w:iCs/>
          <w:sz w:val="20"/>
          <w:szCs w:val="20"/>
          <w:lang w:val="en"/>
        </w:rPr>
        <w:t xml:space="preserve">. According to the Mendelian randomization studies, serum urate is not likely a causal factor in hypertension and cardiometabolic syndrome, however, experimental reports strongly suggest that an increase in intracellular uric acid levels plays a significant role in the pathogenesis of primary hypertension. Also, reports from clinical trials reveal that lowering serum uric acid level is beneficial in </w:t>
      </w:r>
      <w:proofErr w:type="spellStart"/>
      <w:r w:rsidRPr="005238E4">
        <w:rPr>
          <w:rFonts w:ascii="Garamond" w:hAnsi="Garamond"/>
          <w:bCs/>
          <w:iCs/>
          <w:sz w:val="20"/>
          <w:szCs w:val="20"/>
          <w:lang w:val="en"/>
        </w:rPr>
        <w:t>hyperuricemic</w:t>
      </w:r>
      <w:proofErr w:type="spellEnd"/>
      <w:r w:rsidRPr="005238E4">
        <w:rPr>
          <w:rFonts w:ascii="Garamond" w:hAnsi="Garamond"/>
          <w:bCs/>
          <w:iCs/>
          <w:sz w:val="20"/>
          <w:szCs w:val="20"/>
          <w:lang w:val="en"/>
        </w:rPr>
        <w:t xml:space="preserve"> individuals who are young, hypertensive, and have preserved kidney function. Further evidence suggests that activation of the renin-angiotensin system (RAS) occurs in hyperuricemia and blocking the RAS may mimic the effects of xanthine oxidase inhibitors. Therefore, inhibition of adenosine deaminase/xanthine oxidase activities will possibly suppress uric acid production as well as concentration which will be of therapeutic advantage in cardiometabolic </w:t>
      </w:r>
      <w:proofErr w:type="gramStart"/>
      <w:r w:rsidRPr="005238E4">
        <w:rPr>
          <w:rFonts w:ascii="Garamond" w:hAnsi="Garamond"/>
          <w:bCs/>
          <w:iCs/>
          <w:sz w:val="20"/>
          <w:szCs w:val="20"/>
          <w:lang w:val="en"/>
        </w:rPr>
        <w:t>syndrome</w:t>
      </w:r>
      <w:r w:rsidR="0066440C">
        <w:rPr>
          <w:rFonts w:ascii="Garamond" w:hAnsi="Garamond"/>
          <w:bCs/>
          <w:iCs/>
          <w:sz w:val="20"/>
          <w:szCs w:val="20"/>
          <w:lang w:val="en"/>
        </w:rPr>
        <w:t>.</w:t>
      </w:r>
      <w:r w:rsidRPr="005238E4">
        <w:rPr>
          <w:rFonts w:ascii="Cambria Math" w:hAnsi="Cambria Math" w:cs="Cambria Math"/>
          <w:bCs/>
          <w:iCs/>
          <w:sz w:val="20"/>
          <w:szCs w:val="20"/>
          <w:lang w:val="en"/>
        </w:rPr>
        <w:t>⁸</w:t>
      </w:r>
      <w:proofErr w:type="gramEnd"/>
    </w:p>
    <w:p w14:paraId="60A8882A" w14:textId="6916BE18" w:rsidR="005238E4" w:rsidRPr="005238E4" w:rsidRDefault="005238E4" w:rsidP="005238E4">
      <w:pPr>
        <w:spacing w:line="259" w:lineRule="auto"/>
        <w:jc w:val="both"/>
        <w:rPr>
          <w:rFonts w:ascii="Garamond" w:hAnsi="Garamond"/>
          <w:bCs/>
          <w:iCs/>
          <w:sz w:val="20"/>
          <w:szCs w:val="20"/>
          <w:lang w:val="en"/>
        </w:rPr>
      </w:pPr>
      <w:r w:rsidRPr="0066440C">
        <w:rPr>
          <w:rFonts w:ascii="Garamond" w:hAnsi="Garamond"/>
          <w:b/>
          <w:bCs/>
          <w:i/>
          <w:sz w:val="20"/>
          <w:szCs w:val="20"/>
          <w:lang w:val="en"/>
        </w:rPr>
        <w:t>Uric acid and non-alcoholic fatty liver disease</w:t>
      </w:r>
      <w:r w:rsidR="0066440C">
        <w:rPr>
          <w:rFonts w:ascii="Garamond" w:hAnsi="Garamond"/>
          <w:b/>
          <w:bCs/>
          <w:i/>
          <w:sz w:val="20"/>
          <w:szCs w:val="20"/>
          <w:lang w:val="en"/>
        </w:rPr>
        <w:t xml:space="preserve">: </w:t>
      </w:r>
      <w:r w:rsidRPr="005238E4">
        <w:rPr>
          <w:rFonts w:ascii="Garamond" w:hAnsi="Garamond"/>
          <w:bCs/>
          <w:iCs/>
          <w:sz w:val="20"/>
          <w:szCs w:val="20"/>
          <w:lang w:val="en"/>
        </w:rPr>
        <w:t xml:space="preserve">Non-alcoholic fatty liver disease (NAFLD) is the leading cause of chronic liver disease which is an independent determinant of the development of type 2 diabetes mellitus (T2DM) and cardiovascular disease (CVD). NAFLD is increasing rapidly worldwide due to widespread obesity and metabolic complications. Recently, the worldwide prevalence of NAFLD is currently estimated to be 24% </w:t>
      </w:r>
      <w:r w:rsidRPr="005238E4">
        <w:rPr>
          <w:rFonts w:ascii="Garamond" w:hAnsi="Garamond"/>
          <w:bCs/>
          <w:iCs/>
          <w:sz w:val="20"/>
          <w:szCs w:val="20"/>
          <w:vertAlign w:val="superscript"/>
          <w:lang w:val="en"/>
        </w:rPr>
        <w:t>27,50</w:t>
      </w:r>
      <w:r w:rsidRPr="005238E4">
        <w:rPr>
          <w:rFonts w:ascii="Garamond" w:hAnsi="Garamond"/>
          <w:bCs/>
          <w:iCs/>
          <w:sz w:val="20"/>
          <w:szCs w:val="20"/>
          <w:lang w:val="en"/>
        </w:rPr>
        <w:t xml:space="preserve">. Reports have suggested that NAFLD is the consequence of a complex interplay between dietary, environmental and metabolic factors. One of the pathophysiological mechanisms for the development of NAFLD is triglyceride (TG) accumulation which primes the liver for more forms of NAFLD especially in the presence of interrupted antioxidant capacity. Scientific evidence has shown that increased hepatic TG results in deterioration of the antioxidant barrier accompanied with mitochondrial dysfunction </w:t>
      </w:r>
      <w:r w:rsidRPr="005238E4">
        <w:rPr>
          <w:rFonts w:ascii="Garamond" w:hAnsi="Garamond"/>
          <w:bCs/>
          <w:iCs/>
          <w:sz w:val="20"/>
          <w:szCs w:val="20"/>
          <w:vertAlign w:val="superscript"/>
          <w:lang w:val="en"/>
        </w:rPr>
        <w:t>25,51,52,53</w:t>
      </w:r>
      <w:r w:rsidRPr="005238E4">
        <w:rPr>
          <w:rFonts w:ascii="Garamond" w:hAnsi="Garamond"/>
          <w:bCs/>
          <w:iCs/>
          <w:sz w:val="20"/>
          <w:szCs w:val="20"/>
          <w:lang w:val="en"/>
        </w:rPr>
        <w:t>. The major substrates for hepatic TG synthesis are free fatty acid (FFA) from hepatic de novo lipolysis, peripheral tissues, and dietary sources. It is worthy of note that growing interest exists in the attempt to decrypt the basis and importance of fatty liver as a result of its association with IR metabolic disease</w:t>
      </w:r>
      <w:r w:rsidR="00740410">
        <w:rPr>
          <w:rFonts w:ascii="Garamond" w:hAnsi="Garamond"/>
          <w:bCs/>
          <w:iCs/>
          <w:sz w:val="20"/>
          <w:szCs w:val="20"/>
          <w:lang w:val="en"/>
        </w:rPr>
        <w:t>.</w:t>
      </w:r>
      <w:r w:rsidRPr="005238E4">
        <w:rPr>
          <w:rFonts w:ascii="Garamond" w:hAnsi="Garamond"/>
          <w:bCs/>
          <w:iCs/>
          <w:sz w:val="20"/>
          <w:szCs w:val="20"/>
          <w:vertAlign w:val="superscript"/>
          <w:lang w:val="en"/>
        </w:rPr>
        <w:t>25,51</w:t>
      </w:r>
      <w:r w:rsidRPr="005238E4">
        <w:rPr>
          <w:rFonts w:ascii="Garamond" w:hAnsi="Garamond"/>
          <w:bCs/>
          <w:iCs/>
          <w:sz w:val="20"/>
          <w:szCs w:val="20"/>
          <w:lang w:val="en"/>
        </w:rPr>
        <w:t xml:space="preserve"> Certain factors are important to account for the global spread of metabolic derangement with NAFLD; western diet along with sedentary </w:t>
      </w:r>
      <w:proofErr w:type="gramStart"/>
      <w:r w:rsidRPr="005238E4">
        <w:rPr>
          <w:rFonts w:ascii="Garamond" w:hAnsi="Garamond"/>
          <w:bCs/>
          <w:iCs/>
          <w:sz w:val="20"/>
          <w:szCs w:val="20"/>
          <w:lang w:val="en"/>
        </w:rPr>
        <w:t>lifestyle</w:t>
      </w:r>
      <w:r w:rsidR="00740410">
        <w:rPr>
          <w:rFonts w:ascii="Garamond" w:hAnsi="Garamond"/>
          <w:bCs/>
          <w:iCs/>
          <w:sz w:val="20"/>
          <w:szCs w:val="20"/>
          <w:lang w:val="en"/>
        </w:rPr>
        <w:t>,</w:t>
      </w:r>
      <w:r w:rsidRPr="005238E4">
        <w:rPr>
          <w:rFonts w:ascii="Cambria Math" w:hAnsi="Cambria Math" w:cs="Cambria Math"/>
          <w:bCs/>
          <w:iCs/>
          <w:sz w:val="20"/>
          <w:szCs w:val="20"/>
          <w:lang w:val="en"/>
        </w:rPr>
        <w:t>⁵</w:t>
      </w:r>
      <w:proofErr w:type="gramEnd"/>
      <w:r w:rsidRPr="005238E4">
        <w:rPr>
          <w:rFonts w:ascii="Cambria Math" w:hAnsi="Cambria Math" w:cs="Cambria Math"/>
          <w:bCs/>
          <w:iCs/>
          <w:sz w:val="20"/>
          <w:szCs w:val="20"/>
          <w:lang w:val="en"/>
        </w:rPr>
        <w:t>⁴</w:t>
      </w:r>
      <w:r w:rsidRPr="005238E4">
        <w:rPr>
          <w:rFonts w:ascii="Garamond" w:hAnsi="Garamond"/>
          <w:bCs/>
          <w:iCs/>
          <w:sz w:val="20"/>
          <w:szCs w:val="20"/>
          <w:lang w:val="en"/>
        </w:rPr>
        <w:t xml:space="preserve"> and nicotine exposure</w:t>
      </w:r>
      <w:r w:rsidR="00740410">
        <w:rPr>
          <w:rFonts w:ascii="Garamond" w:hAnsi="Garamond"/>
          <w:bCs/>
          <w:iCs/>
          <w:sz w:val="20"/>
          <w:szCs w:val="20"/>
          <w:lang w:val="en"/>
        </w:rPr>
        <w:t>.</w:t>
      </w:r>
      <w:r w:rsidRPr="005238E4">
        <w:rPr>
          <w:rFonts w:ascii="Garamond" w:hAnsi="Garamond"/>
          <w:bCs/>
          <w:iCs/>
          <w:sz w:val="20"/>
          <w:szCs w:val="20"/>
          <w:vertAlign w:val="superscript"/>
          <w:lang w:val="en"/>
        </w:rPr>
        <w:t>31, 55</w:t>
      </w:r>
    </w:p>
    <w:p w14:paraId="772CCA6D" w14:textId="77777777" w:rsidR="00E8527B" w:rsidRDefault="00E8527B" w:rsidP="005238E4">
      <w:pPr>
        <w:spacing w:line="259" w:lineRule="auto"/>
        <w:jc w:val="both"/>
        <w:rPr>
          <w:rFonts w:ascii="Garamond" w:hAnsi="Garamond"/>
          <w:bCs/>
          <w:iCs/>
          <w:sz w:val="20"/>
          <w:szCs w:val="20"/>
          <w:lang w:val="en"/>
        </w:rPr>
      </w:pPr>
      <w:bookmarkStart w:id="8" w:name="_heading=h.g63f1xh4mayy" w:colFirst="0" w:colLast="0"/>
      <w:bookmarkEnd w:id="8"/>
    </w:p>
    <w:p w14:paraId="3C7CA1B4" w14:textId="1854AEF3" w:rsidR="005238E4" w:rsidRPr="005238E4"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 xml:space="preserve">Recently, nicotine-induced hepatic triglyceride (TG) accumulation through ADA/XO/UA-dependent pathway implicates uric acid production in the pathogenesis of NAFLD. This is in conformity with several experimental studies reports that increase prevalence of metabolic syndrome is closely related to intensified increases in hyperuricemia which strongly suggest elevated serum uric acid levels to be a predictor of metabolic syndrome, which also includes; impaired IR, lipid metabolism </w:t>
      </w:r>
      <w:r w:rsidRPr="005238E4">
        <w:rPr>
          <w:rFonts w:ascii="Garamond" w:hAnsi="Garamond"/>
          <w:bCs/>
          <w:iCs/>
          <w:sz w:val="20"/>
          <w:szCs w:val="20"/>
          <w:vertAlign w:val="superscript"/>
          <w:lang w:val="en"/>
        </w:rPr>
        <w:t>56,57</w:t>
      </w:r>
      <w:r w:rsidRPr="005238E4">
        <w:rPr>
          <w:rFonts w:ascii="Garamond" w:hAnsi="Garamond"/>
          <w:bCs/>
          <w:iCs/>
          <w:sz w:val="20"/>
          <w:szCs w:val="20"/>
          <w:lang w:val="en"/>
        </w:rPr>
        <w:t xml:space="preserve"> and NAFLD</w:t>
      </w:r>
      <w:r w:rsidR="00740410">
        <w:rPr>
          <w:rFonts w:ascii="Garamond" w:hAnsi="Garamond"/>
          <w:bCs/>
          <w:iCs/>
          <w:sz w:val="20"/>
          <w:szCs w:val="20"/>
          <w:lang w:val="en"/>
        </w:rPr>
        <w:t>.</w:t>
      </w:r>
      <w:r w:rsidRPr="005238E4">
        <w:rPr>
          <w:rFonts w:ascii="Garamond" w:hAnsi="Garamond"/>
          <w:bCs/>
          <w:iCs/>
          <w:sz w:val="20"/>
          <w:szCs w:val="20"/>
          <w:vertAlign w:val="superscript"/>
          <w:lang w:val="en"/>
        </w:rPr>
        <w:t>58</w:t>
      </w:r>
      <w:r w:rsidRPr="005238E4">
        <w:rPr>
          <w:rFonts w:ascii="Garamond" w:hAnsi="Garamond"/>
          <w:bCs/>
          <w:iCs/>
          <w:sz w:val="20"/>
          <w:szCs w:val="20"/>
          <w:lang w:val="en"/>
        </w:rPr>
        <w:t xml:space="preserve"> It is noteworthy that uric acid, being capable of acting as a pro-oxidant, causes oxidative damage and may be involved in the pathogenesis of NAFLD</w:t>
      </w:r>
      <w:r w:rsidR="00740410">
        <w:rPr>
          <w:rFonts w:ascii="Garamond" w:hAnsi="Garamond"/>
          <w:bCs/>
          <w:iCs/>
          <w:sz w:val="20"/>
          <w:szCs w:val="20"/>
          <w:lang w:val="en"/>
        </w:rPr>
        <w:t>.</w:t>
      </w:r>
      <w:r w:rsidRPr="005238E4">
        <w:rPr>
          <w:rFonts w:ascii="Cambria Math" w:hAnsi="Cambria Math" w:cs="Cambria Math"/>
          <w:bCs/>
          <w:iCs/>
          <w:sz w:val="20"/>
          <w:szCs w:val="20"/>
          <w:lang w:val="en"/>
        </w:rPr>
        <w:t>⁵⁹</w:t>
      </w:r>
      <w:r w:rsidRPr="005238E4">
        <w:rPr>
          <w:rFonts w:ascii="Garamond" w:hAnsi="Garamond"/>
          <w:bCs/>
          <w:iCs/>
          <w:sz w:val="20"/>
          <w:szCs w:val="20"/>
          <w:lang w:val="en"/>
        </w:rPr>
        <w:t xml:space="preserve"> Besides the mechanism involving increased oxidative stress, an elevated uric acid concentration may itself also contribute to hepatic lipid accumulation because a previous report showed uric acid to promote TG accumulation in hepatocytes through inhibition of AMP-activated protein kinase (AMPK)</w:t>
      </w:r>
      <w:r w:rsidR="00740410">
        <w:rPr>
          <w:rFonts w:ascii="Garamond" w:hAnsi="Garamond"/>
          <w:bCs/>
          <w:iCs/>
          <w:sz w:val="20"/>
          <w:szCs w:val="20"/>
          <w:lang w:val="en"/>
        </w:rPr>
        <w:t>.</w:t>
      </w:r>
      <w:r w:rsidRPr="005238E4">
        <w:rPr>
          <w:rFonts w:ascii="Cambria Math" w:hAnsi="Cambria Math" w:cs="Cambria Math"/>
          <w:bCs/>
          <w:iCs/>
          <w:sz w:val="20"/>
          <w:szCs w:val="20"/>
          <w:lang w:val="en"/>
        </w:rPr>
        <w:t>⁶⁰</w:t>
      </w:r>
      <w:r w:rsidRPr="005238E4">
        <w:rPr>
          <w:rFonts w:ascii="Garamond" w:hAnsi="Garamond"/>
          <w:bCs/>
          <w:iCs/>
          <w:sz w:val="20"/>
          <w:szCs w:val="20"/>
          <w:lang w:val="en"/>
        </w:rPr>
        <w:t xml:space="preserve"> AMPK and AMP deaminase (AMPD) within hepatocytes have been implicated in the development of hepatic steatosis. When AMPK activity is reduced excess fat infiltration occurs, while its stimulation can prevent steatosis through increased fat oxidation and inhibition of lipogenesis. AMPD possesses an opposing effect on fat deposition within the hepatocytes. AMPD activation increases intracellular uric acid </w:t>
      </w:r>
      <w:proofErr w:type="gramStart"/>
      <w:r w:rsidRPr="005238E4">
        <w:rPr>
          <w:rFonts w:ascii="Garamond" w:hAnsi="Garamond"/>
          <w:bCs/>
          <w:iCs/>
          <w:sz w:val="20"/>
          <w:szCs w:val="20"/>
          <w:lang w:val="en"/>
        </w:rPr>
        <w:t>synthesis</w:t>
      </w:r>
      <w:r w:rsidR="00740410">
        <w:rPr>
          <w:rFonts w:ascii="Garamond" w:hAnsi="Garamond"/>
          <w:bCs/>
          <w:iCs/>
          <w:sz w:val="20"/>
          <w:szCs w:val="20"/>
          <w:lang w:val="en"/>
        </w:rPr>
        <w:t>.</w:t>
      </w:r>
      <w:r w:rsidRPr="005238E4">
        <w:rPr>
          <w:rFonts w:ascii="Cambria Math" w:hAnsi="Cambria Math" w:cs="Cambria Math"/>
          <w:bCs/>
          <w:iCs/>
          <w:sz w:val="20"/>
          <w:szCs w:val="20"/>
          <w:lang w:val="en"/>
        </w:rPr>
        <w:t>⁶</w:t>
      </w:r>
      <w:proofErr w:type="gramEnd"/>
      <w:r w:rsidRPr="005238E4">
        <w:rPr>
          <w:rFonts w:ascii="Garamond" w:hAnsi="Garamond" w:cs="Garamond"/>
          <w:bCs/>
          <w:iCs/>
          <w:sz w:val="20"/>
          <w:szCs w:val="20"/>
          <w:lang w:val="en"/>
        </w:rPr>
        <w:t>¹</w:t>
      </w:r>
      <w:r w:rsidRPr="005238E4">
        <w:rPr>
          <w:rFonts w:ascii="Garamond" w:hAnsi="Garamond"/>
          <w:bCs/>
          <w:iCs/>
          <w:sz w:val="20"/>
          <w:szCs w:val="20"/>
          <w:lang w:val="en"/>
        </w:rPr>
        <w:t xml:space="preserve"> Intracellular uric acid inhibits AMPK activity</w:t>
      </w:r>
      <w:r w:rsidRPr="005238E4">
        <w:rPr>
          <w:rFonts w:ascii="Cambria Math" w:hAnsi="Cambria Math" w:cs="Cambria Math"/>
          <w:bCs/>
          <w:iCs/>
          <w:sz w:val="20"/>
          <w:szCs w:val="20"/>
          <w:lang w:val="en"/>
        </w:rPr>
        <w:t>⁶</w:t>
      </w:r>
      <w:r w:rsidRPr="005238E4">
        <w:rPr>
          <w:rFonts w:ascii="Garamond" w:hAnsi="Garamond" w:cs="Garamond"/>
          <w:bCs/>
          <w:iCs/>
          <w:sz w:val="20"/>
          <w:szCs w:val="20"/>
          <w:lang w:val="en"/>
        </w:rPr>
        <w:t>¹</w:t>
      </w:r>
      <w:r w:rsidRPr="005238E4">
        <w:rPr>
          <w:rFonts w:ascii="Garamond" w:hAnsi="Garamond"/>
          <w:bCs/>
          <w:iCs/>
          <w:sz w:val="20"/>
          <w:szCs w:val="20"/>
          <w:lang w:val="en"/>
        </w:rPr>
        <w:t xml:space="preserve"> thereby causing excess fat infiltration and endoplasmic reticulum stress in the hepatocytes leading fatty liver due to fat oxidation and inhibition of lipogenesis.</w:t>
      </w:r>
    </w:p>
    <w:p w14:paraId="7727E1BC" w14:textId="77777777" w:rsidR="00E8527B" w:rsidRDefault="00E8527B" w:rsidP="005238E4">
      <w:pPr>
        <w:spacing w:line="259" w:lineRule="auto"/>
        <w:jc w:val="both"/>
        <w:rPr>
          <w:rFonts w:ascii="Garamond" w:hAnsi="Garamond"/>
          <w:b/>
          <w:iCs/>
          <w:sz w:val="20"/>
          <w:szCs w:val="20"/>
          <w:lang w:val="en"/>
        </w:rPr>
      </w:pPr>
    </w:p>
    <w:p w14:paraId="14544631" w14:textId="385B981D" w:rsidR="005238E4" w:rsidRPr="00740410" w:rsidRDefault="00740410" w:rsidP="005238E4">
      <w:pPr>
        <w:spacing w:line="259" w:lineRule="auto"/>
        <w:jc w:val="both"/>
        <w:rPr>
          <w:rFonts w:ascii="Garamond" w:hAnsi="Garamond"/>
          <w:b/>
          <w:iCs/>
          <w:sz w:val="22"/>
          <w:szCs w:val="22"/>
          <w:lang w:val="en"/>
        </w:rPr>
      </w:pPr>
      <w:r w:rsidRPr="00740410">
        <w:rPr>
          <w:rFonts w:ascii="Garamond" w:hAnsi="Garamond"/>
          <w:b/>
          <w:iCs/>
          <w:sz w:val="22"/>
          <w:szCs w:val="22"/>
          <w:lang w:val="en"/>
        </w:rPr>
        <w:t>CONCLUSION</w:t>
      </w:r>
    </w:p>
    <w:p w14:paraId="452FE995" w14:textId="4AC5C86D" w:rsidR="005238E4" w:rsidRPr="005238E4" w:rsidRDefault="005238E4" w:rsidP="005238E4">
      <w:pPr>
        <w:spacing w:line="259" w:lineRule="auto"/>
        <w:jc w:val="both"/>
        <w:rPr>
          <w:rFonts w:ascii="Garamond" w:hAnsi="Garamond"/>
          <w:bCs/>
          <w:iCs/>
          <w:sz w:val="20"/>
          <w:szCs w:val="20"/>
          <w:lang w:val="en"/>
        </w:rPr>
      </w:pPr>
      <w:r w:rsidRPr="005238E4">
        <w:rPr>
          <w:rFonts w:ascii="Garamond" w:hAnsi="Garamond"/>
          <w:bCs/>
          <w:iCs/>
          <w:sz w:val="20"/>
          <w:szCs w:val="20"/>
          <w:lang w:val="en"/>
        </w:rPr>
        <w:t xml:space="preserve">Uric acid acts as a strong antioxidant outside the cell and as a prooxidant inside the cell where it stimulates NADPH oxidase enzyme causing increased intracellular oxidative stress, mitochondrial injury, and ATP depletion. Elevated uric acid activates the enzyme arginase that reduces nitric oxide precursor leading to reduction in nitric oxide, resulting in increased production of superoxide molecules, reactive oxygen species and endothelial dysfunction. In line with this, TG accumulation in the liver is associated with decreased plasma and hepatic NO bioavailability. Studies have shown that impaired glucose regulation, hyperuricemia, hyperinsulinemia, increased endothelial dysfunction and oxidative stress mediate CMS. Furthermore, several reports have implicated the </w:t>
      </w:r>
      <w:r w:rsidRPr="005238E4">
        <w:rPr>
          <w:rFonts w:ascii="Garamond" w:hAnsi="Garamond"/>
          <w:bCs/>
          <w:iCs/>
          <w:sz w:val="20"/>
          <w:szCs w:val="20"/>
          <w:lang w:val="en"/>
        </w:rPr>
        <w:lastRenderedPageBreak/>
        <w:t>involvement of ADA/XO/UA-dependent pathway and/or uric acid production in metabolic syndrome in association with TG accumulation. Administration of products like allopurinol or febuxostat which prevents uric acid production has been reported to improve metabolic alterations/complications in animal models thereby giving uric acid a causal and unconventional role in cardiometabolic risk factors.</w:t>
      </w:r>
      <w:r w:rsidR="00740410">
        <w:rPr>
          <w:rFonts w:ascii="Garamond" w:hAnsi="Garamond"/>
          <w:bCs/>
          <w:iCs/>
          <w:sz w:val="20"/>
          <w:szCs w:val="20"/>
          <w:lang w:val="en"/>
        </w:rPr>
        <w:t xml:space="preserve"> </w:t>
      </w:r>
      <w:r w:rsidRPr="005238E4">
        <w:rPr>
          <w:rFonts w:ascii="Garamond" w:hAnsi="Garamond"/>
          <w:bCs/>
          <w:iCs/>
          <w:sz w:val="20"/>
          <w:szCs w:val="20"/>
          <w:lang w:val="en"/>
        </w:rPr>
        <w:t>Therefore, preventing excess uric acid production favors the constellation of several metabolic risk factors which includes; insulin resistance, hyperglycemia, obesity and lipid accumulation.</w:t>
      </w:r>
    </w:p>
    <w:p w14:paraId="5A20DE0E" w14:textId="77777777" w:rsidR="005238E4" w:rsidRPr="005238E4" w:rsidRDefault="005238E4" w:rsidP="005238E4">
      <w:pPr>
        <w:spacing w:line="259" w:lineRule="auto"/>
        <w:jc w:val="both"/>
        <w:rPr>
          <w:rFonts w:ascii="Garamond" w:hAnsi="Garamond"/>
          <w:b/>
          <w:bCs/>
          <w:iCs/>
          <w:sz w:val="20"/>
          <w:szCs w:val="20"/>
          <w:lang w:val="en"/>
        </w:rPr>
      </w:pPr>
    </w:p>
    <w:p w14:paraId="55188169" w14:textId="00B7CDB5" w:rsidR="005238E4" w:rsidRDefault="005238E4" w:rsidP="005238E4">
      <w:pPr>
        <w:spacing w:line="259" w:lineRule="auto"/>
        <w:jc w:val="both"/>
        <w:rPr>
          <w:rFonts w:ascii="Garamond" w:hAnsi="Garamond"/>
          <w:bCs/>
          <w:iCs/>
          <w:sz w:val="20"/>
          <w:szCs w:val="20"/>
          <w:lang w:val="en"/>
        </w:rPr>
      </w:pPr>
      <w:r w:rsidRPr="00740410">
        <w:rPr>
          <w:rFonts w:ascii="Garamond" w:hAnsi="Garamond"/>
          <w:b/>
          <w:bCs/>
          <w:i/>
          <w:sz w:val="20"/>
          <w:szCs w:val="20"/>
          <w:lang w:val="en"/>
        </w:rPr>
        <w:t>Conflict of interest</w:t>
      </w:r>
      <w:r w:rsidR="00740410" w:rsidRPr="00740410">
        <w:rPr>
          <w:rFonts w:ascii="Garamond" w:hAnsi="Garamond"/>
          <w:b/>
          <w:bCs/>
          <w:i/>
          <w:sz w:val="20"/>
          <w:szCs w:val="20"/>
          <w:lang w:val="en"/>
        </w:rPr>
        <w:t>:</w:t>
      </w:r>
      <w:r w:rsidR="00740410">
        <w:rPr>
          <w:rFonts w:ascii="Garamond" w:hAnsi="Garamond"/>
          <w:b/>
          <w:bCs/>
          <w:iCs/>
          <w:sz w:val="20"/>
          <w:szCs w:val="20"/>
          <w:lang w:val="en"/>
        </w:rPr>
        <w:t xml:space="preserve"> </w:t>
      </w:r>
      <w:r w:rsidRPr="005238E4">
        <w:rPr>
          <w:rFonts w:ascii="Garamond" w:hAnsi="Garamond"/>
          <w:bCs/>
          <w:iCs/>
          <w:sz w:val="20"/>
          <w:szCs w:val="20"/>
          <w:lang w:val="en"/>
        </w:rPr>
        <w:t>The authors have no conflict of interest</w:t>
      </w:r>
    </w:p>
    <w:p w14:paraId="70169684" w14:textId="6A1AA777" w:rsidR="00D32A23" w:rsidRPr="00740410" w:rsidRDefault="00D32A23" w:rsidP="005238E4">
      <w:pPr>
        <w:spacing w:line="259" w:lineRule="auto"/>
        <w:jc w:val="both"/>
        <w:rPr>
          <w:rFonts w:ascii="Garamond" w:hAnsi="Garamond"/>
          <w:b/>
          <w:bCs/>
          <w:iCs/>
          <w:sz w:val="20"/>
          <w:szCs w:val="20"/>
          <w:lang w:val="en"/>
        </w:rPr>
      </w:pPr>
      <w:r w:rsidRPr="0066440C">
        <w:rPr>
          <w:rFonts w:ascii="Garamond" w:hAnsi="Garamond"/>
          <w:b/>
          <w:i/>
          <w:sz w:val="20"/>
          <w:szCs w:val="20"/>
          <w:lang w:val="en"/>
        </w:rPr>
        <w:t>Funding</w:t>
      </w:r>
      <w:r>
        <w:rPr>
          <w:rFonts w:ascii="Garamond" w:hAnsi="Garamond"/>
          <w:bCs/>
          <w:iCs/>
          <w:sz w:val="20"/>
          <w:szCs w:val="20"/>
          <w:lang w:val="en"/>
        </w:rPr>
        <w:t xml:space="preserve">: </w:t>
      </w:r>
      <w:r w:rsidR="0066440C" w:rsidRPr="00840979">
        <w:rPr>
          <w:rFonts w:ascii="Garamond" w:eastAsia="Times New Roman" w:hAnsi="Garamond" w:cs="Times New Roman"/>
          <w:sz w:val="20"/>
          <w:szCs w:val="20"/>
        </w:rPr>
        <w:t>No external funding received</w:t>
      </w:r>
    </w:p>
    <w:p w14:paraId="28297875" w14:textId="77777777" w:rsidR="005238E4" w:rsidRPr="005238E4" w:rsidRDefault="005238E4" w:rsidP="005238E4">
      <w:pPr>
        <w:spacing w:line="259" w:lineRule="auto"/>
        <w:jc w:val="both"/>
        <w:rPr>
          <w:rFonts w:ascii="Garamond" w:hAnsi="Garamond"/>
          <w:bCs/>
          <w:iCs/>
          <w:sz w:val="20"/>
          <w:szCs w:val="20"/>
          <w:lang w:val="en"/>
        </w:rPr>
      </w:pPr>
    </w:p>
    <w:p w14:paraId="205C12C1" w14:textId="748FA904" w:rsidR="005238E4" w:rsidRPr="005238E4" w:rsidRDefault="00740410" w:rsidP="005238E4">
      <w:pPr>
        <w:spacing w:line="259" w:lineRule="auto"/>
        <w:jc w:val="both"/>
        <w:rPr>
          <w:rFonts w:ascii="Garamond" w:hAnsi="Garamond"/>
          <w:b/>
          <w:bCs/>
          <w:iCs/>
          <w:sz w:val="22"/>
          <w:szCs w:val="22"/>
          <w:lang w:val="en"/>
        </w:rPr>
      </w:pPr>
      <w:r w:rsidRPr="005238E4">
        <w:rPr>
          <w:rFonts w:ascii="Garamond" w:hAnsi="Garamond"/>
          <w:b/>
          <w:bCs/>
          <w:iCs/>
          <w:sz w:val="22"/>
          <w:szCs w:val="22"/>
          <w:lang w:val="en"/>
        </w:rPr>
        <w:t>REFERENCE</w:t>
      </w:r>
    </w:p>
    <w:p w14:paraId="07483954"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Rafael SF, Beatriz PM, Lucas MA, de Oliveira MB, de Araújo RM &amp; de Oliveira KA (2022) Serum uric acid is independently associated with metabolic syndrome and systemic hypertension in women from northeast Brazil, Women &amp; Health, 62:1, 68-74,</w:t>
      </w:r>
    </w:p>
    <w:p w14:paraId="78CBFC5E"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Mohammad HB, Amir B, Mohammad HG (2022) Investigating the relationship between serum uric acid to high-density lipoprotein ratio and metabolic syndrome Volume 5, Issue1 January 2022</w:t>
      </w:r>
    </w:p>
    <w:p w14:paraId="449D8C79"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Li J, He K, Fan J, et al. Serum uric acid and cardiometabolic syndrome among US adults: NHANES 1999–2020. Front Endocrinol (Lausanne). </w:t>
      </w:r>
      <w:proofErr w:type="gramStart"/>
      <w:r w:rsidRPr="005238E4">
        <w:rPr>
          <w:rFonts w:ascii="Garamond" w:hAnsi="Garamond"/>
          <w:bCs/>
          <w:iCs/>
          <w:sz w:val="20"/>
          <w:szCs w:val="20"/>
          <w:lang w:val="en"/>
        </w:rPr>
        <w:t>2025;16:1527513</w:t>
      </w:r>
      <w:proofErr w:type="gramEnd"/>
      <w:r w:rsidRPr="005238E4">
        <w:rPr>
          <w:rFonts w:ascii="Garamond" w:hAnsi="Garamond"/>
          <w:bCs/>
          <w:iCs/>
          <w:sz w:val="20"/>
          <w:szCs w:val="20"/>
          <w:lang w:val="en"/>
        </w:rPr>
        <w:t>.</w:t>
      </w:r>
    </w:p>
    <w:p w14:paraId="6B22CE34"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Zhu Y, Zhang L, He S, et al. Serum uric acid as a causal risk factor for hypertension: evidence from genetic studies. </w:t>
      </w:r>
      <w:proofErr w:type="spellStart"/>
      <w:r w:rsidRPr="005238E4">
        <w:rPr>
          <w:rFonts w:ascii="Garamond" w:hAnsi="Garamond"/>
          <w:bCs/>
          <w:iCs/>
          <w:sz w:val="20"/>
          <w:szCs w:val="20"/>
          <w:lang w:val="en"/>
        </w:rPr>
        <w:t>Hypertens</w:t>
      </w:r>
      <w:proofErr w:type="spellEnd"/>
      <w:r w:rsidRPr="005238E4">
        <w:rPr>
          <w:rFonts w:ascii="Garamond" w:hAnsi="Garamond"/>
          <w:bCs/>
          <w:iCs/>
          <w:sz w:val="20"/>
          <w:szCs w:val="20"/>
          <w:lang w:val="en"/>
        </w:rPr>
        <w:t xml:space="preserve"> Res. 2025;48(2):123–32.</w:t>
      </w:r>
    </w:p>
    <w:p w14:paraId="314D8F56"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Kuwabara M, Niwa K, Nishi Y, et al. Asymptomatic hyperuricemia without comorbidities predicts cardiometabolic diseases: a 10-year Japanese cohort study. </w:t>
      </w:r>
      <w:proofErr w:type="spellStart"/>
      <w:r w:rsidRPr="005238E4">
        <w:rPr>
          <w:rFonts w:ascii="Garamond" w:hAnsi="Garamond"/>
          <w:bCs/>
          <w:iCs/>
          <w:sz w:val="20"/>
          <w:szCs w:val="20"/>
          <w:lang w:val="en"/>
        </w:rPr>
        <w:t>Eur</w:t>
      </w:r>
      <w:proofErr w:type="spellEnd"/>
      <w:r w:rsidRPr="005238E4">
        <w:rPr>
          <w:rFonts w:ascii="Garamond" w:hAnsi="Garamond"/>
          <w:bCs/>
          <w:iCs/>
          <w:sz w:val="20"/>
          <w:szCs w:val="20"/>
          <w:lang w:val="en"/>
        </w:rPr>
        <w:t xml:space="preserve"> Heart J. 2018;39(24):2321–8.</w:t>
      </w:r>
    </w:p>
    <w:p w14:paraId="0780A632"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Johnson RJ, </w:t>
      </w:r>
      <w:proofErr w:type="spellStart"/>
      <w:r w:rsidRPr="005238E4">
        <w:rPr>
          <w:rFonts w:ascii="Garamond" w:hAnsi="Garamond"/>
          <w:bCs/>
          <w:iCs/>
          <w:sz w:val="20"/>
          <w:szCs w:val="20"/>
          <w:lang w:val="en"/>
        </w:rPr>
        <w:t>Bakris</w:t>
      </w:r>
      <w:proofErr w:type="spellEnd"/>
      <w:r w:rsidRPr="005238E4">
        <w:rPr>
          <w:rFonts w:ascii="Garamond" w:hAnsi="Garamond"/>
          <w:bCs/>
          <w:iCs/>
          <w:sz w:val="20"/>
          <w:szCs w:val="20"/>
          <w:lang w:val="en"/>
        </w:rPr>
        <w:t xml:space="preserve"> GL, Borghi C, et al. Hyperuricemia, acute and chronic kidney disease, hypertension, and cardiovascular disease: report of a scientific workshop organized by the National Kidney Foundation. Am J Kidney Dis. 2018;71(6):851–65.</w:t>
      </w:r>
    </w:p>
    <w:p w14:paraId="6D74785F"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Kim JH, Lee JE, Park SY, et al. Association between serum uric acid and metabolic risk in adolescents with obesity. Metabolites. 2025;15(4):237.</w:t>
      </w:r>
    </w:p>
    <w:p w14:paraId="283AB4CC" w14:textId="40A9E014"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Sanchez-Lozada LG, Rodriguez-Iturbe B, Kelley EE, Nakagawa T, Madero M, Feig DI, et al. Uric </w:t>
      </w:r>
      <w:r w:rsidRPr="005238E4">
        <w:rPr>
          <w:rFonts w:ascii="Garamond" w:hAnsi="Garamond"/>
          <w:bCs/>
          <w:iCs/>
          <w:sz w:val="20"/>
          <w:szCs w:val="20"/>
          <w:lang w:val="en"/>
        </w:rPr>
        <w:t xml:space="preserve">Acid and Hypertension: An Update </w:t>
      </w:r>
      <w:r w:rsidR="0066440C">
        <w:rPr>
          <w:rFonts w:ascii="Garamond" w:hAnsi="Garamond"/>
          <w:bCs/>
          <w:iCs/>
          <w:sz w:val="20"/>
          <w:szCs w:val="20"/>
          <w:lang w:val="en"/>
        </w:rPr>
        <w:t>w</w:t>
      </w:r>
      <w:r w:rsidRPr="005238E4">
        <w:rPr>
          <w:rFonts w:ascii="Garamond" w:hAnsi="Garamond"/>
          <w:bCs/>
          <w:iCs/>
          <w:sz w:val="20"/>
          <w:szCs w:val="20"/>
          <w:lang w:val="en"/>
        </w:rPr>
        <w:t xml:space="preserve">ith Recommendations. Am J </w:t>
      </w:r>
      <w:proofErr w:type="spellStart"/>
      <w:r w:rsidRPr="005238E4">
        <w:rPr>
          <w:rFonts w:ascii="Garamond" w:hAnsi="Garamond"/>
          <w:bCs/>
          <w:iCs/>
          <w:sz w:val="20"/>
          <w:szCs w:val="20"/>
          <w:lang w:val="en"/>
        </w:rPr>
        <w:t>Hypertens</w:t>
      </w:r>
      <w:proofErr w:type="spellEnd"/>
      <w:r w:rsidRPr="005238E4">
        <w:rPr>
          <w:rFonts w:ascii="Garamond" w:hAnsi="Garamond"/>
          <w:bCs/>
          <w:iCs/>
          <w:sz w:val="20"/>
          <w:szCs w:val="20"/>
          <w:lang w:val="en"/>
        </w:rPr>
        <w:t>. 2020;33(7):583-594.</w:t>
      </w:r>
    </w:p>
    <w:p w14:paraId="6F36B951"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El Ridi R, </w:t>
      </w:r>
      <w:proofErr w:type="spellStart"/>
      <w:r w:rsidRPr="005238E4">
        <w:rPr>
          <w:rFonts w:ascii="Garamond" w:hAnsi="Garamond"/>
          <w:bCs/>
          <w:iCs/>
          <w:sz w:val="20"/>
          <w:szCs w:val="20"/>
          <w:lang w:val="en"/>
        </w:rPr>
        <w:t>Tallima</w:t>
      </w:r>
      <w:proofErr w:type="spellEnd"/>
      <w:r w:rsidRPr="005238E4">
        <w:rPr>
          <w:rFonts w:ascii="Garamond" w:hAnsi="Garamond"/>
          <w:bCs/>
          <w:iCs/>
          <w:sz w:val="20"/>
          <w:szCs w:val="20"/>
          <w:lang w:val="en"/>
        </w:rPr>
        <w:t xml:space="preserve"> H. Physiological functions and pathogenic potential of uric acid: A review. J Adv Res. 2017;8(5):487–93.</w:t>
      </w:r>
    </w:p>
    <w:p w14:paraId="21705602"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Lanaspa</w:t>
      </w:r>
      <w:proofErr w:type="spellEnd"/>
      <w:r w:rsidRPr="005238E4">
        <w:rPr>
          <w:rFonts w:ascii="Garamond" w:hAnsi="Garamond"/>
          <w:bCs/>
          <w:iCs/>
          <w:sz w:val="20"/>
          <w:szCs w:val="20"/>
          <w:lang w:val="en"/>
        </w:rPr>
        <w:t xml:space="preserve"> MA, Epperson LE, Li N. Opposing activity changes in AMP deaminase and AMP-activated protein kinase in the hibernating ground squirrel. </w:t>
      </w:r>
      <w:proofErr w:type="spellStart"/>
      <w:r w:rsidRPr="005238E4">
        <w:rPr>
          <w:rFonts w:ascii="Garamond" w:hAnsi="Garamond"/>
          <w:bCs/>
          <w:iCs/>
          <w:sz w:val="20"/>
          <w:szCs w:val="20"/>
          <w:lang w:val="en"/>
        </w:rPr>
        <w:t>PLoS</w:t>
      </w:r>
      <w:proofErr w:type="spellEnd"/>
      <w:r w:rsidRPr="005238E4">
        <w:rPr>
          <w:rFonts w:ascii="Garamond" w:hAnsi="Garamond"/>
          <w:bCs/>
          <w:iCs/>
          <w:sz w:val="20"/>
          <w:szCs w:val="20"/>
          <w:lang w:val="en"/>
        </w:rPr>
        <w:t xml:space="preserve"> One. 2015;10(4</w:t>
      </w:r>
      <w:proofErr w:type="gramStart"/>
      <w:r w:rsidRPr="005238E4">
        <w:rPr>
          <w:rFonts w:ascii="Garamond" w:hAnsi="Garamond"/>
          <w:bCs/>
          <w:iCs/>
          <w:sz w:val="20"/>
          <w:szCs w:val="20"/>
          <w:lang w:val="en"/>
        </w:rPr>
        <w:t>):e</w:t>
      </w:r>
      <w:proofErr w:type="gramEnd"/>
      <w:r w:rsidRPr="005238E4">
        <w:rPr>
          <w:rFonts w:ascii="Garamond" w:hAnsi="Garamond"/>
          <w:bCs/>
          <w:iCs/>
          <w:sz w:val="20"/>
          <w:szCs w:val="20"/>
          <w:lang w:val="en"/>
        </w:rPr>
        <w:t>0123509.</w:t>
      </w:r>
    </w:p>
    <w:p w14:paraId="6DA04EAF"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Johnson RJ, Merriman T, </w:t>
      </w:r>
      <w:proofErr w:type="spellStart"/>
      <w:r w:rsidRPr="005238E4">
        <w:rPr>
          <w:rFonts w:ascii="Garamond" w:hAnsi="Garamond"/>
          <w:bCs/>
          <w:iCs/>
          <w:sz w:val="20"/>
          <w:szCs w:val="20"/>
          <w:lang w:val="en"/>
        </w:rPr>
        <w:t>Lanaspa</w:t>
      </w:r>
      <w:proofErr w:type="spellEnd"/>
      <w:r w:rsidRPr="005238E4">
        <w:rPr>
          <w:rFonts w:ascii="Garamond" w:hAnsi="Garamond"/>
          <w:bCs/>
          <w:iCs/>
          <w:sz w:val="20"/>
          <w:szCs w:val="20"/>
          <w:lang w:val="en"/>
        </w:rPr>
        <w:t xml:space="preserve"> MA. Causal or noncausal relationship of uric acid with diabetes. Diabetes. 2015;64(8):2720–2.</w:t>
      </w:r>
    </w:p>
    <w:p w14:paraId="39F7861D"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Reaven GM. Role of insulin resistance in human disease (syndrome X): an expanded definition. Annu Rev Med. </w:t>
      </w:r>
      <w:proofErr w:type="gramStart"/>
      <w:r w:rsidRPr="005238E4">
        <w:rPr>
          <w:rFonts w:ascii="Garamond" w:hAnsi="Garamond"/>
          <w:bCs/>
          <w:iCs/>
          <w:sz w:val="20"/>
          <w:szCs w:val="20"/>
          <w:lang w:val="en"/>
        </w:rPr>
        <w:t>1993;44:121</w:t>
      </w:r>
      <w:proofErr w:type="gramEnd"/>
      <w:r w:rsidRPr="005238E4">
        <w:rPr>
          <w:rFonts w:ascii="Garamond" w:hAnsi="Garamond"/>
          <w:bCs/>
          <w:iCs/>
          <w:sz w:val="20"/>
          <w:szCs w:val="20"/>
          <w:lang w:val="en"/>
        </w:rPr>
        <w:t>–131.</w:t>
      </w:r>
    </w:p>
    <w:p w14:paraId="67E0C7CC"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Sluijs I, Holmes MV, van der Schouw YT, Beulens JW, </w:t>
      </w:r>
      <w:proofErr w:type="spellStart"/>
      <w:r w:rsidRPr="005238E4">
        <w:rPr>
          <w:rFonts w:ascii="Garamond" w:hAnsi="Garamond"/>
          <w:bCs/>
          <w:iCs/>
          <w:sz w:val="20"/>
          <w:szCs w:val="20"/>
          <w:lang w:val="en"/>
        </w:rPr>
        <w:t>Asselbergs</w:t>
      </w:r>
      <w:proofErr w:type="spellEnd"/>
      <w:r w:rsidRPr="005238E4">
        <w:rPr>
          <w:rFonts w:ascii="Garamond" w:hAnsi="Garamond"/>
          <w:bCs/>
          <w:iCs/>
          <w:sz w:val="20"/>
          <w:szCs w:val="20"/>
          <w:lang w:val="en"/>
        </w:rPr>
        <w:t xml:space="preserve"> FW, Huerta JM. A Mendelian randomization study of circulating uric acid and type 2 diabetes. Diabetes. 2015;64(8):3028–36.</w:t>
      </w:r>
    </w:p>
    <w:p w14:paraId="355DBEF7"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Lv</w:t>
      </w:r>
      <w:proofErr w:type="spellEnd"/>
      <w:r w:rsidRPr="005238E4">
        <w:rPr>
          <w:rFonts w:ascii="Garamond" w:hAnsi="Garamond"/>
          <w:bCs/>
          <w:iCs/>
          <w:sz w:val="20"/>
          <w:szCs w:val="20"/>
          <w:lang w:val="en"/>
        </w:rPr>
        <w:t xml:space="preserve"> Q, Meng XF, He FF, Chen S, Su H, Xiong J, et al. High serum uric acid and increased risk of type 2 diabetes: a systemic review and meta-analysis of prospective cohort studies. </w:t>
      </w:r>
      <w:proofErr w:type="spellStart"/>
      <w:r w:rsidRPr="005238E4">
        <w:rPr>
          <w:rFonts w:ascii="Garamond" w:hAnsi="Garamond"/>
          <w:bCs/>
          <w:iCs/>
          <w:sz w:val="20"/>
          <w:szCs w:val="20"/>
          <w:lang w:val="en"/>
        </w:rPr>
        <w:t>PLoS</w:t>
      </w:r>
      <w:proofErr w:type="spellEnd"/>
      <w:r w:rsidRPr="005238E4">
        <w:rPr>
          <w:rFonts w:ascii="Garamond" w:hAnsi="Garamond"/>
          <w:bCs/>
          <w:iCs/>
          <w:sz w:val="20"/>
          <w:szCs w:val="20"/>
          <w:lang w:val="en"/>
        </w:rPr>
        <w:t xml:space="preserve"> One. 2013;8(2</w:t>
      </w:r>
      <w:proofErr w:type="gramStart"/>
      <w:r w:rsidRPr="005238E4">
        <w:rPr>
          <w:rFonts w:ascii="Garamond" w:hAnsi="Garamond"/>
          <w:bCs/>
          <w:iCs/>
          <w:sz w:val="20"/>
          <w:szCs w:val="20"/>
          <w:lang w:val="en"/>
        </w:rPr>
        <w:t>):e</w:t>
      </w:r>
      <w:proofErr w:type="gramEnd"/>
      <w:r w:rsidRPr="005238E4">
        <w:rPr>
          <w:rFonts w:ascii="Garamond" w:hAnsi="Garamond"/>
          <w:bCs/>
          <w:iCs/>
          <w:sz w:val="20"/>
          <w:szCs w:val="20"/>
          <w:lang w:val="en"/>
        </w:rPr>
        <w:t>56864.</w:t>
      </w:r>
    </w:p>
    <w:p w14:paraId="6873EC1C"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Liang CC, Lin PC, Lee MY, Chen SC, Shin SJ, Hsiao PJ, et al. Association of serum uric acid concentration with diabetic retinopathy and albuminuria in Taiwanese patients with type 2 diabetes mellitus. Int J Mol Sci. 2016;17(8).</w:t>
      </w:r>
    </w:p>
    <w:p w14:paraId="4235DAF8"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Wang Y, et al. Effects of uric acid on endothelial dysfunction and mechanisms in early chronic kidney disease. </w:t>
      </w:r>
      <w:proofErr w:type="spellStart"/>
      <w:r w:rsidRPr="005238E4">
        <w:rPr>
          <w:rFonts w:ascii="Garamond" w:hAnsi="Garamond"/>
          <w:bCs/>
          <w:iCs/>
          <w:sz w:val="20"/>
          <w:szCs w:val="20"/>
          <w:lang w:val="en"/>
        </w:rPr>
        <w:t>Eur</w:t>
      </w:r>
      <w:proofErr w:type="spellEnd"/>
      <w:r w:rsidRPr="005238E4">
        <w:rPr>
          <w:rFonts w:ascii="Garamond" w:hAnsi="Garamond"/>
          <w:bCs/>
          <w:iCs/>
          <w:sz w:val="20"/>
          <w:szCs w:val="20"/>
          <w:lang w:val="en"/>
        </w:rPr>
        <w:t xml:space="preserve"> J Med Res. </w:t>
      </w:r>
      <w:proofErr w:type="gramStart"/>
      <w:r w:rsidRPr="005238E4">
        <w:rPr>
          <w:rFonts w:ascii="Garamond" w:hAnsi="Garamond"/>
          <w:bCs/>
          <w:iCs/>
          <w:sz w:val="20"/>
          <w:szCs w:val="20"/>
          <w:lang w:val="en"/>
        </w:rPr>
        <w:t>2013;18:26</w:t>
      </w:r>
      <w:proofErr w:type="gramEnd"/>
      <w:r w:rsidRPr="005238E4">
        <w:rPr>
          <w:rFonts w:ascii="Garamond" w:hAnsi="Garamond"/>
          <w:bCs/>
          <w:iCs/>
          <w:sz w:val="20"/>
          <w:szCs w:val="20"/>
          <w:lang w:val="en"/>
        </w:rPr>
        <w:t>.</w:t>
      </w:r>
    </w:p>
    <w:p w14:paraId="271E2C0B"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Grundy SM (2008) Metabolic syndrome pandemic. </w:t>
      </w:r>
      <w:proofErr w:type="spellStart"/>
      <w:r w:rsidRPr="005238E4">
        <w:rPr>
          <w:rFonts w:ascii="Garamond" w:hAnsi="Garamond"/>
          <w:bCs/>
          <w:iCs/>
          <w:sz w:val="20"/>
          <w:szCs w:val="20"/>
          <w:lang w:val="en"/>
        </w:rPr>
        <w:t>Arterioscler</w:t>
      </w:r>
      <w:proofErr w:type="spellEnd"/>
      <w:r w:rsidRPr="005238E4">
        <w:rPr>
          <w:rFonts w:ascii="Garamond" w:hAnsi="Garamond"/>
          <w:bCs/>
          <w:iCs/>
          <w:sz w:val="20"/>
          <w:szCs w:val="20"/>
          <w:lang w:val="en"/>
        </w:rPr>
        <w:t xml:space="preserve"> </w:t>
      </w:r>
      <w:proofErr w:type="spellStart"/>
      <w:r w:rsidRPr="005238E4">
        <w:rPr>
          <w:rFonts w:ascii="Garamond" w:hAnsi="Garamond"/>
          <w:bCs/>
          <w:iCs/>
          <w:sz w:val="20"/>
          <w:szCs w:val="20"/>
          <w:lang w:val="en"/>
        </w:rPr>
        <w:t>Thromb</w:t>
      </w:r>
      <w:proofErr w:type="spellEnd"/>
      <w:r w:rsidRPr="005238E4">
        <w:rPr>
          <w:rFonts w:ascii="Garamond" w:hAnsi="Garamond"/>
          <w:bCs/>
          <w:iCs/>
          <w:sz w:val="20"/>
          <w:szCs w:val="20"/>
          <w:lang w:val="en"/>
        </w:rPr>
        <w:t xml:space="preserve"> </w:t>
      </w:r>
      <w:proofErr w:type="spellStart"/>
      <w:r w:rsidRPr="005238E4">
        <w:rPr>
          <w:rFonts w:ascii="Garamond" w:hAnsi="Garamond"/>
          <w:bCs/>
          <w:iCs/>
          <w:sz w:val="20"/>
          <w:szCs w:val="20"/>
          <w:lang w:val="en"/>
        </w:rPr>
        <w:t>Vasc</w:t>
      </w:r>
      <w:proofErr w:type="spellEnd"/>
      <w:r w:rsidRPr="005238E4">
        <w:rPr>
          <w:rFonts w:ascii="Garamond" w:hAnsi="Garamond"/>
          <w:bCs/>
          <w:iCs/>
          <w:sz w:val="20"/>
          <w:szCs w:val="20"/>
          <w:lang w:val="en"/>
        </w:rPr>
        <w:t xml:space="preserve"> Biol 28: 629-636.</w:t>
      </w:r>
    </w:p>
    <w:p w14:paraId="4B8C7491"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Choi HK, Atkinson K, Karlson EW, </w:t>
      </w:r>
      <w:proofErr w:type="spellStart"/>
      <w:r w:rsidRPr="005238E4">
        <w:rPr>
          <w:rFonts w:ascii="Garamond" w:hAnsi="Garamond"/>
          <w:bCs/>
          <w:iCs/>
          <w:sz w:val="20"/>
          <w:szCs w:val="20"/>
          <w:lang w:val="en"/>
        </w:rPr>
        <w:t>Curhan</w:t>
      </w:r>
      <w:proofErr w:type="spellEnd"/>
      <w:r w:rsidRPr="005238E4">
        <w:rPr>
          <w:rFonts w:ascii="Garamond" w:hAnsi="Garamond"/>
          <w:bCs/>
          <w:iCs/>
          <w:sz w:val="20"/>
          <w:szCs w:val="20"/>
          <w:lang w:val="en"/>
        </w:rPr>
        <w:t xml:space="preserve"> G. Obesity, weight change, hypertension, diuretic use, and risk of gout in men: the health professionals follow up study. Arch Intern Med. 2005;165(7):742–748.</w:t>
      </w:r>
    </w:p>
    <w:p w14:paraId="6660BEF5"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Fu CC, Wu DA, Wang JH, Yang WC, Tseng CH. Association of C-reactive protein and hyperuricemia with diabetic nephropathy in Chinese type 2 diabetic patients. Acta </w:t>
      </w:r>
      <w:proofErr w:type="spellStart"/>
      <w:r w:rsidRPr="005238E4">
        <w:rPr>
          <w:rFonts w:ascii="Garamond" w:hAnsi="Garamond"/>
          <w:bCs/>
          <w:iCs/>
          <w:sz w:val="20"/>
          <w:szCs w:val="20"/>
          <w:lang w:val="en"/>
        </w:rPr>
        <w:t>Diabetol</w:t>
      </w:r>
      <w:proofErr w:type="spellEnd"/>
      <w:r w:rsidRPr="005238E4">
        <w:rPr>
          <w:rFonts w:ascii="Garamond" w:hAnsi="Garamond"/>
          <w:bCs/>
          <w:iCs/>
          <w:sz w:val="20"/>
          <w:szCs w:val="20"/>
          <w:lang w:val="en"/>
        </w:rPr>
        <w:t>. 2009;46(2):127-134.</w:t>
      </w:r>
    </w:p>
    <w:p w14:paraId="288AA681"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Meigs JB, Mittleman MA, Nathan DM, et al. Hyperinsulinemia, hyperglycemia, and impaired hemostasis: the Framingham Offspring Study. JAMA. 2000;283(2):221-228.</w:t>
      </w:r>
    </w:p>
    <w:p w14:paraId="6A22731C"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Meshkani</w:t>
      </w:r>
      <w:proofErr w:type="spellEnd"/>
      <w:r w:rsidRPr="005238E4">
        <w:rPr>
          <w:rFonts w:ascii="Garamond" w:hAnsi="Garamond"/>
          <w:bCs/>
          <w:iCs/>
          <w:sz w:val="20"/>
          <w:szCs w:val="20"/>
          <w:lang w:val="en"/>
        </w:rPr>
        <w:t xml:space="preserve"> R, Zargari M, Larijani B. The relationship between uric acid and metabolic syndrome in normal glucose tolerance and normal fasting glucose subjects. Acta </w:t>
      </w:r>
      <w:proofErr w:type="spellStart"/>
      <w:r w:rsidRPr="005238E4">
        <w:rPr>
          <w:rFonts w:ascii="Garamond" w:hAnsi="Garamond"/>
          <w:bCs/>
          <w:iCs/>
          <w:sz w:val="20"/>
          <w:szCs w:val="20"/>
          <w:lang w:val="en"/>
        </w:rPr>
        <w:t>Diabetol</w:t>
      </w:r>
      <w:proofErr w:type="spellEnd"/>
      <w:r w:rsidRPr="005238E4">
        <w:rPr>
          <w:rFonts w:ascii="Garamond" w:hAnsi="Garamond"/>
          <w:bCs/>
          <w:iCs/>
          <w:sz w:val="20"/>
          <w:szCs w:val="20"/>
          <w:lang w:val="en"/>
        </w:rPr>
        <w:t>. 2011;48(1):79-88.</w:t>
      </w:r>
    </w:p>
    <w:p w14:paraId="46A6E79E"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lastRenderedPageBreak/>
        <w:t xml:space="preserve">Misra A, Khurana L (2008) Obesity and the metabolic syndrome in developing countries. J Clin Endocrinol </w:t>
      </w:r>
      <w:proofErr w:type="spellStart"/>
      <w:r w:rsidRPr="005238E4">
        <w:rPr>
          <w:rFonts w:ascii="Garamond" w:hAnsi="Garamond"/>
          <w:bCs/>
          <w:iCs/>
          <w:sz w:val="20"/>
          <w:szCs w:val="20"/>
          <w:lang w:val="en"/>
        </w:rPr>
        <w:t>Metab</w:t>
      </w:r>
      <w:proofErr w:type="spellEnd"/>
      <w:r w:rsidRPr="005238E4">
        <w:rPr>
          <w:rFonts w:ascii="Garamond" w:hAnsi="Garamond"/>
          <w:bCs/>
          <w:iCs/>
          <w:sz w:val="20"/>
          <w:szCs w:val="20"/>
          <w:lang w:val="en"/>
        </w:rPr>
        <w:t xml:space="preserve"> 93: S9-30.</w:t>
      </w:r>
    </w:p>
    <w:p w14:paraId="0C106833"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DeBoer MD, Dong L, Gurka MJ. Racial/ethnic and sex differences in the relationship between uric acid and metabolic syndrome in adolescents: an analysis of National Health and Nutrition Survey 1999–2006. Metabolism. 2012;61(4):554-561.</w:t>
      </w:r>
    </w:p>
    <w:p w14:paraId="6C7A3129"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Ford ES, Li C, Cook S, Choi HK. Serum concentrations of uric acid and the metabolic syndrome among US children and adolescents. Circulation. 2007;115(19):2526-2532.</w:t>
      </w:r>
    </w:p>
    <w:p w14:paraId="26BCDA6C"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Dangana</w:t>
      </w:r>
      <w:proofErr w:type="spellEnd"/>
      <w:r w:rsidRPr="005238E4">
        <w:rPr>
          <w:rFonts w:ascii="Garamond" w:hAnsi="Garamond"/>
          <w:bCs/>
          <w:iCs/>
          <w:sz w:val="20"/>
          <w:szCs w:val="20"/>
          <w:lang w:val="en"/>
        </w:rPr>
        <w:t xml:space="preserve"> EO, Michael OS, </w:t>
      </w:r>
      <w:proofErr w:type="spellStart"/>
      <w:r w:rsidRPr="005238E4">
        <w:rPr>
          <w:rFonts w:ascii="Garamond" w:hAnsi="Garamond"/>
          <w:bCs/>
          <w:iCs/>
          <w:sz w:val="20"/>
          <w:szCs w:val="20"/>
          <w:lang w:val="en"/>
        </w:rPr>
        <w:t>Omolekulo</w:t>
      </w:r>
      <w:proofErr w:type="spellEnd"/>
      <w:r w:rsidRPr="005238E4">
        <w:rPr>
          <w:rFonts w:ascii="Garamond" w:hAnsi="Garamond"/>
          <w:bCs/>
          <w:iCs/>
          <w:sz w:val="20"/>
          <w:szCs w:val="20"/>
          <w:lang w:val="en"/>
        </w:rPr>
        <w:t xml:space="preserve"> TE, Areola ED, Olatunji LA. Enhanced hepatic glycogen synthesis and suppressed adenosine deaminase activity by lithium attenuates hepatic triglyceride accumulation in nicotine-exposed rats. Biomed </w:t>
      </w:r>
      <w:proofErr w:type="spellStart"/>
      <w:r w:rsidRPr="005238E4">
        <w:rPr>
          <w:rFonts w:ascii="Garamond" w:hAnsi="Garamond"/>
          <w:bCs/>
          <w:iCs/>
          <w:sz w:val="20"/>
          <w:szCs w:val="20"/>
          <w:lang w:val="en"/>
        </w:rPr>
        <w:t>Pharmacother</w:t>
      </w:r>
      <w:proofErr w:type="spellEnd"/>
      <w:r w:rsidRPr="005238E4">
        <w:rPr>
          <w:rFonts w:ascii="Garamond" w:hAnsi="Garamond"/>
          <w:bCs/>
          <w:iCs/>
          <w:sz w:val="20"/>
          <w:szCs w:val="20"/>
          <w:lang w:val="en"/>
        </w:rPr>
        <w:t>. 2019;1417-1427.</w:t>
      </w:r>
    </w:p>
    <w:p w14:paraId="361423B2"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Adeyanju OA, Michael OS, </w:t>
      </w:r>
      <w:proofErr w:type="spellStart"/>
      <w:r w:rsidRPr="005238E4">
        <w:rPr>
          <w:rFonts w:ascii="Garamond" w:hAnsi="Garamond"/>
          <w:bCs/>
          <w:iCs/>
          <w:sz w:val="20"/>
          <w:szCs w:val="20"/>
          <w:lang w:val="en"/>
        </w:rPr>
        <w:t>Soladoye</w:t>
      </w:r>
      <w:proofErr w:type="spellEnd"/>
      <w:r w:rsidRPr="005238E4">
        <w:rPr>
          <w:rFonts w:ascii="Garamond" w:hAnsi="Garamond"/>
          <w:bCs/>
          <w:iCs/>
          <w:sz w:val="20"/>
          <w:szCs w:val="20"/>
          <w:lang w:val="en"/>
        </w:rPr>
        <w:t xml:space="preserve"> AO, Olatunji LA. Blockade of mineralocorticoid receptor ameliorates oral contraceptive-induced insulin resistance by suppressing elevated uric acid and glycogen synthase kinase-3 instead of circulating mineralocorticoid. Arch </w:t>
      </w:r>
      <w:proofErr w:type="spellStart"/>
      <w:r w:rsidRPr="005238E4">
        <w:rPr>
          <w:rFonts w:ascii="Garamond" w:hAnsi="Garamond"/>
          <w:bCs/>
          <w:iCs/>
          <w:sz w:val="20"/>
          <w:szCs w:val="20"/>
          <w:lang w:val="en"/>
        </w:rPr>
        <w:t>Physiol</w:t>
      </w:r>
      <w:proofErr w:type="spellEnd"/>
      <w:r w:rsidRPr="005238E4">
        <w:rPr>
          <w:rFonts w:ascii="Garamond" w:hAnsi="Garamond"/>
          <w:bCs/>
          <w:iCs/>
          <w:sz w:val="20"/>
          <w:szCs w:val="20"/>
          <w:lang w:val="en"/>
        </w:rPr>
        <w:t xml:space="preserve"> </w:t>
      </w:r>
      <w:proofErr w:type="spellStart"/>
      <w:r w:rsidRPr="005238E4">
        <w:rPr>
          <w:rFonts w:ascii="Garamond" w:hAnsi="Garamond"/>
          <w:bCs/>
          <w:iCs/>
          <w:sz w:val="20"/>
          <w:szCs w:val="20"/>
          <w:lang w:val="en"/>
        </w:rPr>
        <w:t>Biochem</w:t>
      </w:r>
      <w:proofErr w:type="spellEnd"/>
      <w:r w:rsidRPr="005238E4">
        <w:rPr>
          <w:rFonts w:ascii="Garamond" w:hAnsi="Garamond"/>
          <w:bCs/>
          <w:iCs/>
          <w:sz w:val="20"/>
          <w:szCs w:val="20"/>
          <w:lang w:val="en"/>
        </w:rPr>
        <w:t>. 2020;126(3):225-234.</w:t>
      </w:r>
    </w:p>
    <w:p w14:paraId="3DAA41ED"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Omolekulo</w:t>
      </w:r>
      <w:proofErr w:type="spellEnd"/>
      <w:r w:rsidRPr="005238E4">
        <w:rPr>
          <w:rFonts w:ascii="Garamond" w:hAnsi="Garamond"/>
          <w:bCs/>
          <w:iCs/>
          <w:sz w:val="20"/>
          <w:szCs w:val="20"/>
          <w:lang w:val="en"/>
        </w:rPr>
        <w:t xml:space="preserve"> TE, Michael OS, Olatunji LA. Dipeptidyl peptidase-4 inhibition protects the liver of insulin-resistant female rats against triglyceride accumulation by suppressing uric acid. Biomed </w:t>
      </w:r>
      <w:proofErr w:type="spellStart"/>
      <w:r w:rsidRPr="005238E4">
        <w:rPr>
          <w:rFonts w:ascii="Garamond" w:hAnsi="Garamond"/>
          <w:bCs/>
          <w:iCs/>
          <w:sz w:val="20"/>
          <w:szCs w:val="20"/>
          <w:lang w:val="en"/>
        </w:rPr>
        <w:t>Pharmacother</w:t>
      </w:r>
      <w:proofErr w:type="spellEnd"/>
      <w:r w:rsidRPr="005238E4">
        <w:rPr>
          <w:rFonts w:ascii="Garamond" w:hAnsi="Garamond"/>
          <w:bCs/>
          <w:iCs/>
          <w:sz w:val="20"/>
          <w:szCs w:val="20"/>
          <w:lang w:val="en"/>
        </w:rPr>
        <w:t xml:space="preserve">. </w:t>
      </w:r>
      <w:proofErr w:type="gramStart"/>
      <w:r w:rsidRPr="005238E4">
        <w:rPr>
          <w:rFonts w:ascii="Garamond" w:hAnsi="Garamond"/>
          <w:bCs/>
          <w:iCs/>
          <w:sz w:val="20"/>
          <w:szCs w:val="20"/>
          <w:lang w:val="en"/>
        </w:rPr>
        <w:t>2019;110:869</w:t>
      </w:r>
      <w:proofErr w:type="gramEnd"/>
      <w:r w:rsidRPr="005238E4">
        <w:rPr>
          <w:rFonts w:ascii="Garamond" w:hAnsi="Garamond"/>
          <w:bCs/>
          <w:iCs/>
          <w:sz w:val="20"/>
          <w:szCs w:val="20"/>
          <w:lang w:val="en"/>
        </w:rPr>
        <w:t>-877.</w:t>
      </w:r>
    </w:p>
    <w:p w14:paraId="47AFE7E8"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Yu W, Cheng JD. Uric Acid and Cardiovascular Disease: An Update </w:t>
      </w:r>
      <w:proofErr w:type="gramStart"/>
      <w:r w:rsidRPr="005238E4">
        <w:rPr>
          <w:rFonts w:ascii="Garamond" w:hAnsi="Garamond"/>
          <w:bCs/>
          <w:iCs/>
          <w:sz w:val="20"/>
          <w:szCs w:val="20"/>
          <w:lang w:val="en"/>
        </w:rPr>
        <w:t>From</w:t>
      </w:r>
      <w:proofErr w:type="gramEnd"/>
      <w:r w:rsidRPr="005238E4">
        <w:rPr>
          <w:rFonts w:ascii="Garamond" w:hAnsi="Garamond"/>
          <w:bCs/>
          <w:iCs/>
          <w:sz w:val="20"/>
          <w:szCs w:val="20"/>
          <w:lang w:val="en"/>
        </w:rPr>
        <w:t xml:space="preserve"> Molecular Mechanism to Clinical Perspective. Front </w:t>
      </w:r>
      <w:proofErr w:type="spellStart"/>
      <w:r w:rsidRPr="005238E4">
        <w:rPr>
          <w:rFonts w:ascii="Garamond" w:hAnsi="Garamond"/>
          <w:bCs/>
          <w:iCs/>
          <w:sz w:val="20"/>
          <w:szCs w:val="20"/>
          <w:lang w:val="en"/>
        </w:rPr>
        <w:t>Pharmacol</w:t>
      </w:r>
      <w:proofErr w:type="spellEnd"/>
      <w:r w:rsidRPr="005238E4">
        <w:rPr>
          <w:rFonts w:ascii="Garamond" w:hAnsi="Garamond"/>
          <w:bCs/>
          <w:iCs/>
          <w:sz w:val="20"/>
          <w:szCs w:val="20"/>
          <w:lang w:val="en"/>
        </w:rPr>
        <w:t>. 2020. Erratum in: Am J Hypertension. 2020 Dec 31;33(12):1150.</w:t>
      </w:r>
    </w:p>
    <w:p w14:paraId="42607BB5"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Freeman AM, Pennings N. Insulin Resistance. In: </w:t>
      </w:r>
      <w:proofErr w:type="spellStart"/>
      <w:r w:rsidRPr="005238E4">
        <w:rPr>
          <w:rFonts w:ascii="Garamond" w:hAnsi="Garamond"/>
          <w:bCs/>
          <w:iCs/>
          <w:sz w:val="20"/>
          <w:szCs w:val="20"/>
          <w:lang w:val="en"/>
        </w:rPr>
        <w:t>StatPearls</w:t>
      </w:r>
      <w:proofErr w:type="spellEnd"/>
      <w:r w:rsidRPr="005238E4">
        <w:rPr>
          <w:rFonts w:ascii="Garamond" w:hAnsi="Garamond"/>
          <w:bCs/>
          <w:iCs/>
          <w:sz w:val="20"/>
          <w:szCs w:val="20"/>
          <w:lang w:val="en"/>
        </w:rPr>
        <w:t xml:space="preserve"> [Internet]. Treasure Island (FL): </w:t>
      </w:r>
      <w:proofErr w:type="spellStart"/>
      <w:r w:rsidRPr="005238E4">
        <w:rPr>
          <w:rFonts w:ascii="Garamond" w:hAnsi="Garamond"/>
          <w:bCs/>
          <w:iCs/>
          <w:sz w:val="20"/>
          <w:szCs w:val="20"/>
          <w:lang w:val="en"/>
        </w:rPr>
        <w:t>StatPearls</w:t>
      </w:r>
      <w:proofErr w:type="spellEnd"/>
      <w:r w:rsidRPr="005238E4">
        <w:rPr>
          <w:rFonts w:ascii="Garamond" w:hAnsi="Garamond"/>
          <w:bCs/>
          <w:iCs/>
          <w:sz w:val="20"/>
          <w:szCs w:val="20"/>
          <w:lang w:val="en"/>
        </w:rPr>
        <w:t xml:space="preserve"> Publishing; 2022.</w:t>
      </w:r>
    </w:p>
    <w:p w14:paraId="0A76B316"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Lee J, Kim B, Kim W. Lipid indices as simple and clinically useful surrogate markers for insulin resistance in the U.S. population. Sci Rep. </w:t>
      </w:r>
      <w:proofErr w:type="gramStart"/>
      <w:r w:rsidRPr="005238E4">
        <w:rPr>
          <w:rFonts w:ascii="Garamond" w:hAnsi="Garamond"/>
          <w:bCs/>
          <w:iCs/>
          <w:sz w:val="20"/>
          <w:szCs w:val="20"/>
          <w:lang w:val="en"/>
        </w:rPr>
        <w:t>2021;11:2366</w:t>
      </w:r>
      <w:proofErr w:type="gramEnd"/>
      <w:r w:rsidRPr="005238E4">
        <w:rPr>
          <w:rFonts w:ascii="Garamond" w:hAnsi="Garamond"/>
          <w:bCs/>
          <w:iCs/>
          <w:sz w:val="20"/>
          <w:szCs w:val="20"/>
          <w:lang w:val="en"/>
        </w:rPr>
        <w:t>.</w:t>
      </w:r>
    </w:p>
    <w:p w14:paraId="06C10ECA"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Olatunji LA, Olaniyi KS, Usman TO, </w:t>
      </w:r>
      <w:proofErr w:type="spellStart"/>
      <w:r w:rsidRPr="005238E4">
        <w:rPr>
          <w:rFonts w:ascii="Garamond" w:hAnsi="Garamond"/>
          <w:bCs/>
          <w:iCs/>
          <w:sz w:val="20"/>
          <w:szCs w:val="20"/>
          <w:lang w:val="en"/>
        </w:rPr>
        <w:t>Abolarinwa</w:t>
      </w:r>
      <w:proofErr w:type="spellEnd"/>
      <w:r w:rsidRPr="005238E4">
        <w:rPr>
          <w:rFonts w:ascii="Garamond" w:hAnsi="Garamond"/>
          <w:bCs/>
          <w:iCs/>
          <w:sz w:val="20"/>
          <w:szCs w:val="20"/>
          <w:lang w:val="en"/>
        </w:rPr>
        <w:t xml:space="preserve"> BA, Achile CJ, Kim IK. Combined oral contraceptive and nitric oxide synthesis inhibition synergistically causes cardiac hypertrophy and exacerbates insulin resistance in female rats. Environ </w:t>
      </w:r>
      <w:proofErr w:type="spellStart"/>
      <w:r w:rsidRPr="005238E4">
        <w:rPr>
          <w:rFonts w:ascii="Garamond" w:hAnsi="Garamond"/>
          <w:bCs/>
          <w:iCs/>
          <w:sz w:val="20"/>
          <w:szCs w:val="20"/>
          <w:lang w:val="en"/>
        </w:rPr>
        <w:t>Toxicol</w:t>
      </w:r>
      <w:proofErr w:type="spellEnd"/>
      <w:r w:rsidRPr="005238E4">
        <w:rPr>
          <w:rFonts w:ascii="Garamond" w:hAnsi="Garamond"/>
          <w:bCs/>
          <w:iCs/>
          <w:sz w:val="20"/>
          <w:szCs w:val="20"/>
          <w:lang w:val="en"/>
        </w:rPr>
        <w:t xml:space="preserve"> </w:t>
      </w:r>
      <w:proofErr w:type="spellStart"/>
      <w:r w:rsidRPr="005238E4">
        <w:rPr>
          <w:rFonts w:ascii="Garamond" w:hAnsi="Garamond"/>
          <w:bCs/>
          <w:iCs/>
          <w:sz w:val="20"/>
          <w:szCs w:val="20"/>
          <w:lang w:val="en"/>
        </w:rPr>
        <w:t>Pharmacol</w:t>
      </w:r>
      <w:proofErr w:type="spellEnd"/>
      <w:r w:rsidRPr="005238E4">
        <w:rPr>
          <w:rFonts w:ascii="Garamond" w:hAnsi="Garamond"/>
          <w:bCs/>
          <w:iCs/>
          <w:sz w:val="20"/>
          <w:szCs w:val="20"/>
          <w:lang w:val="en"/>
        </w:rPr>
        <w:t xml:space="preserve">. </w:t>
      </w:r>
      <w:proofErr w:type="gramStart"/>
      <w:r w:rsidRPr="005238E4">
        <w:rPr>
          <w:rFonts w:ascii="Garamond" w:hAnsi="Garamond"/>
          <w:bCs/>
          <w:iCs/>
          <w:sz w:val="20"/>
          <w:szCs w:val="20"/>
          <w:lang w:val="en"/>
        </w:rPr>
        <w:t>2017;52:54</w:t>
      </w:r>
      <w:proofErr w:type="gramEnd"/>
      <w:r w:rsidRPr="005238E4">
        <w:rPr>
          <w:rFonts w:ascii="Garamond" w:hAnsi="Garamond"/>
          <w:bCs/>
          <w:iCs/>
          <w:sz w:val="20"/>
          <w:szCs w:val="20"/>
          <w:lang w:val="en"/>
        </w:rPr>
        <w:t>-61.</w:t>
      </w:r>
    </w:p>
    <w:p w14:paraId="37610CE9"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Borghi C, Cicero AFG. Serum uric acid and acute coronary syndrome: Is there a role for functional markers of residual cardiovascular risk? Int J </w:t>
      </w:r>
      <w:proofErr w:type="spellStart"/>
      <w:r w:rsidRPr="005238E4">
        <w:rPr>
          <w:rFonts w:ascii="Garamond" w:hAnsi="Garamond"/>
          <w:bCs/>
          <w:iCs/>
          <w:sz w:val="20"/>
          <w:szCs w:val="20"/>
          <w:lang w:val="en"/>
        </w:rPr>
        <w:t>Cardiol</w:t>
      </w:r>
      <w:proofErr w:type="spellEnd"/>
      <w:r w:rsidRPr="005238E4">
        <w:rPr>
          <w:rFonts w:ascii="Garamond" w:hAnsi="Garamond"/>
          <w:bCs/>
          <w:iCs/>
          <w:sz w:val="20"/>
          <w:szCs w:val="20"/>
          <w:lang w:val="en"/>
        </w:rPr>
        <w:t xml:space="preserve">. </w:t>
      </w:r>
      <w:proofErr w:type="gramStart"/>
      <w:r w:rsidRPr="005238E4">
        <w:rPr>
          <w:rFonts w:ascii="Garamond" w:hAnsi="Garamond"/>
          <w:bCs/>
          <w:iCs/>
          <w:sz w:val="20"/>
          <w:szCs w:val="20"/>
          <w:lang w:val="en"/>
        </w:rPr>
        <w:t>2018;250:62</w:t>
      </w:r>
      <w:proofErr w:type="gramEnd"/>
      <w:r w:rsidRPr="005238E4">
        <w:rPr>
          <w:rFonts w:ascii="Garamond" w:hAnsi="Garamond"/>
          <w:bCs/>
          <w:iCs/>
          <w:sz w:val="20"/>
          <w:szCs w:val="20"/>
          <w:lang w:val="en"/>
        </w:rPr>
        <w:t>-63.</w:t>
      </w:r>
    </w:p>
    <w:p w14:paraId="213922F5"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Rathmann W, Funkhouser E, Dyer AR, Roseman JM. Relations of hyperuricemia with the various components of the insulin resistance syndrome in young black and white adults: the CARDIA study. Ann Epidemiol. 1998;8(4):250–261.</w:t>
      </w:r>
    </w:p>
    <w:p w14:paraId="27FEE274"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Takahashi S, Yamamoto T, Tsutsumi Z, Moriwaki Y, </w:t>
      </w:r>
      <w:proofErr w:type="spellStart"/>
      <w:r w:rsidRPr="005238E4">
        <w:rPr>
          <w:rFonts w:ascii="Garamond" w:hAnsi="Garamond"/>
          <w:bCs/>
          <w:iCs/>
          <w:sz w:val="20"/>
          <w:szCs w:val="20"/>
          <w:lang w:val="en"/>
        </w:rPr>
        <w:t>Yamakita</w:t>
      </w:r>
      <w:proofErr w:type="spellEnd"/>
      <w:r w:rsidRPr="005238E4">
        <w:rPr>
          <w:rFonts w:ascii="Garamond" w:hAnsi="Garamond"/>
          <w:bCs/>
          <w:iCs/>
          <w:sz w:val="20"/>
          <w:szCs w:val="20"/>
          <w:lang w:val="en"/>
        </w:rPr>
        <w:t xml:space="preserve"> J, </w:t>
      </w:r>
      <w:proofErr w:type="spellStart"/>
      <w:r w:rsidRPr="005238E4">
        <w:rPr>
          <w:rFonts w:ascii="Garamond" w:hAnsi="Garamond"/>
          <w:bCs/>
          <w:iCs/>
          <w:sz w:val="20"/>
          <w:szCs w:val="20"/>
          <w:lang w:val="en"/>
        </w:rPr>
        <w:t>Higashino</w:t>
      </w:r>
      <w:proofErr w:type="spellEnd"/>
      <w:r w:rsidRPr="005238E4">
        <w:rPr>
          <w:rFonts w:ascii="Garamond" w:hAnsi="Garamond"/>
          <w:bCs/>
          <w:iCs/>
          <w:sz w:val="20"/>
          <w:szCs w:val="20"/>
          <w:lang w:val="en"/>
        </w:rPr>
        <w:t xml:space="preserve"> K. Close correlation between visceral fat accumulation and uric acid metabolism in healthy men. Metabolism. 1997;46(10):1162–1165.</w:t>
      </w:r>
    </w:p>
    <w:p w14:paraId="7842409F"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Feig DI, Kang DH, Johnson RJ (2008). Uric acid and cardiovascular risk. N Engl J Med. 359(17):1811–1821.</w:t>
      </w:r>
    </w:p>
    <w:p w14:paraId="20B614B7"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Gertler MM, Garn SM, Levine SA. Serum uric acid in relation to age and physique in health and in coronary heart disease. Ann Intern Med. 1951;34(6):1421–1431.</w:t>
      </w:r>
    </w:p>
    <w:p w14:paraId="04457B30"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Feig DI, Soletsky B, Johnson RJ. Effect of allopurinol on blood pressure of adolescents with newly diagnosed essential hypertension: a randomized trial. JAMA. 2008;300(8):924–932.</w:t>
      </w:r>
    </w:p>
    <w:p w14:paraId="78939795"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Gaffo</w:t>
      </w:r>
      <w:proofErr w:type="spellEnd"/>
      <w:r w:rsidRPr="005238E4">
        <w:rPr>
          <w:rFonts w:ascii="Garamond" w:hAnsi="Garamond"/>
          <w:bCs/>
          <w:iCs/>
          <w:sz w:val="20"/>
          <w:szCs w:val="20"/>
          <w:lang w:val="en"/>
        </w:rPr>
        <w:t xml:space="preserve"> AL, Edwards NL, Saag KG. Gout. Hyperuricemia and cardiovascular disease: how strong is the evidence for a causal link? Arthritis Res Ther. 2009;11(4):240.</w:t>
      </w:r>
    </w:p>
    <w:p w14:paraId="512B2358"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Feig DI, Johnson RJ. Hyperuricemia in childhood primary hypertension. Hypertension. 2003;42(3):247–252.</w:t>
      </w:r>
    </w:p>
    <w:p w14:paraId="7EF7B650"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Hossain P, Kawar B, El Nahas M. Obesity and diabetes in the developing world--a growing challenge. N Engl J Med. </w:t>
      </w:r>
      <w:proofErr w:type="gramStart"/>
      <w:r w:rsidRPr="005238E4">
        <w:rPr>
          <w:rFonts w:ascii="Garamond" w:hAnsi="Garamond"/>
          <w:bCs/>
          <w:iCs/>
          <w:sz w:val="20"/>
          <w:szCs w:val="20"/>
          <w:lang w:val="en"/>
        </w:rPr>
        <w:t>2007;356:213</w:t>
      </w:r>
      <w:proofErr w:type="gramEnd"/>
      <w:r w:rsidRPr="005238E4">
        <w:rPr>
          <w:rFonts w:ascii="Garamond" w:hAnsi="Garamond"/>
          <w:bCs/>
          <w:iCs/>
          <w:sz w:val="20"/>
          <w:szCs w:val="20"/>
          <w:lang w:val="en"/>
        </w:rPr>
        <w:t>-215.</w:t>
      </w:r>
    </w:p>
    <w:p w14:paraId="001A28FB"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Facchini F, Chen YD, Hollenbeck CB, Reaven GM (1991). Relationship between resistance to insulin mediated glucose uptake, urinary uric acid clearance, and plasma uric acid concentration. JAMA.266(21):3008–3011.</w:t>
      </w:r>
    </w:p>
    <w:p w14:paraId="06A2D9DD"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Katsiki</w:t>
      </w:r>
      <w:proofErr w:type="spellEnd"/>
      <w:r w:rsidRPr="005238E4">
        <w:rPr>
          <w:rFonts w:ascii="Garamond" w:hAnsi="Garamond"/>
          <w:bCs/>
          <w:iCs/>
          <w:sz w:val="20"/>
          <w:szCs w:val="20"/>
          <w:lang w:val="en"/>
        </w:rPr>
        <w:t xml:space="preserve"> N, </w:t>
      </w:r>
      <w:proofErr w:type="spellStart"/>
      <w:r w:rsidRPr="005238E4">
        <w:rPr>
          <w:rFonts w:ascii="Garamond" w:hAnsi="Garamond"/>
          <w:bCs/>
          <w:iCs/>
          <w:sz w:val="20"/>
          <w:szCs w:val="20"/>
          <w:lang w:val="en"/>
        </w:rPr>
        <w:t>Papanas</w:t>
      </w:r>
      <w:proofErr w:type="spellEnd"/>
      <w:r w:rsidRPr="005238E4">
        <w:rPr>
          <w:rFonts w:ascii="Garamond" w:hAnsi="Garamond"/>
          <w:bCs/>
          <w:iCs/>
          <w:sz w:val="20"/>
          <w:szCs w:val="20"/>
          <w:lang w:val="en"/>
        </w:rPr>
        <w:t xml:space="preserve"> N, Fonseca VA, Maltezos E, </w:t>
      </w:r>
      <w:proofErr w:type="spellStart"/>
      <w:r w:rsidRPr="005238E4">
        <w:rPr>
          <w:rFonts w:ascii="Garamond" w:hAnsi="Garamond"/>
          <w:bCs/>
          <w:iCs/>
          <w:sz w:val="20"/>
          <w:szCs w:val="20"/>
          <w:lang w:val="en"/>
        </w:rPr>
        <w:t>Mikhailidis</w:t>
      </w:r>
      <w:proofErr w:type="spellEnd"/>
      <w:r w:rsidRPr="005238E4">
        <w:rPr>
          <w:rFonts w:ascii="Garamond" w:hAnsi="Garamond"/>
          <w:bCs/>
          <w:iCs/>
          <w:sz w:val="20"/>
          <w:szCs w:val="20"/>
          <w:lang w:val="en"/>
        </w:rPr>
        <w:t xml:space="preserve"> DP (2013). Uric acid and diabetes: Is there a link? Curr Pharm Des. 19(27):4930-7. </w:t>
      </w:r>
      <w:proofErr w:type="spellStart"/>
      <w:r w:rsidRPr="005238E4">
        <w:rPr>
          <w:rFonts w:ascii="Garamond" w:hAnsi="Garamond"/>
          <w:bCs/>
          <w:iCs/>
          <w:sz w:val="20"/>
          <w:szCs w:val="20"/>
          <w:lang w:val="en"/>
        </w:rPr>
        <w:t>doi</w:t>
      </w:r>
      <w:proofErr w:type="spellEnd"/>
      <w:r w:rsidRPr="005238E4">
        <w:rPr>
          <w:rFonts w:ascii="Garamond" w:hAnsi="Garamond"/>
          <w:bCs/>
          <w:iCs/>
          <w:sz w:val="20"/>
          <w:szCs w:val="20"/>
          <w:lang w:val="en"/>
        </w:rPr>
        <w:t>: 10.2174/1381612811319270016. PMID: 23278493).</w:t>
      </w:r>
    </w:p>
    <w:p w14:paraId="308C9B00"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Martínez-Sánchez FD, Vargas-Abonce VP, Guerrero-Castillo AP, Santos-Villavicencio MD, </w:t>
      </w:r>
      <w:proofErr w:type="spellStart"/>
      <w:r w:rsidRPr="005238E4">
        <w:rPr>
          <w:rFonts w:ascii="Garamond" w:hAnsi="Garamond"/>
          <w:bCs/>
          <w:iCs/>
          <w:sz w:val="20"/>
          <w:szCs w:val="20"/>
          <w:lang w:val="en"/>
        </w:rPr>
        <w:t>Eseiza</w:t>
      </w:r>
      <w:proofErr w:type="spellEnd"/>
      <w:r w:rsidRPr="005238E4">
        <w:rPr>
          <w:rFonts w:ascii="Garamond" w:hAnsi="Garamond"/>
          <w:bCs/>
          <w:iCs/>
          <w:sz w:val="20"/>
          <w:szCs w:val="20"/>
          <w:lang w:val="en"/>
        </w:rPr>
        <w:t>-Acevedo J, Meza-Arana CE, Gulias-Herrero A, Gómez-</w:t>
      </w:r>
      <w:proofErr w:type="spellStart"/>
      <w:r w:rsidRPr="005238E4">
        <w:rPr>
          <w:rFonts w:ascii="Garamond" w:hAnsi="Garamond"/>
          <w:bCs/>
          <w:iCs/>
          <w:sz w:val="20"/>
          <w:szCs w:val="20"/>
          <w:lang w:val="en"/>
        </w:rPr>
        <w:t>Sámano</w:t>
      </w:r>
      <w:proofErr w:type="spellEnd"/>
      <w:r w:rsidRPr="005238E4">
        <w:rPr>
          <w:rFonts w:ascii="Garamond" w:hAnsi="Garamond"/>
          <w:bCs/>
          <w:iCs/>
          <w:sz w:val="20"/>
          <w:szCs w:val="20"/>
          <w:lang w:val="en"/>
        </w:rPr>
        <w:t xml:space="preserve"> </w:t>
      </w:r>
      <w:proofErr w:type="gramStart"/>
      <w:r w:rsidRPr="005238E4">
        <w:rPr>
          <w:rFonts w:ascii="Garamond" w:hAnsi="Garamond"/>
          <w:bCs/>
          <w:iCs/>
          <w:sz w:val="20"/>
          <w:szCs w:val="20"/>
          <w:lang w:val="en"/>
        </w:rPr>
        <w:t>MA,(</w:t>
      </w:r>
      <w:proofErr w:type="gramEnd"/>
      <w:r w:rsidRPr="005238E4">
        <w:rPr>
          <w:rFonts w:ascii="Garamond" w:hAnsi="Garamond"/>
          <w:bCs/>
          <w:iCs/>
          <w:sz w:val="20"/>
          <w:szCs w:val="20"/>
          <w:lang w:val="en"/>
        </w:rPr>
        <w:t>2021) Serum Uric Acid concentration is associated with insulin resistance and impaired insulin secretion in adults at risk for Type 2 Diabetes, Primary Care Diabetes, 15 (2); 293-299.</w:t>
      </w:r>
    </w:p>
    <w:p w14:paraId="1D231B31"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Katsiki</w:t>
      </w:r>
      <w:proofErr w:type="spellEnd"/>
      <w:r w:rsidRPr="005238E4">
        <w:rPr>
          <w:rFonts w:ascii="Garamond" w:hAnsi="Garamond"/>
          <w:bCs/>
          <w:iCs/>
          <w:sz w:val="20"/>
          <w:szCs w:val="20"/>
          <w:lang w:val="en"/>
        </w:rPr>
        <w:t xml:space="preserve"> N, Dimitriadis GD, </w:t>
      </w:r>
      <w:proofErr w:type="spellStart"/>
      <w:r w:rsidRPr="005238E4">
        <w:rPr>
          <w:rFonts w:ascii="Garamond" w:hAnsi="Garamond"/>
          <w:bCs/>
          <w:iCs/>
          <w:sz w:val="20"/>
          <w:szCs w:val="20"/>
          <w:lang w:val="en"/>
        </w:rPr>
        <w:t>Mikhailidis</w:t>
      </w:r>
      <w:proofErr w:type="spellEnd"/>
      <w:r w:rsidRPr="005238E4">
        <w:rPr>
          <w:rFonts w:ascii="Garamond" w:hAnsi="Garamond"/>
          <w:bCs/>
          <w:iCs/>
          <w:sz w:val="20"/>
          <w:szCs w:val="20"/>
          <w:lang w:val="en"/>
        </w:rPr>
        <w:t xml:space="preserve"> DP. Serum Uric Acid and Diabetes: From Pathophysiology to Cardiovascular Disease. Curr Pharm Des. 2021;27(16):1941-1951.</w:t>
      </w:r>
    </w:p>
    <w:p w14:paraId="66D6DF55"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lastRenderedPageBreak/>
        <w:t xml:space="preserve">Bailey CJ. Uric acid and the cardio-renal effects of SGLT2 inhibitors. Diabetes </w:t>
      </w:r>
      <w:proofErr w:type="spellStart"/>
      <w:r w:rsidRPr="005238E4">
        <w:rPr>
          <w:rFonts w:ascii="Garamond" w:hAnsi="Garamond"/>
          <w:bCs/>
          <w:iCs/>
          <w:sz w:val="20"/>
          <w:szCs w:val="20"/>
          <w:lang w:val="en"/>
        </w:rPr>
        <w:t>Obes</w:t>
      </w:r>
      <w:proofErr w:type="spellEnd"/>
      <w:r w:rsidRPr="005238E4">
        <w:rPr>
          <w:rFonts w:ascii="Garamond" w:hAnsi="Garamond"/>
          <w:bCs/>
          <w:iCs/>
          <w:sz w:val="20"/>
          <w:szCs w:val="20"/>
          <w:lang w:val="en"/>
        </w:rPr>
        <w:t xml:space="preserve"> </w:t>
      </w:r>
      <w:proofErr w:type="spellStart"/>
      <w:r w:rsidRPr="005238E4">
        <w:rPr>
          <w:rFonts w:ascii="Garamond" w:hAnsi="Garamond"/>
          <w:bCs/>
          <w:iCs/>
          <w:sz w:val="20"/>
          <w:szCs w:val="20"/>
          <w:lang w:val="en"/>
        </w:rPr>
        <w:t>Metab</w:t>
      </w:r>
      <w:proofErr w:type="spellEnd"/>
      <w:r w:rsidRPr="005238E4">
        <w:rPr>
          <w:rFonts w:ascii="Garamond" w:hAnsi="Garamond"/>
          <w:bCs/>
          <w:iCs/>
          <w:sz w:val="20"/>
          <w:szCs w:val="20"/>
          <w:lang w:val="en"/>
        </w:rPr>
        <w:t>. 2019;21(6):1291-1298.</w:t>
      </w:r>
    </w:p>
    <w:p w14:paraId="5C42AEBC"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Su H, Liu T, Li Y, Fan Y, Wang B, Liu M, Hu G, Meng Z, Zhang Q. Serum uric acid and its change with the risk of type 2 diabetes: A prospective study in China. Prim Care Diabetes. 2021;15(6):1002-1006.</w:t>
      </w:r>
    </w:p>
    <w:p w14:paraId="05364535" w14:textId="763CA61B"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De Becker B, Borgi C, </w:t>
      </w:r>
      <w:proofErr w:type="spellStart"/>
      <w:r w:rsidRPr="005238E4">
        <w:rPr>
          <w:rFonts w:ascii="Garamond" w:hAnsi="Garamond"/>
          <w:bCs/>
          <w:iCs/>
          <w:sz w:val="20"/>
          <w:szCs w:val="20"/>
          <w:lang w:val="en"/>
        </w:rPr>
        <w:t>Burnier</w:t>
      </w:r>
      <w:proofErr w:type="spellEnd"/>
      <w:r w:rsidRPr="005238E4">
        <w:rPr>
          <w:rFonts w:ascii="Garamond" w:hAnsi="Garamond"/>
          <w:bCs/>
          <w:iCs/>
          <w:sz w:val="20"/>
          <w:szCs w:val="20"/>
          <w:lang w:val="en"/>
        </w:rPr>
        <w:t xml:space="preserve"> M, van de Borne P, Uric acid and hypertension: focused review and practical recommendations. J Hypertens. 2019 May, 37(5): 878-883.</w:t>
      </w:r>
    </w:p>
    <w:p w14:paraId="0E09ACBE"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Cicero AF, </w:t>
      </w:r>
      <w:proofErr w:type="spellStart"/>
      <w:r w:rsidRPr="005238E4">
        <w:rPr>
          <w:rFonts w:ascii="Garamond" w:hAnsi="Garamond"/>
          <w:bCs/>
          <w:iCs/>
          <w:sz w:val="20"/>
          <w:szCs w:val="20"/>
          <w:lang w:val="en"/>
        </w:rPr>
        <w:t>Rosticci</w:t>
      </w:r>
      <w:proofErr w:type="spellEnd"/>
      <w:r w:rsidRPr="005238E4">
        <w:rPr>
          <w:rFonts w:ascii="Garamond" w:hAnsi="Garamond"/>
          <w:bCs/>
          <w:iCs/>
          <w:sz w:val="20"/>
          <w:szCs w:val="20"/>
          <w:lang w:val="en"/>
        </w:rPr>
        <w:t xml:space="preserve"> M, Bove M, et al. Serum uric acid change and modification of blood pressure and fasting plasma glucose in an overall healthy population sample: data from the </w:t>
      </w:r>
      <w:proofErr w:type="spellStart"/>
      <w:r w:rsidRPr="005238E4">
        <w:rPr>
          <w:rFonts w:ascii="Garamond" w:hAnsi="Garamond"/>
          <w:bCs/>
          <w:iCs/>
          <w:sz w:val="20"/>
          <w:szCs w:val="20"/>
          <w:lang w:val="en"/>
        </w:rPr>
        <w:t>Brisighella</w:t>
      </w:r>
      <w:proofErr w:type="spellEnd"/>
      <w:r w:rsidRPr="005238E4">
        <w:rPr>
          <w:rFonts w:ascii="Garamond" w:hAnsi="Garamond"/>
          <w:bCs/>
          <w:iCs/>
          <w:sz w:val="20"/>
          <w:szCs w:val="20"/>
          <w:lang w:val="en"/>
        </w:rPr>
        <w:t xml:space="preserve"> heart study. Ann Med. 2017; 49(4): 275- 282.</w:t>
      </w:r>
    </w:p>
    <w:p w14:paraId="2434A820"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Cicero AF, </w:t>
      </w:r>
      <w:proofErr w:type="spellStart"/>
      <w:r w:rsidRPr="005238E4">
        <w:rPr>
          <w:rFonts w:ascii="Garamond" w:hAnsi="Garamond"/>
          <w:bCs/>
          <w:iCs/>
          <w:sz w:val="20"/>
          <w:szCs w:val="20"/>
          <w:lang w:val="en"/>
        </w:rPr>
        <w:t>Rosticci</w:t>
      </w:r>
      <w:proofErr w:type="spellEnd"/>
      <w:r w:rsidRPr="005238E4">
        <w:rPr>
          <w:rFonts w:ascii="Garamond" w:hAnsi="Garamond"/>
          <w:bCs/>
          <w:iCs/>
          <w:sz w:val="20"/>
          <w:szCs w:val="20"/>
          <w:lang w:val="en"/>
        </w:rPr>
        <w:t xml:space="preserve"> M, </w:t>
      </w:r>
      <w:proofErr w:type="spellStart"/>
      <w:r w:rsidRPr="005238E4">
        <w:rPr>
          <w:rFonts w:ascii="Garamond" w:hAnsi="Garamond"/>
          <w:bCs/>
          <w:iCs/>
          <w:sz w:val="20"/>
          <w:szCs w:val="20"/>
          <w:lang w:val="en"/>
        </w:rPr>
        <w:t>Fogacci</w:t>
      </w:r>
      <w:proofErr w:type="spellEnd"/>
      <w:r w:rsidRPr="005238E4">
        <w:rPr>
          <w:rFonts w:ascii="Garamond" w:hAnsi="Garamond"/>
          <w:bCs/>
          <w:iCs/>
          <w:sz w:val="20"/>
          <w:szCs w:val="20"/>
          <w:lang w:val="en"/>
        </w:rPr>
        <w:t xml:space="preserve"> F, Grandi E, </w:t>
      </w:r>
      <w:proofErr w:type="spellStart"/>
      <w:r w:rsidRPr="005238E4">
        <w:rPr>
          <w:rFonts w:ascii="Garamond" w:hAnsi="Garamond"/>
          <w:bCs/>
          <w:iCs/>
          <w:sz w:val="20"/>
          <w:szCs w:val="20"/>
          <w:lang w:val="en"/>
        </w:rPr>
        <w:t>D'Addato</w:t>
      </w:r>
      <w:proofErr w:type="spellEnd"/>
      <w:r w:rsidRPr="005238E4">
        <w:rPr>
          <w:rFonts w:ascii="Garamond" w:hAnsi="Garamond"/>
          <w:bCs/>
          <w:iCs/>
          <w:sz w:val="20"/>
          <w:szCs w:val="20"/>
          <w:lang w:val="en"/>
        </w:rPr>
        <w:t xml:space="preserve"> S, Borghi C. High serum uric acid is associated with poorly controlled blood pressure and higher arterial stiffness in hypertensive subjects. </w:t>
      </w:r>
      <w:proofErr w:type="spellStart"/>
      <w:r w:rsidRPr="005238E4">
        <w:rPr>
          <w:rFonts w:ascii="Garamond" w:hAnsi="Garamond"/>
          <w:bCs/>
          <w:iCs/>
          <w:sz w:val="20"/>
          <w:szCs w:val="20"/>
          <w:lang w:val="en"/>
        </w:rPr>
        <w:t>Eur</w:t>
      </w:r>
      <w:proofErr w:type="spellEnd"/>
      <w:r w:rsidRPr="005238E4">
        <w:rPr>
          <w:rFonts w:ascii="Garamond" w:hAnsi="Garamond"/>
          <w:bCs/>
          <w:iCs/>
          <w:sz w:val="20"/>
          <w:szCs w:val="20"/>
          <w:lang w:val="en"/>
        </w:rPr>
        <w:t xml:space="preserve"> J Int Med. 2017; 37: 38- 42.</w:t>
      </w:r>
    </w:p>
    <w:p w14:paraId="1322A8D2"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Younossi</w:t>
      </w:r>
      <w:proofErr w:type="spellEnd"/>
      <w:r w:rsidRPr="005238E4">
        <w:rPr>
          <w:rFonts w:ascii="Garamond" w:hAnsi="Garamond"/>
          <w:bCs/>
          <w:iCs/>
          <w:sz w:val="20"/>
          <w:szCs w:val="20"/>
          <w:lang w:val="en"/>
        </w:rPr>
        <w:t xml:space="preserve"> Z, Anstee QM, Marietti M, Hardy T, Henry L, Eslam M. Global burden of NAFLD and NASH: trends, predictions, risk factors and prevention. Nat Rev Gastroenterol Hepatol. </w:t>
      </w:r>
      <w:proofErr w:type="gramStart"/>
      <w:r w:rsidRPr="005238E4">
        <w:rPr>
          <w:rFonts w:ascii="Garamond" w:hAnsi="Garamond"/>
          <w:bCs/>
          <w:iCs/>
          <w:sz w:val="20"/>
          <w:szCs w:val="20"/>
          <w:lang w:val="en"/>
        </w:rPr>
        <w:t>2018;15:11</w:t>
      </w:r>
      <w:proofErr w:type="gramEnd"/>
      <w:r w:rsidRPr="005238E4">
        <w:rPr>
          <w:rFonts w:ascii="Garamond" w:hAnsi="Garamond"/>
          <w:bCs/>
          <w:iCs/>
          <w:sz w:val="20"/>
          <w:szCs w:val="20"/>
          <w:lang w:val="en"/>
        </w:rPr>
        <w:t>–20.</w:t>
      </w:r>
    </w:p>
    <w:p w14:paraId="33B347EC"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Kawano Y, Cohen DE. Mechanisms of hepatic triglyceride accumulation in nonalcoholic fatty liver disease. J Gastroenterol. </w:t>
      </w:r>
      <w:proofErr w:type="gramStart"/>
      <w:r w:rsidRPr="005238E4">
        <w:rPr>
          <w:rFonts w:ascii="Garamond" w:hAnsi="Garamond"/>
          <w:bCs/>
          <w:iCs/>
          <w:sz w:val="20"/>
          <w:szCs w:val="20"/>
          <w:lang w:val="en"/>
        </w:rPr>
        <w:t>2013;48:434</w:t>
      </w:r>
      <w:proofErr w:type="gramEnd"/>
      <w:r w:rsidRPr="005238E4">
        <w:rPr>
          <w:rFonts w:ascii="Garamond" w:hAnsi="Garamond"/>
          <w:bCs/>
          <w:iCs/>
          <w:sz w:val="20"/>
          <w:szCs w:val="20"/>
          <w:lang w:val="en"/>
        </w:rPr>
        <w:t>–441.</w:t>
      </w:r>
    </w:p>
    <w:p w14:paraId="7FDAF515" w14:textId="77777777" w:rsidR="005238E4" w:rsidRPr="0066440C"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Saltiel AR, Kahn CR. Insulin </w:t>
      </w:r>
      <w:proofErr w:type="spellStart"/>
      <w:r w:rsidRPr="005238E4">
        <w:rPr>
          <w:rFonts w:ascii="Garamond" w:hAnsi="Garamond"/>
          <w:bCs/>
          <w:iCs/>
          <w:sz w:val="20"/>
          <w:szCs w:val="20"/>
          <w:lang w:val="en"/>
        </w:rPr>
        <w:t>signalling</w:t>
      </w:r>
      <w:proofErr w:type="spellEnd"/>
      <w:r w:rsidRPr="005238E4">
        <w:rPr>
          <w:rFonts w:ascii="Garamond" w:hAnsi="Garamond"/>
          <w:bCs/>
          <w:iCs/>
          <w:sz w:val="20"/>
          <w:szCs w:val="20"/>
          <w:lang w:val="en"/>
        </w:rPr>
        <w:t xml:space="preserve"> and the regulation of glucose and lipid metabolism. Nature. </w:t>
      </w:r>
      <w:proofErr w:type="gramStart"/>
      <w:r w:rsidRPr="0066440C">
        <w:rPr>
          <w:rFonts w:ascii="Garamond" w:hAnsi="Garamond"/>
          <w:bCs/>
          <w:iCs/>
          <w:sz w:val="20"/>
          <w:szCs w:val="20"/>
          <w:lang w:val="en"/>
        </w:rPr>
        <w:t>2001;414:799</w:t>
      </w:r>
      <w:proofErr w:type="gramEnd"/>
      <w:r w:rsidRPr="0066440C">
        <w:rPr>
          <w:rFonts w:ascii="Garamond" w:hAnsi="Garamond"/>
          <w:bCs/>
          <w:iCs/>
          <w:sz w:val="20"/>
          <w:szCs w:val="20"/>
          <w:lang w:val="en"/>
        </w:rPr>
        <w:t>–806.</w:t>
      </w:r>
    </w:p>
    <w:p w14:paraId="0DF92A5B" w14:textId="73E0C76D" w:rsidR="005238E4" w:rsidRPr="0066440C" w:rsidRDefault="005238E4" w:rsidP="00D32A23">
      <w:pPr>
        <w:numPr>
          <w:ilvl w:val="0"/>
          <w:numId w:val="26"/>
        </w:numPr>
        <w:ind w:left="284"/>
        <w:rPr>
          <w:rFonts w:ascii="Garamond" w:hAnsi="Garamond"/>
          <w:bCs/>
          <w:iCs/>
          <w:sz w:val="20"/>
          <w:szCs w:val="20"/>
          <w:lang w:val="en"/>
        </w:rPr>
      </w:pPr>
      <w:r w:rsidRPr="0066440C">
        <w:rPr>
          <w:rFonts w:ascii="Garamond" w:hAnsi="Garamond"/>
          <w:bCs/>
          <w:iCs/>
          <w:sz w:val="20"/>
          <w:szCs w:val="20"/>
          <w:lang w:val="en"/>
        </w:rPr>
        <w:t>Mantena SK, King AL, Andringa KK, Eccleston HB, Bailey SM</w:t>
      </w:r>
      <w:r w:rsidR="0066440C" w:rsidRPr="0066440C">
        <w:rPr>
          <w:rFonts w:ascii="Garamond" w:hAnsi="Garamond"/>
          <w:bCs/>
          <w:iCs/>
          <w:sz w:val="20"/>
          <w:szCs w:val="20"/>
          <w:lang w:val="en"/>
        </w:rPr>
        <w:t>.</w:t>
      </w:r>
      <w:r w:rsidRPr="0066440C">
        <w:rPr>
          <w:rFonts w:ascii="Garamond" w:hAnsi="Garamond"/>
          <w:bCs/>
          <w:iCs/>
          <w:sz w:val="20"/>
          <w:szCs w:val="20"/>
          <w:lang w:val="en"/>
        </w:rPr>
        <w:t xml:space="preserve"> Mitochondrial dysfunction and oxidative stress in the pathogenesis of alcohol- and obesity-induced fatty liver diseases, Free Radic. Biol. Med. </w:t>
      </w:r>
      <w:r w:rsidR="0066440C" w:rsidRPr="0066440C">
        <w:rPr>
          <w:rFonts w:ascii="Garamond" w:hAnsi="Garamond"/>
          <w:bCs/>
          <w:iCs/>
          <w:sz w:val="20"/>
          <w:szCs w:val="20"/>
          <w:lang w:val="en"/>
        </w:rPr>
        <w:t xml:space="preserve">2008; </w:t>
      </w:r>
      <w:r w:rsidRPr="0066440C">
        <w:rPr>
          <w:rFonts w:ascii="Garamond" w:hAnsi="Garamond"/>
          <w:bCs/>
          <w:iCs/>
          <w:sz w:val="20"/>
          <w:szCs w:val="20"/>
          <w:lang w:val="en"/>
        </w:rPr>
        <w:t>44:1259–1272.</w:t>
      </w:r>
    </w:p>
    <w:p w14:paraId="2ADAA520" w14:textId="0E2C8C26" w:rsidR="005238E4" w:rsidRPr="0066440C" w:rsidRDefault="005238E4" w:rsidP="00D32A23">
      <w:pPr>
        <w:numPr>
          <w:ilvl w:val="0"/>
          <w:numId w:val="26"/>
        </w:numPr>
        <w:ind w:left="284"/>
        <w:rPr>
          <w:rFonts w:ascii="Garamond" w:hAnsi="Garamond"/>
          <w:bCs/>
          <w:iCs/>
          <w:sz w:val="20"/>
          <w:szCs w:val="20"/>
          <w:lang w:val="en"/>
        </w:rPr>
      </w:pPr>
      <w:r w:rsidRPr="0066440C">
        <w:rPr>
          <w:rFonts w:ascii="Garamond" w:hAnsi="Garamond"/>
          <w:bCs/>
          <w:iCs/>
          <w:sz w:val="20"/>
          <w:szCs w:val="20"/>
          <w:lang w:val="en"/>
        </w:rPr>
        <w:t xml:space="preserve">Lim JS, Mietus-Snyder M, Valente A, Schwarz JM, Lustig RH. The role of fructose in the pathogenesis of NAFLD and the metabolic syndrome. Nat Rev Gastroenterol Hepatol. </w:t>
      </w:r>
      <w:r w:rsidR="0066440C" w:rsidRPr="0066440C">
        <w:rPr>
          <w:rFonts w:ascii="Garamond" w:hAnsi="Garamond"/>
          <w:bCs/>
          <w:iCs/>
          <w:sz w:val="20"/>
          <w:szCs w:val="20"/>
          <w:lang w:val="en"/>
        </w:rPr>
        <w:t>2010; 7:251</w:t>
      </w:r>
      <w:r w:rsidRPr="0066440C">
        <w:rPr>
          <w:rFonts w:ascii="Garamond" w:hAnsi="Garamond"/>
          <w:bCs/>
          <w:iCs/>
          <w:sz w:val="20"/>
          <w:szCs w:val="20"/>
          <w:lang w:val="en"/>
        </w:rPr>
        <w:t>–264.</w:t>
      </w:r>
    </w:p>
    <w:p w14:paraId="20FD7BB8" w14:textId="609C20B1" w:rsidR="005238E4" w:rsidRPr="0066440C" w:rsidRDefault="005238E4" w:rsidP="00D32A23">
      <w:pPr>
        <w:numPr>
          <w:ilvl w:val="0"/>
          <w:numId w:val="26"/>
        </w:numPr>
        <w:ind w:left="284"/>
        <w:rPr>
          <w:rFonts w:ascii="Garamond" w:hAnsi="Garamond"/>
          <w:bCs/>
          <w:iCs/>
          <w:sz w:val="20"/>
          <w:szCs w:val="20"/>
          <w:lang w:val="en"/>
        </w:rPr>
      </w:pPr>
      <w:r w:rsidRPr="0066440C">
        <w:rPr>
          <w:rFonts w:ascii="Garamond" w:hAnsi="Garamond"/>
          <w:bCs/>
          <w:iCs/>
          <w:sz w:val="20"/>
          <w:szCs w:val="20"/>
          <w:lang w:val="en"/>
        </w:rPr>
        <w:t>El-</w:t>
      </w:r>
      <w:proofErr w:type="spellStart"/>
      <w:r w:rsidRPr="0066440C">
        <w:rPr>
          <w:rFonts w:ascii="Garamond" w:hAnsi="Garamond"/>
          <w:bCs/>
          <w:iCs/>
          <w:sz w:val="20"/>
          <w:szCs w:val="20"/>
          <w:lang w:val="en"/>
        </w:rPr>
        <w:t>Sherbeeny</w:t>
      </w:r>
      <w:proofErr w:type="spellEnd"/>
      <w:r w:rsidRPr="0066440C">
        <w:rPr>
          <w:rFonts w:ascii="Garamond" w:hAnsi="Garamond"/>
          <w:bCs/>
          <w:iCs/>
          <w:sz w:val="20"/>
          <w:szCs w:val="20"/>
          <w:lang w:val="en"/>
        </w:rPr>
        <w:t xml:space="preserve"> NA, Nader MA, Attia GM, </w:t>
      </w:r>
      <w:proofErr w:type="spellStart"/>
      <w:r w:rsidRPr="0066440C">
        <w:rPr>
          <w:rFonts w:ascii="Garamond" w:hAnsi="Garamond"/>
          <w:bCs/>
          <w:iCs/>
          <w:sz w:val="20"/>
          <w:szCs w:val="20"/>
          <w:lang w:val="en"/>
        </w:rPr>
        <w:t>Ateyya</w:t>
      </w:r>
      <w:proofErr w:type="spellEnd"/>
      <w:r w:rsidRPr="0066440C">
        <w:rPr>
          <w:rFonts w:ascii="Garamond" w:hAnsi="Garamond"/>
          <w:bCs/>
          <w:iCs/>
          <w:sz w:val="20"/>
          <w:szCs w:val="20"/>
          <w:lang w:val="en"/>
        </w:rPr>
        <w:t xml:space="preserve"> </w:t>
      </w:r>
      <w:proofErr w:type="gramStart"/>
      <w:r w:rsidRPr="0066440C">
        <w:rPr>
          <w:rFonts w:ascii="Garamond" w:hAnsi="Garamond"/>
          <w:bCs/>
          <w:iCs/>
          <w:sz w:val="20"/>
          <w:szCs w:val="20"/>
          <w:lang w:val="en"/>
        </w:rPr>
        <w:t>H,  Agmatine</w:t>
      </w:r>
      <w:proofErr w:type="gramEnd"/>
      <w:r w:rsidRPr="0066440C">
        <w:rPr>
          <w:rFonts w:ascii="Garamond" w:hAnsi="Garamond"/>
          <w:bCs/>
          <w:iCs/>
          <w:sz w:val="20"/>
          <w:szCs w:val="20"/>
          <w:lang w:val="en"/>
        </w:rPr>
        <w:t xml:space="preserve"> protects rat liver from nicotine-induced hepatic damage via antioxidative, antiapoptotic, and antifibrotic pathways, </w:t>
      </w:r>
      <w:proofErr w:type="spellStart"/>
      <w:r w:rsidRPr="0066440C">
        <w:rPr>
          <w:rFonts w:ascii="Garamond" w:hAnsi="Garamond"/>
          <w:bCs/>
          <w:iCs/>
          <w:sz w:val="20"/>
          <w:szCs w:val="20"/>
          <w:lang w:val="en"/>
        </w:rPr>
        <w:t>Naunyn</w:t>
      </w:r>
      <w:proofErr w:type="spellEnd"/>
      <w:r w:rsidRPr="0066440C">
        <w:rPr>
          <w:rFonts w:ascii="Garamond" w:hAnsi="Garamond"/>
          <w:bCs/>
          <w:iCs/>
          <w:sz w:val="20"/>
          <w:szCs w:val="20"/>
          <w:lang w:val="en"/>
        </w:rPr>
        <w:t xml:space="preserve"> </w:t>
      </w:r>
      <w:proofErr w:type="spellStart"/>
      <w:r w:rsidRPr="0066440C">
        <w:rPr>
          <w:rFonts w:ascii="Garamond" w:hAnsi="Garamond"/>
          <w:bCs/>
          <w:iCs/>
          <w:sz w:val="20"/>
          <w:szCs w:val="20"/>
          <w:lang w:val="en"/>
        </w:rPr>
        <w:t>Schmiedebergs</w:t>
      </w:r>
      <w:proofErr w:type="spellEnd"/>
      <w:r w:rsidRPr="0066440C">
        <w:rPr>
          <w:rFonts w:ascii="Garamond" w:hAnsi="Garamond"/>
          <w:bCs/>
          <w:iCs/>
          <w:sz w:val="20"/>
          <w:szCs w:val="20"/>
          <w:lang w:val="en"/>
        </w:rPr>
        <w:t xml:space="preserve"> Arch. </w:t>
      </w:r>
      <w:proofErr w:type="spellStart"/>
      <w:r w:rsidRPr="0066440C">
        <w:rPr>
          <w:rFonts w:ascii="Garamond" w:hAnsi="Garamond"/>
          <w:bCs/>
          <w:iCs/>
          <w:sz w:val="20"/>
          <w:szCs w:val="20"/>
          <w:lang w:val="en"/>
        </w:rPr>
        <w:t>Pharmacol</w:t>
      </w:r>
      <w:proofErr w:type="spellEnd"/>
      <w:r w:rsidRPr="0066440C">
        <w:rPr>
          <w:rFonts w:ascii="Garamond" w:hAnsi="Garamond"/>
          <w:bCs/>
          <w:iCs/>
          <w:sz w:val="20"/>
          <w:szCs w:val="20"/>
          <w:lang w:val="en"/>
        </w:rPr>
        <w:t xml:space="preserve">. </w:t>
      </w:r>
      <w:r w:rsidR="0066440C" w:rsidRPr="0066440C">
        <w:rPr>
          <w:rFonts w:ascii="Garamond" w:hAnsi="Garamond"/>
          <w:bCs/>
          <w:iCs/>
          <w:sz w:val="20"/>
          <w:szCs w:val="20"/>
          <w:lang w:val="en"/>
        </w:rPr>
        <w:t xml:space="preserve">2016; </w:t>
      </w:r>
      <w:r w:rsidRPr="0066440C">
        <w:rPr>
          <w:rFonts w:ascii="Garamond" w:hAnsi="Garamond"/>
          <w:bCs/>
          <w:iCs/>
          <w:sz w:val="20"/>
          <w:szCs w:val="20"/>
          <w:lang w:val="en"/>
        </w:rPr>
        <w:t>389:1341–1351.</w:t>
      </w:r>
    </w:p>
    <w:p w14:paraId="377FF313"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Tsushima Y, Nishizawa H, et al. Uric acid secretion from adipose tissue and its increase in obesity. J Biol Chem. </w:t>
      </w:r>
      <w:proofErr w:type="gramStart"/>
      <w:r w:rsidRPr="005238E4">
        <w:rPr>
          <w:rFonts w:ascii="Garamond" w:hAnsi="Garamond"/>
          <w:bCs/>
          <w:iCs/>
          <w:sz w:val="20"/>
          <w:szCs w:val="20"/>
          <w:lang w:val="en"/>
        </w:rPr>
        <w:t>2013;288:27138</w:t>
      </w:r>
      <w:proofErr w:type="gramEnd"/>
      <w:r w:rsidRPr="005238E4">
        <w:rPr>
          <w:rFonts w:ascii="Garamond" w:hAnsi="Garamond"/>
          <w:bCs/>
          <w:iCs/>
          <w:sz w:val="20"/>
          <w:szCs w:val="20"/>
          <w:lang w:val="en"/>
        </w:rPr>
        <w:t>–49.</w:t>
      </w:r>
    </w:p>
    <w:p w14:paraId="429CE057"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Tsouli</w:t>
      </w:r>
      <w:proofErr w:type="spellEnd"/>
      <w:r w:rsidRPr="005238E4">
        <w:rPr>
          <w:rFonts w:ascii="Garamond" w:hAnsi="Garamond"/>
          <w:bCs/>
          <w:iCs/>
          <w:sz w:val="20"/>
          <w:szCs w:val="20"/>
          <w:lang w:val="en"/>
        </w:rPr>
        <w:t xml:space="preserve"> SG. Elevated serum uric acid levels in metabolic syndrome. Int J </w:t>
      </w:r>
      <w:proofErr w:type="spellStart"/>
      <w:r w:rsidRPr="005238E4">
        <w:rPr>
          <w:rFonts w:ascii="Garamond" w:hAnsi="Garamond"/>
          <w:bCs/>
          <w:iCs/>
          <w:sz w:val="20"/>
          <w:szCs w:val="20"/>
          <w:lang w:val="en"/>
        </w:rPr>
        <w:t>Cardiol</w:t>
      </w:r>
      <w:proofErr w:type="spellEnd"/>
      <w:r w:rsidRPr="005238E4">
        <w:rPr>
          <w:rFonts w:ascii="Garamond" w:hAnsi="Garamond"/>
          <w:bCs/>
          <w:iCs/>
          <w:sz w:val="20"/>
          <w:szCs w:val="20"/>
          <w:lang w:val="en"/>
        </w:rPr>
        <w:t>. 2006.</w:t>
      </w:r>
    </w:p>
    <w:p w14:paraId="17574B8A" w14:textId="77777777"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Xu C, Yu C, Xu L, et al. High serum uric acid increases the risk for nonalcoholic fatty liver disease: A prospective observational study. </w:t>
      </w:r>
      <w:proofErr w:type="spellStart"/>
      <w:r w:rsidRPr="005238E4">
        <w:rPr>
          <w:rFonts w:ascii="Garamond" w:hAnsi="Garamond"/>
          <w:bCs/>
          <w:iCs/>
          <w:sz w:val="20"/>
          <w:szCs w:val="20"/>
          <w:lang w:val="en"/>
        </w:rPr>
        <w:t>PLoS</w:t>
      </w:r>
      <w:proofErr w:type="spellEnd"/>
      <w:r w:rsidRPr="005238E4">
        <w:rPr>
          <w:rFonts w:ascii="Garamond" w:hAnsi="Garamond"/>
          <w:bCs/>
          <w:iCs/>
          <w:sz w:val="20"/>
          <w:szCs w:val="20"/>
          <w:lang w:val="en"/>
        </w:rPr>
        <w:t xml:space="preserve"> One. 2010;5(7</w:t>
      </w:r>
      <w:proofErr w:type="gramStart"/>
      <w:r w:rsidRPr="005238E4">
        <w:rPr>
          <w:rFonts w:ascii="Garamond" w:hAnsi="Garamond"/>
          <w:bCs/>
          <w:iCs/>
          <w:sz w:val="20"/>
          <w:szCs w:val="20"/>
          <w:lang w:val="en"/>
        </w:rPr>
        <w:t>):e</w:t>
      </w:r>
      <w:proofErr w:type="gramEnd"/>
      <w:r w:rsidRPr="005238E4">
        <w:rPr>
          <w:rFonts w:ascii="Garamond" w:hAnsi="Garamond"/>
          <w:bCs/>
          <w:iCs/>
          <w:sz w:val="20"/>
          <w:szCs w:val="20"/>
          <w:lang w:val="en"/>
        </w:rPr>
        <w:t>11578.</w:t>
      </w:r>
    </w:p>
    <w:p w14:paraId="0AF9B01F" w14:textId="2CB4CB00" w:rsidR="005238E4" w:rsidRPr="005238E4" w:rsidRDefault="005238E4" w:rsidP="00D32A23">
      <w:pPr>
        <w:numPr>
          <w:ilvl w:val="0"/>
          <w:numId w:val="26"/>
        </w:numPr>
        <w:ind w:left="284"/>
        <w:rPr>
          <w:rFonts w:ascii="Garamond" w:hAnsi="Garamond"/>
          <w:bCs/>
          <w:iCs/>
          <w:sz w:val="20"/>
          <w:szCs w:val="20"/>
          <w:lang w:val="en"/>
        </w:rPr>
      </w:pPr>
      <w:r w:rsidRPr="005238E4">
        <w:rPr>
          <w:rFonts w:ascii="Garamond" w:hAnsi="Garamond"/>
          <w:bCs/>
          <w:iCs/>
          <w:sz w:val="20"/>
          <w:szCs w:val="20"/>
          <w:lang w:val="en"/>
        </w:rPr>
        <w:t xml:space="preserve">Shih MH, et al. Association between serum uric acid and nonalcoholic fatty liver disease in the US population. J </w:t>
      </w:r>
      <w:proofErr w:type="spellStart"/>
      <w:r w:rsidRPr="005238E4">
        <w:rPr>
          <w:rFonts w:ascii="Garamond" w:hAnsi="Garamond"/>
          <w:bCs/>
          <w:iCs/>
          <w:sz w:val="20"/>
          <w:szCs w:val="20"/>
          <w:lang w:val="en"/>
        </w:rPr>
        <w:t>Formos</w:t>
      </w:r>
      <w:proofErr w:type="spellEnd"/>
      <w:r w:rsidRPr="005238E4">
        <w:rPr>
          <w:rFonts w:ascii="Garamond" w:hAnsi="Garamond"/>
          <w:bCs/>
          <w:iCs/>
          <w:sz w:val="20"/>
          <w:szCs w:val="20"/>
          <w:lang w:val="en"/>
        </w:rPr>
        <w:t xml:space="preserve"> Med Assoc. </w:t>
      </w:r>
      <w:r w:rsidR="0066440C" w:rsidRPr="005238E4">
        <w:rPr>
          <w:rFonts w:ascii="Garamond" w:hAnsi="Garamond"/>
          <w:bCs/>
          <w:iCs/>
          <w:sz w:val="20"/>
          <w:szCs w:val="20"/>
          <w:lang w:val="en"/>
        </w:rPr>
        <w:t>2015; 114:314</w:t>
      </w:r>
      <w:r w:rsidRPr="005238E4">
        <w:rPr>
          <w:rFonts w:ascii="Garamond" w:hAnsi="Garamond"/>
          <w:bCs/>
          <w:iCs/>
          <w:sz w:val="20"/>
          <w:szCs w:val="20"/>
          <w:lang w:val="en"/>
        </w:rPr>
        <w:t>–20.</w:t>
      </w:r>
    </w:p>
    <w:p w14:paraId="27E65793" w14:textId="77777777" w:rsidR="005238E4" w:rsidRP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Cicerchi</w:t>
      </w:r>
      <w:proofErr w:type="spellEnd"/>
      <w:r w:rsidRPr="005238E4">
        <w:rPr>
          <w:rFonts w:ascii="Garamond" w:hAnsi="Garamond"/>
          <w:bCs/>
          <w:iCs/>
          <w:sz w:val="20"/>
          <w:szCs w:val="20"/>
          <w:lang w:val="en"/>
        </w:rPr>
        <w:t xml:space="preserve"> C, Choi YJ, et al. Uric acid induces fat accumulation via generation of endoplasmic reticulum stress and SREBP-1c activation in hepatocytes. Lab Invest. 2014;94(10):1114–25.</w:t>
      </w:r>
    </w:p>
    <w:p w14:paraId="4ABA72BA" w14:textId="77777777" w:rsidR="005238E4" w:rsidRDefault="005238E4" w:rsidP="00D32A23">
      <w:pPr>
        <w:numPr>
          <w:ilvl w:val="0"/>
          <w:numId w:val="26"/>
        </w:numPr>
        <w:ind w:left="284"/>
        <w:rPr>
          <w:rFonts w:ascii="Garamond" w:hAnsi="Garamond"/>
          <w:bCs/>
          <w:iCs/>
          <w:sz w:val="20"/>
          <w:szCs w:val="20"/>
          <w:lang w:val="en"/>
        </w:rPr>
      </w:pPr>
      <w:proofErr w:type="spellStart"/>
      <w:r w:rsidRPr="005238E4">
        <w:rPr>
          <w:rFonts w:ascii="Garamond" w:hAnsi="Garamond"/>
          <w:bCs/>
          <w:iCs/>
          <w:sz w:val="20"/>
          <w:szCs w:val="20"/>
          <w:lang w:val="en"/>
        </w:rPr>
        <w:t>Lanaspa</w:t>
      </w:r>
      <w:proofErr w:type="spellEnd"/>
      <w:r w:rsidRPr="005238E4">
        <w:rPr>
          <w:rFonts w:ascii="Garamond" w:hAnsi="Garamond"/>
          <w:bCs/>
          <w:iCs/>
          <w:sz w:val="20"/>
          <w:szCs w:val="20"/>
          <w:lang w:val="en"/>
        </w:rPr>
        <w:t xml:space="preserve"> MA, Epperson LE, Li N. Opposing activity changes in AMP deaminase and AMP-activated protein kinase in the hibernating ground squirrel. </w:t>
      </w:r>
      <w:proofErr w:type="spellStart"/>
      <w:r w:rsidRPr="005238E4">
        <w:rPr>
          <w:rFonts w:ascii="Garamond" w:hAnsi="Garamond"/>
          <w:bCs/>
          <w:iCs/>
          <w:sz w:val="20"/>
          <w:szCs w:val="20"/>
          <w:lang w:val="en"/>
        </w:rPr>
        <w:t>PLoS</w:t>
      </w:r>
      <w:proofErr w:type="spellEnd"/>
      <w:r w:rsidRPr="005238E4">
        <w:rPr>
          <w:rFonts w:ascii="Garamond" w:hAnsi="Garamond"/>
          <w:bCs/>
          <w:iCs/>
          <w:sz w:val="20"/>
          <w:szCs w:val="20"/>
          <w:lang w:val="en"/>
        </w:rPr>
        <w:t xml:space="preserve"> One. 2015;10(4</w:t>
      </w:r>
      <w:proofErr w:type="gramStart"/>
      <w:r w:rsidRPr="005238E4">
        <w:rPr>
          <w:rFonts w:ascii="Garamond" w:hAnsi="Garamond"/>
          <w:bCs/>
          <w:iCs/>
          <w:sz w:val="20"/>
          <w:szCs w:val="20"/>
          <w:lang w:val="en"/>
        </w:rPr>
        <w:t>):e</w:t>
      </w:r>
      <w:proofErr w:type="gramEnd"/>
      <w:r w:rsidRPr="005238E4">
        <w:rPr>
          <w:rFonts w:ascii="Garamond" w:hAnsi="Garamond"/>
          <w:bCs/>
          <w:iCs/>
          <w:sz w:val="20"/>
          <w:szCs w:val="20"/>
          <w:lang w:val="en"/>
        </w:rPr>
        <w:t>0123509.</w:t>
      </w:r>
    </w:p>
    <w:p w14:paraId="3EF8E13A" w14:textId="77777777" w:rsidR="00D32A23" w:rsidRDefault="00D32A23" w:rsidP="00D32A23">
      <w:pPr>
        <w:spacing w:line="259" w:lineRule="auto"/>
        <w:jc w:val="both"/>
        <w:rPr>
          <w:rFonts w:ascii="Garamond" w:hAnsi="Garamond"/>
          <w:bCs/>
          <w:iCs/>
          <w:sz w:val="20"/>
          <w:szCs w:val="20"/>
          <w:lang w:val="en"/>
        </w:rPr>
      </w:pPr>
    </w:p>
    <w:p w14:paraId="340A1B8C" w14:textId="77777777" w:rsidR="00D32A23" w:rsidRPr="005238E4" w:rsidRDefault="00D32A23" w:rsidP="00D32A23">
      <w:pPr>
        <w:spacing w:line="259" w:lineRule="auto"/>
        <w:jc w:val="both"/>
        <w:rPr>
          <w:rFonts w:ascii="Garamond" w:hAnsi="Garamond"/>
          <w:bCs/>
          <w:iCs/>
          <w:sz w:val="20"/>
          <w:szCs w:val="20"/>
          <w:lang w:val="en"/>
        </w:rPr>
      </w:pPr>
    </w:p>
    <w:p w14:paraId="6DD0189E" w14:textId="77777777" w:rsidR="005238E4" w:rsidRPr="005238E4" w:rsidRDefault="005238E4" w:rsidP="005238E4">
      <w:pPr>
        <w:spacing w:line="259" w:lineRule="auto"/>
        <w:jc w:val="both"/>
        <w:rPr>
          <w:rFonts w:ascii="Garamond" w:hAnsi="Garamond"/>
          <w:b/>
          <w:bCs/>
          <w:iCs/>
          <w:sz w:val="20"/>
          <w:szCs w:val="20"/>
          <w:lang w:val="en"/>
        </w:rPr>
      </w:pPr>
    </w:p>
    <w:p w14:paraId="634D5770" w14:textId="77777777" w:rsidR="005238E4" w:rsidRPr="005238E4" w:rsidRDefault="005238E4" w:rsidP="005238E4">
      <w:pPr>
        <w:spacing w:line="259" w:lineRule="auto"/>
        <w:jc w:val="both"/>
        <w:rPr>
          <w:rFonts w:ascii="Garamond" w:hAnsi="Garamond"/>
          <w:bCs/>
          <w:iCs/>
          <w:sz w:val="20"/>
          <w:szCs w:val="20"/>
          <w:lang w:val="en"/>
        </w:rPr>
      </w:pPr>
    </w:p>
    <w:p w14:paraId="73905A3E" w14:textId="77777777" w:rsidR="00057CF5" w:rsidRDefault="00057CF5" w:rsidP="007A1526">
      <w:pPr>
        <w:spacing w:line="259" w:lineRule="auto"/>
        <w:jc w:val="both"/>
        <w:rPr>
          <w:rFonts w:ascii="Garamond" w:hAnsi="Garamond"/>
          <w:bCs/>
          <w:iCs/>
          <w:sz w:val="20"/>
          <w:szCs w:val="20"/>
        </w:rPr>
      </w:pPr>
    </w:p>
    <w:p w14:paraId="5A9DF0EE" w14:textId="77777777" w:rsidR="005238E4" w:rsidRDefault="005238E4" w:rsidP="007A1526">
      <w:pPr>
        <w:spacing w:line="259" w:lineRule="auto"/>
        <w:jc w:val="both"/>
        <w:rPr>
          <w:rFonts w:ascii="Garamond" w:hAnsi="Garamond"/>
          <w:bCs/>
          <w:iCs/>
          <w:sz w:val="20"/>
          <w:szCs w:val="20"/>
        </w:rPr>
      </w:pPr>
    </w:p>
    <w:p w14:paraId="000E9950" w14:textId="77777777" w:rsidR="005238E4" w:rsidRDefault="005238E4" w:rsidP="007A1526">
      <w:pPr>
        <w:spacing w:line="259" w:lineRule="auto"/>
        <w:jc w:val="both"/>
        <w:rPr>
          <w:rFonts w:ascii="Garamond" w:hAnsi="Garamond"/>
          <w:bCs/>
          <w:iCs/>
          <w:sz w:val="20"/>
          <w:szCs w:val="20"/>
        </w:rPr>
      </w:pPr>
    </w:p>
    <w:p w14:paraId="151222EA" w14:textId="77777777" w:rsidR="005238E4" w:rsidRDefault="005238E4" w:rsidP="007A1526">
      <w:pPr>
        <w:spacing w:line="259" w:lineRule="auto"/>
        <w:jc w:val="both"/>
        <w:rPr>
          <w:rFonts w:ascii="Garamond" w:hAnsi="Garamond"/>
          <w:bCs/>
          <w:iCs/>
          <w:sz w:val="20"/>
          <w:szCs w:val="20"/>
        </w:rPr>
      </w:pPr>
    </w:p>
    <w:sectPr w:rsidR="005238E4"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4617" w14:textId="77777777" w:rsidR="003B3914" w:rsidRDefault="003B3914" w:rsidP="00202B90">
      <w:r>
        <w:separator/>
      </w:r>
    </w:p>
  </w:endnote>
  <w:endnote w:type="continuationSeparator" w:id="0">
    <w:p w14:paraId="097FA0BC" w14:textId="77777777" w:rsidR="003B3914" w:rsidRDefault="003B3914"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F4E6" w14:textId="77777777" w:rsidR="003B3914" w:rsidRDefault="003B3914" w:rsidP="00202B90">
      <w:bookmarkStart w:id="0" w:name="_Hlk191386689"/>
      <w:bookmarkEnd w:id="0"/>
      <w:r>
        <w:separator/>
      </w:r>
    </w:p>
  </w:footnote>
  <w:footnote w:type="continuationSeparator" w:id="0">
    <w:p w14:paraId="1ACE665D" w14:textId="77777777" w:rsidR="003B3914" w:rsidRDefault="003B3914"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0427163E" w14:textId="77777777" w:rsidR="006C521A" w:rsidRPr="00D374D0" w:rsidRDefault="006C521A" w:rsidP="006C521A">
    <w:pPr>
      <w:pStyle w:val="Header"/>
      <w:tabs>
        <w:tab w:val="clear" w:pos="4320"/>
        <w:tab w:val="clear" w:pos="8640"/>
        <w:tab w:val="left" w:pos="630"/>
      </w:tabs>
      <w:jc w:val="both"/>
      <w:rPr>
        <w:rFonts w:ascii="Garamond" w:hAnsi="Garamond"/>
        <w:sz w:val="20"/>
        <w:szCs w:val="22"/>
      </w:rPr>
    </w:pPr>
    <w:r w:rsidRPr="00D374D0">
      <w:rPr>
        <w:rFonts w:ascii="Garamond" w:hAnsi="Garamond"/>
        <w:sz w:val="20"/>
        <w:szCs w:val="22"/>
        <w:lang w:val="en"/>
      </w:rPr>
      <w:t>Uric Acid as a Causal Risk Factor for Cardiometabolic Syndrome</w:t>
    </w:r>
    <w:r w:rsidRPr="00D374D0">
      <w:rPr>
        <w:rFonts w:ascii="Garamond" w:hAnsi="Garamond"/>
        <w:sz w:val="20"/>
        <w:szCs w:val="22"/>
      </w:rPr>
      <w:t xml:space="preserve"> </w:t>
    </w:r>
  </w:p>
  <w:p w14:paraId="6A8CEA2A" w14:textId="77777777" w:rsidR="006C521A" w:rsidRPr="006C521A" w:rsidRDefault="006C521A" w:rsidP="006C521A">
    <w:pPr>
      <w:pStyle w:val="Header"/>
      <w:tabs>
        <w:tab w:val="clear" w:pos="4320"/>
        <w:tab w:val="clear" w:pos="8640"/>
        <w:tab w:val="left" w:pos="630"/>
      </w:tabs>
      <w:jc w:val="both"/>
      <w:rPr>
        <w:rFonts w:ascii="Garamond" w:hAnsi="Garamond"/>
        <w:sz w:val="20"/>
        <w:szCs w:val="22"/>
        <w:lang w:val="en-GB"/>
      </w:rPr>
    </w:pPr>
    <w:proofErr w:type="spellStart"/>
    <w:r w:rsidRPr="006C521A">
      <w:rPr>
        <w:rFonts w:ascii="Garamond" w:hAnsi="Garamond"/>
        <w:i/>
        <w:iCs/>
        <w:sz w:val="20"/>
        <w:szCs w:val="22"/>
      </w:rPr>
      <w:t>Dangana</w:t>
    </w:r>
    <w:proofErr w:type="spellEnd"/>
    <w:r w:rsidRPr="006C521A">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2DB9758" w14:textId="77777777" w:rsidR="006C521A" w:rsidRPr="00D374D0" w:rsidRDefault="006C521A" w:rsidP="006C521A">
    <w:pPr>
      <w:pStyle w:val="Header"/>
      <w:tabs>
        <w:tab w:val="clear" w:pos="4320"/>
        <w:tab w:val="clear" w:pos="8640"/>
        <w:tab w:val="left" w:pos="630"/>
      </w:tabs>
      <w:jc w:val="both"/>
      <w:rPr>
        <w:rFonts w:ascii="Garamond" w:hAnsi="Garamond"/>
        <w:sz w:val="20"/>
        <w:szCs w:val="22"/>
      </w:rPr>
    </w:pPr>
    <w:r w:rsidRPr="00D374D0">
      <w:rPr>
        <w:rFonts w:ascii="Garamond" w:hAnsi="Garamond"/>
        <w:sz w:val="20"/>
        <w:szCs w:val="22"/>
        <w:lang w:val="en"/>
      </w:rPr>
      <w:t>Uric Acid as a Causal Risk Factor for Cardiometabolic Syndrome</w:t>
    </w:r>
    <w:r w:rsidRPr="00D374D0">
      <w:rPr>
        <w:rFonts w:ascii="Garamond" w:hAnsi="Garamond"/>
        <w:sz w:val="20"/>
        <w:szCs w:val="22"/>
      </w:rPr>
      <w:t xml:space="preserve"> </w:t>
    </w:r>
  </w:p>
  <w:p w14:paraId="2D49D0E1" w14:textId="77777777" w:rsidR="006C521A" w:rsidRPr="006C521A" w:rsidRDefault="006C521A" w:rsidP="006C521A">
    <w:pPr>
      <w:pStyle w:val="Header"/>
      <w:tabs>
        <w:tab w:val="clear" w:pos="4320"/>
        <w:tab w:val="clear" w:pos="8640"/>
        <w:tab w:val="left" w:pos="630"/>
      </w:tabs>
      <w:jc w:val="both"/>
      <w:rPr>
        <w:rFonts w:ascii="Garamond" w:hAnsi="Garamond"/>
        <w:sz w:val="20"/>
        <w:szCs w:val="22"/>
        <w:lang w:val="en-GB"/>
      </w:rPr>
    </w:pPr>
    <w:proofErr w:type="spellStart"/>
    <w:r w:rsidRPr="006C521A">
      <w:rPr>
        <w:rFonts w:ascii="Garamond" w:hAnsi="Garamond"/>
        <w:i/>
        <w:iCs/>
        <w:sz w:val="20"/>
        <w:szCs w:val="22"/>
      </w:rPr>
      <w:t>Dangana</w:t>
    </w:r>
    <w:proofErr w:type="spellEnd"/>
    <w:r w:rsidRPr="006C521A">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B003C74" w14:textId="77777777" w:rsidR="006C521A" w:rsidRPr="00D374D0" w:rsidRDefault="006C521A" w:rsidP="006C521A">
    <w:pPr>
      <w:pStyle w:val="Header"/>
      <w:tabs>
        <w:tab w:val="clear" w:pos="4320"/>
        <w:tab w:val="clear" w:pos="8640"/>
        <w:tab w:val="left" w:pos="630"/>
      </w:tabs>
      <w:jc w:val="both"/>
      <w:rPr>
        <w:rFonts w:ascii="Garamond" w:hAnsi="Garamond"/>
        <w:sz w:val="20"/>
        <w:szCs w:val="22"/>
      </w:rPr>
    </w:pPr>
    <w:r w:rsidRPr="00D374D0">
      <w:rPr>
        <w:rFonts w:ascii="Garamond" w:hAnsi="Garamond"/>
        <w:sz w:val="20"/>
        <w:szCs w:val="22"/>
        <w:lang w:val="en"/>
      </w:rPr>
      <w:t>Uric Acid as a Causal Risk Factor for Cardiometabolic Syndrome</w:t>
    </w:r>
    <w:r w:rsidRPr="00D374D0">
      <w:rPr>
        <w:rFonts w:ascii="Garamond" w:hAnsi="Garamond"/>
        <w:sz w:val="20"/>
        <w:szCs w:val="22"/>
      </w:rPr>
      <w:t xml:space="preserve"> </w:t>
    </w:r>
  </w:p>
  <w:p w14:paraId="131BF6E6" w14:textId="77777777" w:rsidR="006C521A" w:rsidRPr="006C521A" w:rsidRDefault="006C521A" w:rsidP="006C521A">
    <w:pPr>
      <w:pStyle w:val="Header"/>
      <w:tabs>
        <w:tab w:val="clear" w:pos="4320"/>
        <w:tab w:val="clear" w:pos="8640"/>
        <w:tab w:val="left" w:pos="630"/>
      </w:tabs>
      <w:jc w:val="both"/>
      <w:rPr>
        <w:rFonts w:ascii="Garamond" w:hAnsi="Garamond"/>
        <w:sz w:val="20"/>
        <w:szCs w:val="22"/>
        <w:lang w:val="en-GB"/>
      </w:rPr>
    </w:pPr>
    <w:proofErr w:type="spellStart"/>
    <w:r w:rsidRPr="006C521A">
      <w:rPr>
        <w:rFonts w:ascii="Garamond" w:hAnsi="Garamond"/>
        <w:i/>
        <w:iCs/>
        <w:sz w:val="20"/>
        <w:szCs w:val="22"/>
      </w:rPr>
      <w:t>Dangana</w:t>
    </w:r>
    <w:proofErr w:type="spellEnd"/>
    <w:r w:rsidRPr="006C521A">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C3CF0"/>
    <w:multiLevelType w:val="multilevel"/>
    <w:tmpl w:val="03B231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6"/>
  </w:num>
  <w:num w:numId="17" w16cid:durableId="1221361593">
    <w:abstractNumId w:val="24"/>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44400758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18CF"/>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3914"/>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3BBA"/>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38E4"/>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440C"/>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6C"/>
    <w:rsid w:val="006A2484"/>
    <w:rsid w:val="006A3912"/>
    <w:rsid w:val="006A60E9"/>
    <w:rsid w:val="006B0F53"/>
    <w:rsid w:val="006B1305"/>
    <w:rsid w:val="006B1C19"/>
    <w:rsid w:val="006B3919"/>
    <w:rsid w:val="006B7D6A"/>
    <w:rsid w:val="006C0A7F"/>
    <w:rsid w:val="006C521A"/>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410"/>
    <w:rsid w:val="007409A3"/>
    <w:rsid w:val="00743C71"/>
    <w:rsid w:val="00745662"/>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3F6D"/>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39F9"/>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07A3"/>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2A23"/>
    <w:rsid w:val="00D33E02"/>
    <w:rsid w:val="00D35824"/>
    <w:rsid w:val="00D358C5"/>
    <w:rsid w:val="00D373E0"/>
    <w:rsid w:val="00D374D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8527B"/>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5BB3"/>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56767"/>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gana.e@ks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14"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14"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4455</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2026-04-06T06:36:00Z</dcterms:created>
  <dcterms:modified xsi:type="dcterms:W3CDTF">2026-04-06T06:36:00Z</dcterms:modified>
</cp:coreProperties>
</file>