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05A564C8">
                <wp:simplePos x="0" y="0"/>
                <wp:positionH relativeFrom="column">
                  <wp:posOffset>-238539</wp:posOffset>
                </wp:positionH>
                <wp:positionV relativeFrom="paragraph">
                  <wp:posOffset>122997</wp:posOffset>
                </wp:positionV>
                <wp:extent cx="6419850" cy="636104"/>
                <wp:effectExtent l="0" t="0" r="19050" b="1206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636104"/>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DD9DEAD" id="Round Diagonal Corner Rectangle 262" o:spid="_x0000_s1026" style="position:absolute;margin-left:-18.8pt;margin-top:9.7pt;width:505.5pt;height:50.1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636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" path="m106019,l6419850,r,l6419850,530085v,58553,-47466,106019,-106019,106019l,636104r,l,106019c,47466,47466,,106019,xe" fillcolor="#1a601c" strokecolor="#385723" strokeweight="1pt">
                <v:stroke joinstyle="miter"/>
                <v:path arrowok="t" o:connecttype="custom" o:connectlocs="106019,0;6419850,0;6419850,0;6419850,530085;6313831,636104;0,636104;0,636104;0,106019;106019,0" o:connectangles="0,0,0,0,0,0,0,0,0"/>
              </v:shape>
            </w:pict>
          </mc:Fallback>
        </mc:AlternateContent>
      </w:r>
    </w:p>
    <w:p w14:paraId="2F7E53BD" w14:textId="572DE3E9" w:rsidR="00A57EED" w:rsidRPr="00A57EED" w:rsidRDefault="00A57EED" w:rsidP="00A57EED">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A57EED">
        <w:rPr>
          <w:rFonts w:ascii="Garamond" w:hAnsi="Garamond" w:cs="Times New Roman"/>
          <w:b/>
          <w:bCs/>
          <w:color w:val="FFFFFF" w:themeColor="background1"/>
          <w:sz w:val="32"/>
          <w:szCs w:val="32"/>
        </w:rPr>
        <w:t>Evaluation of therapeutic education in diabetic patients in the city of Kenitra (Morocco):</w:t>
      </w:r>
      <w:r>
        <w:rPr>
          <w:rFonts w:ascii="Garamond" w:hAnsi="Garamond" w:cs="Times New Roman"/>
          <w:b/>
          <w:bCs/>
          <w:color w:val="FFFFFF" w:themeColor="background1"/>
          <w:sz w:val="32"/>
          <w:szCs w:val="32"/>
        </w:rPr>
        <w:t xml:space="preserve"> </w:t>
      </w:r>
      <w:r w:rsidRPr="00A57EED">
        <w:rPr>
          <w:rFonts w:ascii="Garamond" w:hAnsi="Garamond" w:cs="Times New Roman"/>
          <w:b/>
          <w:bCs/>
          <w:color w:val="FFFFFF" w:themeColor="background1"/>
          <w:sz w:val="32"/>
          <w:szCs w:val="32"/>
        </w:rPr>
        <w:t>A cross-sectional study</w:t>
      </w:r>
    </w:p>
    <w:p w14:paraId="4EE0A8F5" w14:textId="44F4E449" w:rsidR="007B45CA" w:rsidRPr="007B45CA" w:rsidRDefault="007B45CA" w:rsidP="007B45CA">
      <w:pPr>
        <w:pBdr>
          <w:bottom w:val="single" w:sz="6" w:space="1" w:color="auto"/>
        </w:pBdr>
        <w:jc w:val="both"/>
        <w:rPr>
          <w:rFonts w:ascii="Garamond" w:hAnsi="Garamond"/>
          <w:b/>
          <w:bCs/>
          <w:i/>
          <w:iCs/>
          <w:color w:val="FFFFFF" w:themeColor="background1"/>
          <w:sz w:val="22"/>
          <w:szCs w:val="22"/>
          <w:lang w:val="en-NG"/>
        </w:rPr>
      </w:pPr>
      <w:r w:rsidRPr="007B45CA">
        <w:rPr>
          <w:rFonts w:ascii="Garamond" w:hAnsi="Garamond"/>
          <w:b/>
          <w:bCs/>
          <w:i/>
          <w:iCs/>
          <w:color w:val="FFFFFF" w:themeColor="background1"/>
          <w:sz w:val="22"/>
          <w:szCs w:val="22"/>
          <w:vertAlign w:val="superscript"/>
        </w:rPr>
        <w:t>1,2</w:t>
      </w:r>
      <w:r w:rsidRPr="000B236C">
        <w:rPr>
          <w:rFonts w:ascii="Garamond" w:hAnsi="Garamond"/>
          <w:b/>
          <w:bCs/>
          <w:i/>
          <w:iCs/>
          <w:color w:val="FFFFFF" w:themeColor="background1"/>
          <w:sz w:val="22"/>
          <w:szCs w:val="22"/>
        </w:rPr>
        <w:t>Hasna</w:t>
      </w:r>
      <w:r w:rsidRPr="007B45CA">
        <w:rPr>
          <w:rFonts w:ascii="Garamond" w:hAnsi="Garamond"/>
          <w:b/>
          <w:bCs/>
          <w:i/>
          <w:iCs/>
          <w:color w:val="FFFFFF" w:themeColor="background1"/>
          <w:sz w:val="22"/>
          <w:szCs w:val="22"/>
        </w:rPr>
        <w:t xml:space="preserve">e </w:t>
      </w:r>
      <w:proofErr w:type="spellStart"/>
      <w:r w:rsidRPr="007B45CA">
        <w:rPr>
          <w:rFonts w:ascii="Garamond" w:hAnsi="Garamond"/>
          <w:b/>
          <w:bCs/>
          <w:i/>
          <w:iCs/>
          <w:color w:val="FFFFFF" w:themeColor="background1"/>
          <w:sz w:val="22"/>
          <w:szCs w:val="22"/>
        </w:rPr>
        <w:t>Taouda</w:t>
      </w:r>
      <w:proofErr w:type="spellEnd"/>
      <w:r w:rsidRPr="007B45CA">
        <w:rPr>
          <w:rFonts w:ascii="Garamond" w:hAnsi="Garamond"/>
          <w:b/>
          <w:bCs/>
          <w:i/>
          <w:iCs/>
          <w:color w:val="FFFFFF" w:themeColor="background1"/>
          <w:sz w:val="22"/>
          <w:szCs w:val="22"/>
        </w:rPr>
        <w:t xml:space="preserve">, </w:t>
      </w:r>
      <w:r w:rsidRPr="007B45CA">
        <w:rPr>
          <w:rFonts w:ascii="Garamond" w:hAnsi="Garamond"/>
          <w:b/>
          <w:bCs/>
          <w:i/>
          <w:iCs/>
          <w:color w:val="FFFFFF" w:themeColor="background1"/>
          <w:sz w:val="22"/>
          <w:szCs w:val="22"/>
          <w:vertAlign w:val="superscript"/>
        </w:rPr>
        <w:t>1</w:t>
      </w:r>
      <w:r>
        <w:rPr>
          <w:rFonts w:ascii="Garamond" w:hAnsi="Garamond"/>
          <w:b/>
          <w:bCs/>
          <w:i/>
          <w:iCs/>
          <w:color w:val="FFFFFF" w:themeColor="background1"/>
          <w:sz w:val="22"/>
          <w:szCs w:val="22"/>
          <w:vertAlign w:val="superscript"/>
        </w:rPr>
        <w:t>,2</w:t>
      </w:r>
      <w:proofErr w:type="spellStart"/>
      <w:r w:rsidRPr="000B236C">
        <w:rPr>
          <w:rFonts w:ascii="Garamond" w:hAnsi="Garamond"/>
          <w:b/>
          <w:bCs/>
          <w:i/>
          <w:iCs/>
          <w:color w:val="FFFFFF" w:themeColor="background1"/>
          <w:sz w:val="22"/>
          <w:szCs w:val="22"/>
          <w:lang w:val="en-GB"/>
        </w:rPr>
        <w:t>Ghizlane</w:t>
      </w:r>
      <w:proofErr w:type="spellEnd"/>
      <w:r w:rsidRPr="007B45CA">
        <w:rPr>
          <w:rFonts w:ascii="Garamond" w:hAnsi="Garamond"/>
          <w:b/>
          <w:bCs/>
          <w:i/>
          <w:iCs/>
          <w:color w:val="FFFFFF" w:themeColor="background1"/>
          <w:sz w:val="22"/>
          <w:szCs w:val="22"/>
          <w:lang w:val="en-GB"/>
        </w:rPr>
        <w:t xml:space="preserve"> Bouazza, </w:t>
      </w:r>
      <w:r w:rsidRPr="007B45CA">
        <w:rPr>
          <w:rFonts w:ascii="Garamond" w:hAnsi="Garamond"/>
          <w:b/>
          <w:bCs/>
          <w:i/>
          <w:iCs/>
          <w:color w:val="FFFFFF" w:themeColor="background1"/>
          <w:sz w:val="22"/>
          <w:szCs w:val="22"/>
          <w:vertAlign w:val="superscript"/>
          <w:lang w:val="en-GB"/>
        </w:rPr>
        <w:t>2</w:t>
      </w:r>
      <w:r w:rsidRPr="000B236C">
        <w:rPr>
          <w:rFonts w:ascii="Garamond" w:hAnsi="Garamond"/>
          <w:b/>
          <w:bCs/>
          <w:i/>
          <w:iCs/>
          <w:color w:val="FFFFFF" w:themeColor="background1"/>
          <w:sz w:val="22"/>
          <w:szCs w:val="22"/>
        </w:rPr>
        <w:t>Mostafa</w:t>
      </w:r>
      <w:r w:rsidRPr="007B45CA">
        <w:rPr>
          <w:rFonts w:ascii="Garamond" w:hAnsi="Garamond"/>
          <w:b/>
          <w:bCs/>
          <w:i/>
          <w:iCs/>
          <w:color w:val="FFFFFF" w:themeColor="background1"/>
          <w:sz w:val="22"/>
          <w:szCs w:val="22"/>
        </w:rPr>
        <w:t xml:space="preserve"> Slim</w:t>
      </w:r>
      <w:r w:rsidR="00D133F9">
        <w:rPr>
          <w:rFonts w:ascii="Garamond" w:hAnsi="Garamond"/>
          <w:b/>
          <w:bCs/>
          <w:i/>
          <w:iCs/>
          <w:color w:val="FFFFFF" w:themeColor="background1"/>
          <w:sz w:val="22"/>
          <w:szCs w:val="22"/>
        </w:rPr>
        <w:t xml:space="preserve"> </w:t>
      </w:r>
    </w:p>
    <w:p w14:paraId="5CCF735F" w14:textId="11706793" w:rsidR="00A937FE" w:rsidRDefault="007B45CA" w:rsidP="002265FA">
      <w:pPr>
        <w:pBdr>
          <w:bottom w:val="single" w:sz="6" w:space="1" w:color="auto"/>
        </w:pBdr>
        <w:jc w:val="both"/>
        <w:rPr>
          <w:rFonts w:ascii="Times New Roman" w:hAnsi="Times New Roman" w:cs="Times New Roman"/>
        </w:rPr>
      </w:pPr>
      <w:bookmarkStart w:id="4" w:name="_Hlk209348096"/>
      <w:bookmarkEnd w:id="2"/>
      <w:bookmarkEnd w:id="3"/>
      <w:r w:rsidRPr="007B45CA">
        <w:rPr>
          <w:rFonts w:ascii="Garamond" w:hAnsi="Garamond"/>
          <w:i/>
          <w:iCs/>
          <w:sz w:val="20"/>
          <w:szCs w:val="20"/>
          <w:vertAlign w:val="superscript"/>
        </w:rPr>
        <w:t>1</w:t>
      </w:r>
      <w:r w:rsidRPr="007B45CA">
        <w:rPr>
          <w:rFonts w:ascii="Garamond" w:hAnsi="Garamond"/>
          <w:i/>
          <w:iCs/>
          <w:sz w:val="20"/>
          <w:szCs w:val="20"/>
          <w:lang w:val="en-GB"/>
        </w:rPr>
        <w:t>Higher Institute of Nursing and Health Technology Professions of Rabat/Kenitra</w:t>
      </w:r>
    </w:p>
    <w:p w14:paraId="6403B298" w14:textId="482405C2" w:rsidR="002265FA" w:rsidRPr="002265FA" w:rsidRDefault="007B45CA" w:rsidP="002265FA">
      <w:pPr>
        <w:pBdr>
          <w:bottom w:val="single" w:sz="6" w:space="1" w:color="auto"/>
        </w:pBdr>
        <w:jc w:val="both"/>
        <w:rPr>
          <w:rFonts w:ascii="Garamond" w:hAnsi="Garamond"/>
          <w:i/>
          <w:iCs/>
          <w:sz w:val="20"/>
          <w:szCs w:val="20"/>
        </w:rPr>
      </w:pPr>
      <w:r>
        <w:rPr>
          <w:rFonts w:ascii="Times New Roman" w:hAnsi="Times New Roman" w:cs="Times New Roman"/>
          <w:vertAlign w:val="superscript"/>
        </w:rPr>
        <w:t>2</w:t>
      </w:r>
      <w:r w:rsidR="00A937FE" w:rsidRPr="00A937FE">
        <w:rPr>
          <w:rFonts w:ascii="Garamond" w:hAnsi="Garamond"/>
          <w:i/>
          <w:iCs/>
          <w:sz w:val="20"/>
          <w:szCs w:val="20"/>
        </w:rPr>
        <w:t xml:space="preserve">Department of Biology Faculty of Sciences, Ibn </w:t>
      </w:r>
      <w:proofErr w:type="spellStart"/>
      <w:r w:rsidR="00A937FE" w:rsidRPr="00A937FE">
        <w:rPr>
          <w:rFonts w:ascii="Garamond" w:hAnsi="Garamond"/>
          <w:i/>
          <w:iCs/>
          <w:sz w:val="20"/>
          <w:szCs w:val="20"/>
        </w:rPr>
        <w:t>Tofail</w:t>
      </w:r>
      <w:proofErr w:type="spellEnd"/>
      <w:r w:rsidR="0082719B">
        <w:rPr>
          <w:rFonts w:ascii="Garamond" w:hAnsi="Garamond"/>
          <w:i/>
          <w:iCs/>
          <w:sz w:val="20"/>
          <w:szCs w:val="20"/>
        </w:rPr>
        <w:t xml:space="preserve"> </w:t>
      </w:r>
      <w:r w:rsidR="0082719B" w:rsidRPr="00A937FE">
        <w:rPr>
          <w:rFonts w:ascii="Garamond" w:hAnsi="Garamond"/>
          <w:i/>
          <w:iCs/>
          <w:sz w:val="20"/>
          <w:szCs w:val="20"/>
        </w:rPr>
        <w:t>University</w:t>
      </w:r>
      <w:r w:rsidR="00A937FE" w:rsidRPr="00A937FE">
        <w:rPr>
          <w:rFonts w:ascii="Garamond" w:hAnsi="Garamond"/>
          <w:i/>
          <w:iCs/>
          <w:sz w:val="20"/>
          <w:szCs w:val="20"/>
        </w:rPr>
        <w:t>, Kenitra, Morocco</w:t>
      </w:r>
      <w:r w:rsidR="00D133F9">
        <w:rPr>
          <w:rFonts w:ascii="Garamond" w:hAnsi="Garamond"/>
          <w:i/>
          <w:iCs/>
          <w:sz w:val="20"/>
          <w:szCs w:val="20"/>
        </w:rPr>
        <w:t xml:space="preserve"> </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42A40409" w14:textId="65E85715" w:rsidR="00F20CA0" w:rsidRDefault="001D4D3C" w:rsidP="00D66B3D">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BB29B3" w:rsidRPr="000B236C">
        <w:rPr>
          <w:rFonts w:ascii="Garamond" w:hAnsi="Garamond" w:cs="Segoe UI"/>
          <w:b/>
          <w:bCs/>
          <w:sz w:val="20"/>
          <w:szCs w:val="20"/>
          <w:shd w:val="clear" w:color="auto" w:fill="FFFFFF"/>
        </w:rPr>
        <w:t>Mostafa</w:t>
      </w:r>
      <w:r w:rsidR="00BB29B3" w:rsidRPr="00BB29B3">
        <w:rPr>
          <w:rFonts w:ascii="Garamond" w:hAnsi="Garamond" w:cs="Segoe UI"/>
          <w:b/>
          <w:bCs/>
          <w:sz w:val="20"/>
          <w:szCs w:val="20"/>
          <w:shd w:val="clear" w:color="auto" w:fill="FFFFFF"/>
        </w:rPr>
        <w:t xml:space="preserve"> Slim</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A937FE" w:rsidRPr="00A937FE">
        <w:rPr>
          <w:rFonts w:ascii="Garamond" w:hAnsi="Garamond"/>
          <w:bCs/>
          <w:sz w:val="20"/>
          <w:szCs w:val="20"/>
        </w:rPr>
        <w:t xml:space="preserve">Department of Biology Faculty of Sciences, University Ibn </w:t>
      </w:r>
      <w:proofErr w:type="spellStart"/>
      <w:r w:rsidR="00A937FE" w:rsidRPr="00A937FE">
        <w:rPr>
          <w:rFonts w:ascii="Garamond" w:hAnsi="Garamond"/>
          <w:bCs/>
          <w:sz w:val="20"/>
          <w:szCs w:val="20"/>
        </w:rPr>
        <w:t>Tofail</w:t>
      </w:r>
      <w:proofErr w:type="spellEnd"/>
      <w:r w:rsidR="00A937FE" w:rsidRPr="00A937FE">
        <w:rPr>
          <w:rFonts w:ascii="Garamond" w:hAnsi="Garamond"/>
          <w:bCs/>
          <w:sz w:val="20"/>
          <w:szCs w:val="20"/>
        </w:rPr>
        <w:t>, Kenitra, Morocco</w:t>
      </w:r>
      <w:r w:rsidR="00A937FE">
        <w:rPr>
          <w:rFonts w:ascii="Garamond" w:hAnsi="Garamond"/>
          <w:bCs/>
          <w:sz w:val="20"/>
          <w:szCs w:val="20"/>
        </w:rPr>
        <w:t>.</w:t>
      </w:r>
      <w:r w:rsidR="00A937FE" w:rsidRPr="00A937FE">
        <w:rPr>
          <w:rFonts w:ascii="Garamond" w:hAnsi="Garamond"/>
          <w:bCs/>
          <w:sz w:val="20"/>
          <w:szCs w:val="20"/>
        </w:rPr>
        <w:t xml:space="preserve"> </w:t>
      </w:r>
      <w:hyperlink r:id="rId8" w:history="1">
        <w:r w:rsidR="007E5F99" w:rsidRPr="00A703B8">
          <w:rPr>
            <w:rStyle w:val="Hyperlink"/>
            <w:rFonts w:ascii="Garamond" w:hAnsi="Garamond"/>
            <w:bCs/>
            <w:sz w:val="20"/>
            <w:szCs w:val="20"/>
          </w:rPr>
          <w:t xml:space="preserve">slimnaoual1974@gmail.com. </w:t>
        </w:r>
        <w:r w:rsidR="007E5F99" w:rsidRPr="00387D94">
          <w:rPr>
            <w:rStyle w:val="Hyperlink"/>
            <w:rFonts w:ascii="Garamond" w:hAnsi="Garamond"/>
            <w:bCs/>
            <w:sz w:val="20"/>
            <w:szCs w:val="20"/>
          </w:rPr>
          <w:t>00212774175766</w:t>
        </w:r>
      </w:hyperlink>
    </w:p>
    <w:p w14:paraId="0C821BC5" w14:textId="77777777" w:rsidR="0097221A" w:rsidRDefault="0097221A" w:rsidP="00D66B3D">
      <w:pPr>
        <w:pBdr>
          <w:bottom w:val="single" w:sz="6" w:space="1" w:color="auto"/>
        </w:pBdr>
        <w:jc w:val="both"/>
        <w:rPr>
          <w:rFonts w:ascii="Garamond" w:hAnsi="Garamond"/>
          <w:bCs/>
          <w:sz w:val="20"/>
          <w:szCs w:val="20"/>
        </w:rPr>
      </w:pPr>
    </w:p>
    <w:p w14:paraId="15BB8056" w14:textId="2A0A50EE"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BE3D43">
        <w:rPr>
          <w:rFonts w:ascii="Garamond" w:hAnsi="Garamond"/>
          <w:sz w:val="16"/>
          <w:szCs w:val="16"/>
        </w:rPr>
        <w:t>19</w:t>
      </w:r>
      <w:r w:rsidR="00943E61" w:rsidRPr="00F30FAF">
        <w:rPr>
          <w:rFonts w:ascii="Garamond" w:hAnsi="Garamond"/>
          <w:sz w:val="16"/>
          <w:szCs w:val="16"/>
        </w:rPr>
        <w:t xml:space="preserve"> </w:t>
      </w:r>
      <w:r w:rsidR="00BE3D43">
        <w:rPr>
          <w:rFonts w:ascii="Garamond" w:hAnsi="Garamond"/>
          <w:sz w:val="16"/>
          <w:szCs w:val="16"/>
        </w:rPr>
        <w:t>September</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BE3D43">
        <w:rPr>
          <w:rFonts w:ascii="Garamond" w:hAnsi="Garamond"/>
          <w:sz w:val="16"/>
          <w:szCs w:val="16"/>
        </w:rPr>
        <w:t>15</w:t>
      </w:r>
      <w:r w:rsidR="00943E61" w:rsidRPr="00F30FAF">
        <w:rPr>
          <w:rFonts w:ascii="Garamond" w:hAnsi="Garamond"/>
          <w:sz w:val="16"/>
          <w:szCs w:val="16"/>
        </w:rPr>
        <w:t xml:space="preserve"> </w:t>
      </w:r>
      <w:r w:rsidR="00BE3D43">
        <w:rPr>
          <w:rFonts w:ascii="Garamond" w:hAnsi="Garamond"/>
          <w:sz w:val="16"/>
          <w:szCs w:val="16"/>
        </w:rPr>
        <w:t>November</w:t>
      </w:r>
      <w:r w:rsidR="00943E61" w:rsidRPr="00F30FAF">
        <w:rPr>
          <w:rFonts w:ascii="Garamond" w:hAnsi="Garamond"/>
          <w:sz w:val="16"/>
          <w:szCs w:val="16"/>
        </w:rPr>
        <w:t xml:space="preserve"> 202</w:t>
      </w:r>
      <w:r w:rsidR="00F30FAF" w:rsidRPr="00F30FAF">
        <w:rPr>
          <w:rFonts w:ascii="Garamond" w:hAnsi="Garamond"/>
          <w:sz w:val="16"/>
          <w:szCs w:val="16"/>
        </w:rPr>
        <w:t>5</w:t>
      </w:r>
      <w:r w:rsidRPr="00F30FAF">
        <w:rPr>
          <w:rFonts w:ascii="Garamond" w:hAnsi="Garamond"/>
          <w:sz w:val="16"/>
          <w:szCs w:val="16"/>
        </w:rPr>
        <w:t>, Accepted for pub</w:t>
      </w:r>
      <w:r w:rsidR="00943E61" w:rsidRPr="00F30FAF">
        <w:rPr>
          <w:rFonts w:ascii="Garamond" w:hAnsi="Garamond"/>
          <w:sz w:val="16"/>
          <w:szCs w:val="16"/>
        </w:rPr>
        <w:t xml:space="preserve">lication </w:t>
      </w:r>
      <w:r w:rsidR="00BE3D43">
        <w:rPr>
          <w:rFonts w:ascii="Garamond" w:hAnsi="Garamond"/>
          <w:sz w:val="16"/>
          <w:szCs w:val="16"/>
        </w:rPr>
        <w:t>11</w:t>
      </w:r>
      <w:r w:rsidR="0023667C" w:rsidRPr="00F30FAF">
        <w:rPr>
          <w:rFonts w:ascii="Garamond" w:hAnsi="Garamond"/>
          <w:sz w:val="16"/>
          <w:szCs w:val="16"/>
        </w:rPr>
        <w:t xml:space="preserve"> </w:t>
      </w:r>
      <w:r w:rsidR="007E2794">
        <w:rPr>
          <w:rFonts w:ascii="Garamond" w:hAnsi="Garamond"/>
          <w:sz w:val="16"/>
          <w:szCs w:val="16"/>
        </w:rPr>
        <w:t>December</w:t>
      </w:r>
      <w:r w:rsidRPr="00F30FAF">
        <w:rPr>
          <w:rFonts w:ascii="Garamond" w:hAnsi="Garamond"/>
          <w:sz w:val="16"/>
          <w:szCs w:val="16"/>
        </w:rPr>
        <w:t xml:space="preserve"> 202</w:t>
      </w:r>
      <w:r w:rsidR="00491DAB" w:rsidRPr="00F30FAF">
        <w:rPr>
          <w:rFonts w:ascii="Garamond" w:hAnsi="Garamond"/>
          <w:sz w:val="16"/>
          <w:szCs w:val="16"/>
        </w:rPr>
        <w:t>5</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0855FBF1" w:rsidR="006732D7" w:rsidRPr="000931E7" w:rsidRDefault="0005619D" w:rsidP="006732D7">
      <w:pPr>
        <w:jc w:val="both"/>
        <w:rPr>
          <w:rFonts w:ascii="Garamond" w:hAnsi="Garamond"/>
          <w:sz w:val="22"/>
          <w:szCs w:val="22"/>
        </w:rPr>
      </w:pPr>
      <w:r w:rsidRPr="000931E7">
        <w:rPr>
          <w:rFonts w:ascii="Garamond" w:hAnsi="Garamond"/>
          <w:b/>
          <w:sz w:val="22"/>
          <w:szCs w:val="20"/>
        </w:rPr>
        <w:t>ABSTRACT</w:t>
      </w:r>
    </w:p>
    <w:p w14:paraId="4AAF3316" w14:textId="05BF5B67" w:rsidR="00A57EED" w:rsidRPr="00A57EED" w:rsidRDefault="0017507F" w:rsidP="00A57EED">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A57EED" w:rsidRPr="00A57EED">
        <w:rPr>
          <w:rFonts w:ascii="Garamond" w:eastAsiaTheme="minorHAnsi" w:hAnsi="Garamond" w:cstheme="minorHAnsi"/>
          <w:bCs/>
          <w:sz w:val="20"/>
          <w:szCs w:val="20"/>
        </w:rPr>
        <w:t xml:space="preserve"> In the field of health, therapeutic education has emerged as a fundamental tool enabling patients to gain greater autonomy, improve their personal management of their illness, while taking into account their needs, resources, values, and approaches. </w:t>
      </w:r>
    </w:p>
    <w:p w14:paraId="3E47B72C" w14:textId="767B8505" w:rsidR="00A57EED" w:rsidRPr="00A57EED" w:rsidRDefault="00A57EED" w:rsidP="00A57EED">
      <w:pPr>
        <w:jc w:val="both"/>
        <w:rPr>
          <w:rFonts w:ascii="Garamond" w:eastAsiaTheme="minorHAnsi" w:hAnsi="Garamond" w:cstheme="minorHAnsi"/>
          <w:bCs/>
          <w:sz w:val="20"/>
          <w:szCs w:val="20"/>
        </w:rPr>
      </w:pPr>
      <w:r w:rsidRPr="00A57EED">
        <w:rPr>
          <w:rFonts w:ascii="Garamond" w:eastAsiaTheme="minorHAnsi" w:hAnsi="Garamond" w:cstheme="minorHAnsi"/>
          <w:b/>
          <w:bCs/>
          <w:sz w:val="20"/>
          <w:szCs w:val="20"/>
        </w:rPr>
        <w:t>Objective</w:t>
      </w:r>
      <w:r w:rsidRPr="00A57EED">
        <w:rPr>
          <w:rFonts w:ascii="Garamond" w:eastAsiaTheme="minorHAnsi" w:hAnsi="Garamond" w:cstheme="minorHAnsi"/>
          <w:bCs/>
          <w:sz w:val="20"/>
          <w:szCs w:val="20"/>
        </w:rPr>
        <w:t xml:space="preserve">: This study aimed to analyze the curative elements mentioned in the accounts of members of a group of diabetic patients, as well as to assess the current state of practices related to injection techniques among these patients </w:t>
      </w:r>
      <w:r w:rsidR="007E5F99">
        <w:rPr>
          <w:rFonts w:ascii="Garamond" w:eastAsiaTheme="minorHAnsi" w:hAnsi="Garamond" w:cstheme="minorHAnsi"/>
          <w:bCs/>
          <w:sz w:val="20"/>
          <w:szCs w:val="20"/>
        </w:rPr>
        <w:t>on</w:t>
      </w:r>
      <w:r w:rsidRPr="00A57EED">
        <w:rPr>
          <w:rFonts w:ascii="Garamond" w:eastAsiaTheme="minorHAnsi" w:hAnsi="Garamond" w:cstheme="minorHAnsi"/>
          <w:bCs/>
          <w:sz w:val="20"/>
          <w:szCs w:val="20"/>
        </w:rPr>
        <w:t xml:space="preserve"> insulin.</w:t>
      </w:r>
    </w:p>
    <w:p w14:paraId="604AE734" w14:textId="77777777" w:rsidR="00A57EED" w:rsidRPr="00A57EED" w:rsidRDefault="00A57EED" w:rsidP="00A57EED">
      <w:pPr>
        <w:jc w:val="both"/>
        <w:rPr>
          <w:rFonts w:ascii="Garamond" w:eastAsiaTheme="minorHAnsi" w:hAnsi="Garamond" w:cstheme="minorHAnsi"/>
          <w:bCs/>
          <w:sz w:val="20"/>
          <w:szCs w:val="20"/>
        </w:rPr>
      </w:pPr>
      <w:r w:rsidRPr="00A57EED">
        <w:rPr>
          <w:rFonts w:ascii="Garamond" w:eastAsiaTheme="minorHAnsi" w:hAnsi="Garamond" w:cstheme="minorHAnsi"/>
          <w:b/>
          <w:bCs/>
          <w:sz w:val="20"/>
          <w:szCs w:val="20"/>
        </w:rPr>
        <w:t>Methods</w:t>
      </w:r>
      <w:r w:rsidRPr="00A57EED">
        <w:rPr>
          <w:rFonts w:ascii="Garamond" w:eastAsiaTheme="minorHAnsi" w:hAnsi="Garamond" w:cstheme="minorHAnsi"/>
          <w:bCs/>
          <w:sz w:val="20"/>
          <w:szCs w:val="20"/>
        </w:rPr>
        <w:t xml:space="preserve">: This cross-sectional study was conducted with 100 diabetic participants from the city of Kénitra. Each patient answered questions on the injection technique questionnaire. </w:t>
      </w:r>
    </w:p>
    <w:p w14:paraId="34949606" w14:textId="77777777" w:rsidR="00A57EED" w:rsidRPr="00A57EED" w:rsidRDefault="00A57EED" w:rsidP="00A57EED">
      <w:pPr>
        <w:jc w:val="both"/>
        <w:rPr>
          <w:rFonts w:ascii="Garamond" w:eastAsiaTheme="minorHAnsi" w:hAnsi="Garamond" w:cstheme="minorHAnsi"/>
          <w:bCs/>
          <w:sz w:val="20"/>
          <w:szCs w:val="20"/>
        </w:rPr>
      </w:pPr>
      <w:r w:rsidRPr="00A57EED">
        <w:rPr>
          <w:rFonts w:ascii="Garamond" w:eastAsiaTheme="minorHAnsi" w:hAnsi="Garamond" w:cstheme="minorHAnsi"/>
          <w:b/>
          <w:bCs/>
          <w:sz w:val="20"/>
          <w:szCs w:val="20"/>
        </w:rPr>
        <w:t>Results</w:t>
      </w:r>
      <w:r w:rsidRPr="00A57EED">
        <w:rPr>
          <w:rFonts w:ascii="Garamond" w:eastAsiaTheme="minorHAnsi" w:hAnsi="Garamond" w:cstheme="minorHAnsi"/>
          <w:bCs/>
          <w:sz w:val="20"/>
          <w:szCs w:val="20"/>
        </w:rPr>
        <w:t>: 70.8% of participants were type 2 diabetic patients, compared to 23.6% who have type 1. Two modes of insulin injection were reported, one is subcutaneous, the other is intramuscular, with 66.0% and 28.3% respectively. A very high proportion of participants reported that they vary their insulin injection sites, at 84.9%. Regular cleaning of the injection site is only reported by 25.5%, compared to 68.9% who do it sometimes, and the adjustment of insulin dosage according to meals shows only a low proportion.</w:t>
      </w:r>
    </w:p>
    <w:p w14:paraId="434C3FBE" w14:textId="77777777" w:rsidR="00A57EED" w:rsidRPr="00A57EED" w:rsidRDefault="00A57EED" w:rsidP="00A57EED">
      <w:pPr>
        <w:jc w:val="both"/>
        <w:rPr>
          <w:rFonts w:ascii="Garamond" w:eastAsiaTheme="minorHAnsi" w:hAnsi="Garamond" w:cstheme="minorHAnsi"/>
          <w:bCs/>
          <w:sz w:val="20"/>
          <w:szCs w:val="20"/>
        </w:rPr>
      </w:pPr>
      <w:r w:rsidRPr="00A57EED">
        <w:rPr>
          <w:rFonts w:ascii="Garamond" w:eastAsiaTheme="minorHAnsi" w:hAnsi="Garamond" w:cstheme="minorHAnsi"/>
          <w:b/>
          <w:bCs/>
          <w:sz w:val="20"/>
          <w:szCs w:val="20"/>
        </w:rPr>
        <w:t>Conclusion</w:t>
      </w:r>
      <w:r w:rsidRPr="00A57EED">
        <w:rPr>
          <w:rFonts w:ascii="Garamond" w:eastAsiaTheme="minorHAnsi" w:hAnsi="Garamond" w:cstheme="minorHAnsi"/>
          <w:bCs/>
          <w:sz w:val="20"/>
          <w:szCs w:val="20"/>
        </w:rPr>
        <w:t>: This article highlights the essential importance of therapeutic education in the management of diabetes, thus contributing to better health. It supports patients in acquiring self-care skills, managing diabetes, and controlling their blood sugar levels. Health authorities are required to regularly organize training sessions and appropriate evaluations in order to improve the knowledge, attitudes, and behaviors of diabetic patients regarding insulin administration.</w:t>
      </w:r>
    </w:p>
    <w:p w14:paraId="6FD65ADD" w14:textId="77777777" w:rsidR="00A57EED" w:rsidRDefault="00A57EED" w:rsidP="00A57EED">
      <w:pPr>
        <w:jc w:val="both"/>
        <w:rPr>
          <w:rFonts w:ascii="Garamond" w:eastAsiaTheme="minorHAnsi" w:hAnsi="Garamond" w:cstheme="minorHAnsi"/>
          <w:b/>
          <w:bCs/>
          <w:sz w:val="20"/>
          <w:szCs w:val="20"/>
        </w:rPr>
      </w:pPr>
    </w:p>
    <w:p w14:paraId="5D805B50" w14:textId="5BCD58D9" w:rsidR="00FA3868" w:rsidRPr="00FA3868" w:rsidRDefault="00A57EED" w:rsidP="00A57EED">
      <w:pPr>
        <w:jc w:val="both"/>
        <w:rPr>
          <w:rFonts w:ascii="Garamond" w:eastAsiaTheme="minorHAnsi" w:hAnsi="Garamond" w:cstheme="minorHAnsi"/>
          <w:bCs/>
          <w:sz w:val="20"/>
          <w:szCs w:val="20"/>
        </w:rPr>
      </w:pPr>
      <w:r w:rsidRPr="00A57EED">
        <w:rPr>
          <w:rFonts w:ascii="Garamond" w:eastAsiaTheme="minorHAnsi" w:hAnsi="Garamond" w:cstheme="minorHAnsi"/>
          <w:b/>
          <w:bCs/>
          <w:sz w:val="20"/>
          <w:szCs w:val="20"/>
        </w:rPr>
        <w:t>Keywords</w:t>
      </w:r>
      <w:r w:rsidRPr="00A57EED">
        <w:rPr>
          <w:rFonts w:ascii="Garamond" w:eastAsiaTheme="minorHAnsi" w:hAnsi="Garamond" w:cstheme="minorHAnsi"/>
          <w:bCs/>
          <w:sz w:val="20"/>
          <w:szCs w:val="20"/>
        </w:rPr>
        <w:t>: Patient education, Glycemic control, Insulin, Diabetes.</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05619D">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147"/>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3306260E"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0788FC49">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3B402A07" w14:textId="77777777" w:rsidR="006732D7" w:rsidRDefault="000720E5" w:rsidP="006732D7">
      <w:pPr>
        <w:jc w:val="both"/>
        <w:rPr>
          <w:rFonts w:ascii="Garamond" w:hAnsi="Garamond"/>
          <w:b/>
          <w:sz w:val="22"/>
          <w:szCs w:val="20"/>
        </w:r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08142D6B">
                <wp:simplePos x="0" y="0"/>
                <wp:positionH relativeFrom="margin">
                  <wp:posOffset>3254829</wp:posOffset>
                </wp:positionH>
                <wp:positionV relativeFrom="paragraph">
                  <wp:posOffset>25037</wp:posOffset>
                </wp:positionV>
                <wp:extent cx="2671639" cy="1088572"/>
                <wp:effectExtent l="0" t="0" r="8255" b="16510"/>
                <wp:wrapNone/>
                <wp:docPr id="8" name="Text Box 8"/>
                <wp:cNvGraphicFramePr/>
                <a:graphic xmlns:a="http://schemas.openxmlformats.org/drawingml/2006/main">
                  <a:graphicData uri="http://schemas.microsoft.com/office/word/2010/wordprocessingShape">
                    <wps:wsp>
                      <wps:cNvSpPr txBox="1"/>
                      <wps:spPr>
                        <a:xfrm>
                          <a:off x="0" y="0"/>
                          <a:ext cx="2671639" cy="1088572"/>
                        </a:xfrm>
                        <a:prstGeom prst="rect">
                          <a:avLst/>
                        </a:prstGeom>
                        <a:solidFill>
                          <a:sysClr val="window" lastClr="FFFFFF"/>
                        </a:solidFill>
                        <a:ln w="6350">
                          <a:solidFill>
                            <a:srgbClr val="70AD47">
                              <a:lumMod val="75000"/>
                            </a:srgbClr>
                          </a:solidFill>
                        </a:ln>
                      </wps:spPr>
                      <wps:txbx>
                        <w:txbxContent>
                          <w:p w14:paraId="4023E1C2" w14:textId="3B9897C8" w:rsidR="0005619D" w:rsidRPr="008D4B15" w:rsidRDefault="00FF4192" w:rsidP="0005619D">
                            <w:pPr>
                              <w:textAlignment w:val="baseline"/>
                              <w:rPr>
                                <w:rFonts w:ascii="Garamond" w:eastAsia="Times New Roman" w:hAnsi="Garamond" w:cs="Times New Roman"/>
                                <w:sz w:val="20"/>
                                <w:szCs w:val="20"/>
                                <w:lang w:val="en-NG" w:eastAsia="en-GB"/>
                              </w:rPr>
                            </w:pPr>
                            <w:proofErr w:type="spellStart"/>
                            <w:r w:rsidRPr="00FF4192">
                              <w:rPr>
                                <w:rFonts w:ascii="Garamond" w:hAnsi="Garamond" w:cs="Segoe UI"/>
                                <w:bCs/>
                                <w:i/>
                                <w:iCs/>
                                <w:sz w:val="22"/>
                                <w:szCs w:val="22"/>
                                <w:shd w:val="clear" w:color="auto" w:fill="FFFFFF"/>
                              </w:rPr>
                              <w:t>Taouda</w:t>
                            </w:r>
                            <w:proofErr w:type="spellEnd"/>
                            <w:r w:rsidRPr="00FF4192">
                              <w:rPr>
                                <w:rFonts w:ascii="Garamond" w:hAnsi="Garamond" w:cs="Segoe UI"/>
                                <w:bCs/>
                                <w:i/>
                                <w:iCs/>
                                <w:sz w:val="22"/>
                                <w:szCs w:val="22"/>
                                <w:shd w:val="clear" w:color="auto" w:fill="FFFFFF"/>
                              </w:rPr>
                              <w:t xml:space="preserve"> H, </w:t>
                            </w:r>
                            <w:r w:rsidRPr="00FF4192">
                              <w:rPr>
                                <w:rFonts w:ascii="Garamond" w:hAnsi="Garamond" w:cs="Segoe UI"/>
                                <w:bCs/>
                                <w:i/>
                                <w:iCs/>
                                <w:sz w:val="22"/>
                                <w:szCs w:val="22"/>
                                <w:shd w:val="clear" w:color="auto" w:fill="FFFFFF"/>
                                <w:lang w:val="en-GB"/>
                              </w:rPr>
                              <w:t xml:space="preserve">Bouazza G, </w:t>
                            </w:r>
                            <w:r w:rsidRPr="00FF4192">
                              <w:rPr>
                                <w:rFonts w:ascii="Garamond" w:hAnsi="Garamond" w:cs="Segoe UI"/>
                                <w:bCs/>
                                <w:i/>
                                <w:iCs/>
                                <w:sz w:val="22"/>
                                <w:szCs w:val="22"/>
                                <w:shd w:val="clear" w:color="auto" w:fill="FFFFFF"/>
                              </w:rPr>
                              <w:t xml:space="preserve">Slim M. </w:t>
                            </w:r>
                            <w:r w:rsidR="001E674D" w:rsidRPr="00A57EED">
                              <w:rPr>
                                <w:rFonts w:ascii="Garamond" w:hAnsi="Garamond" w:cs="Segoe UI"/>
                                <w:bCs/>
                                <w:sz w:val="22"/>
                                <w:szCs w:val="22"/>
                                <w:shd w:val="clear" w:color="auto" w:fill="FFFFFF"/>
                              </w:rPr>
                              <w:t>Evaluation of therapeutic education in diabetic patients in the city of Kenitra (Morocco):</w:t>
                            </w:r>
                            <w:r w:rsidR="001E674D" w:rsidRPr="00FF4192">
                              <w:rPr>
                                <w:rFonts w:ascii="Garamond" w:hAnsi="Garamond" w:cs="Segoe UI"/>
                                <w:bCs/>
                                <w:sz w:val="22"/>
                                <w:szCs w:val="22"/>
                                <w:shd w:val="clear" w:color="auto" w:fill="FFFFFF"/>
                              </w:rPr>
                              <w:t xml:space="preserve"> </w:t>
                            </w:r>
                            <w:r w:rsidR="001E674D" w:rsidRPr="00A57EED">
                              <w:rPr>
                                <w:rFonts w:ascii="Garamond" w:hAnsi="Garamond" w:cs="Segoe UI"/>
                                <w:bCs/>
                                <w:sz w:val="22"/>
                                <w:szCs w:val="22"/>
                                <w:shd w:val="clear" w:color="auto" w:fill="FFFFFF"/>
                              </w:rPr>
                              <w:t>A cross-sectional study</w:t>
                            </w:r>
                            <w:r w:rsidR="001E674D" w:rsidRPr="00FF4192">
                              <w:rPr>
                                <w:rFonts w:ascii="Garamond" w:hAnsi="Garamond" w:cs="Segoe UI"/>
                                <w:bCs/>
                                <w:sz w:val="22"/>
                                <w:szCs w:val="22"/>
                                <w:shd w:val="clear" w:color="auto" w:fill="FFFFFF"/>
                              </w:rPr>
                              <w:t xml:space="preserve">. </w:t>
                            </w:r>
                            <w:r w:rsidR="00576722" w:rsidRPr="00FF4192">
                              <w:rPr>
                                <w:rFonts w:ascii="Garamond" w:hAnsi="Garamond" w:cs="Segoe UI"/>
                                <w:bCs/>
                                <w:color w:val="000000" w:themeColor="text1"/>
                                <w:sz w:val="22"/>
                                <w:szCs w:val="22"/>
                                <w:shd w:val="clear" w:color="auto" w:fill="FFFFFF"/>
                              </w:rPr>
                              <w:t>The Nigerian Health Journal 202</w:t>
                            </w:r>
                            <w:r w:rsidR="00397C0F">
                              <w:rPr>
                                <w:rFonts w:ascii="Garamond" w:hAnsi="Garamond" w:cs="Segoe UI"/>
                                <w:bCs/>
                                <w:color w:val="000000" w:themeColor="text1"/>
                                <w:sz w:val="22"/>
                                <w:szCs w:val="22"/>
                                <w:shd w:val="clear" w:color="auto" w:fill="FFFFFF"/>
                              </w:rPr>
                              <w:t>6</w:t>
                            </w:r>
                            <w:r w:rsidR="00576722" w:rsidRPr="00FF4192">
                              <w:rPr>
                                <w:rFonts w:ascii="Garamond" w:hAnsi="Garamond" w:cs="Segoe UI"/>
                                <w:bCs/>
                                <w:color w:val="000000" w:themeColor="text1"/>
                                <w:sz w:val="22"/>
                                <w:szCs w:val="22"/>
                                <w:shd w:val="clear" w:color="auto" w:fill="FFFFFF"/>
                              </w:rPr>
                              <w:t>; 2</w:t>
                            </w:r>
                            <w:r w:rsidR="00397C0F">
                              <w:rPr>
                                <w:rFonts w:ascii="Garamond" w:hAnsi="Garamond" w:cs="Segoe UI"/>
                                <w:bCs/>
                                <w:color w:val="000000" w:themeColor="text1"/>
                                <w:sz w:val="22"/>
                                <w:szCs w:val="22"/>
                                <w:shd w:val="clear" w:color="auto" w:fill="FFFFFF"/>
                              </w:rPr>
                              <w:t>6</w:t>
                            </w:r>
                            <w:r w:rsidR="00576722" w:rsidRPr="00FF4192">
                              <w:rPr>
                                <w:rFonts w:ascii="Garamond" w:hAnsi="Garamond" w:cs="Segoe UI"/>
                                <w:bCs/>
                                <w:color w:val="000000" w:themeColor="text1"/>
                                <w:sz w:val="22"/>
                                <w:szCs w:val="22"/>
                                <w:shd w:val="clear" w:color="auto" w:fill="FFFFFF"/>
                              </w:rPr>
                              <w:t>(</w:t>
                            </w:r>
                            <w:r w:rsidR="00397C0F">
                              <w:rPr>
                                <w:rFonts w:ascii="Garamond" w:hAnsi="Garamond" w:cs="Segoe UI"/>
                                <w:bCs/>
                                <w:color w:val="000000" w:themeColor="text1"/>
                                <w:sz w:val="22"/>
                                <w:szCs w:val="22"/>
                                <w:shd w:val="clear" w:color="auto" w:fill="FFFFFF"/>
                              </w:rPr>
                              <w:t>1</w:t>
                            </w:r>
                            <w:r w:rsidR="00576722" w:rsidRPr="00FF4192">
                              <w:rPr>
                                <w:rFonts w:ascii="Garamond" w:hAnsi="Garamond" w:cs="Segoe UI"/>
                                <w:bCs/>
                                <w:color w:val="000000" w:themeColor="text1"/>
                                <w:sz w:val="22"/>
                                <w:szCs w:val="22"/>
                                <w:shd w:val="clear" w:color="auto" w:fill="FFFFFF"/>
                              </w:rPr>
                              <w:t>)</w:t>
                            </w:r>
                            <w:r w:rsidR="0005619D">
                              <w:rPr>
                                <w:rFonts w:ascii="Garamond" w:hAnsi="Garamond" w:cs="Segoe UI"/>
                                <w:bCs/>
                                <w:color w:val="000000" w:themeColor="text1"/>
                                <w:sz w:val="22"/>
                                <w:szCs w:val="22"/>
                                <w:shd w:val="clear" w:color="auto" w:fill="FFFFFF"/>
                              </w:rPr>
                              <w:t xml:space="preserve">: 147 – 157. </w:t>
                            </w:r>
                            <w:hyperlink r:id="rId22" w:history="1">
                              <w:r w:rsidR="0005619D" w:rsidRPr="008D4B15">
                                <w:rPr>
                                  <w:rStyle w:val="Hyperlink"/>
                                  <w:rFonts w:ascii="Garamond" w:hAnsi="Garamond" w:cs="Arial"/>
                                  <w:sz w:val="20"/>
                                  <w:szCs w:val="20"/>
                                </w:rPr>
                                <w:t>https://doi.org/10.71637/tnhj.v26i1.1224</w:t>
                              </w:r>
                            </w:hyperlink>
                          </w:p>
                          <w:p w14:paraId="65562D4D" w14:textId="6FAC1CF8" w:rsidR="00576722" w:rsidRPr="00FF4192" w:rsidRDefault="00576722" w:rsidP="0005619D">
                            <w:pPr>
                              <w:pBdr>
                                <w:bottom w:val="single" w:sz="6" w:space="1" w:color="auto"/>
                              </w:pBdr>
                              <w:rPr>
                                <w:rFonts w:ascii="Garamond" w:hAnsi="Garamond" w:cs="Segoe UI"/>
                                <w:bCs/>
                                <w:i/>
                                <w:iCs/>
                                <w:sz w:val="22"/>
                                <w:szCs w:val="22"/>
                                <w:shd w:val="clear" w:color="auto" w:fill="FFFFFF"/>
                                <w:lang w:val="en-GB"/>
                              </w:rPr>
                            </w:pPr>
                          </w:p>
                          <w:p w14:paraId="68F037F5" w14:textId="77777777" w:rsidR="00DD3D36" w:rsidRPr="000720E5" w:rsidRDefault="00DD3D36" w:rsidP="0005619D">
                            <w:pPr>
                              <w:pBdr>
                                <w:bottom w:val="single" w:sz="6" w:space="1" w:color="auto"/>
                              </w:pBdr>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95pt;width:210.35pt;height:85.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" fillcolor="window" strokecolor="#548235" strokeweight=".5pt">
                <v:textbox>
                  <w:txbxContent>
                    <w:p w14:paraId="4023E1C2" w14:textId="3B9897C8" w:rsidR="0005619D" w:rsidRPr="008D4B15" w:rsidRDefault="00FF4192" w:rsidP="0005619D">
                      <w:pPr>
                        <w:textAlignment w:val="baseline"/>
                        <w:rPr>
                          <w:rFonts w:ascii="Garamond" w:eastAsia="Times New Roman" w:hAnsi="Garamond" w:cs="Times New Roman"/>
                          <w:sz w:val="20"/>
                          <w:szCs w:val="20"/>
                          <w:lang w:val="en-NG" w:eastAsia="en-GB"/>
                        </w:rPr>
                      </w:pPr>
                      <w:proofErr w:type="spellStart"/>
                      <w:r w:rsidRPr="00FF4192">
                        <w:rPr>
                          <w:rFonts w:ascii="Garamond" w:hAnsi="Garamond" w:cs="Segoe UI"/>
                          <w:bCs/>
                          <w:i/>
                          <w:iCs/>
                          <w:sz w:val="22"/>
                          <w:szCs w:val="22"/>
                          <w:shd w:val="clear" w:color="auto" w:fill="FFFFFF"/>
                        </w:rPr>
                        <w:t>Taouda</w:t>
                      </w:r>
                      <w:proofErr w:type="spellEnd"/>
                      <w:r w:rsidRPr="00FF4192">
                        <w:rPr>
                          <w:rFonts w:ascii="Garamond" w:hAnsi="Garamond" w:cs="Segoe UI"/>
                          <w:bCs/>
                          <w:i/>
                          <w:iCs/>
                          <w:sz w:val="22"/>
                          <w:szCs w:val="22"/>
                          <w:shd w:val="clear" w:color="auto" w:fill="FFFFFF"/>
                        </w:rPr>
                        <w:t xml:space="preserve"> H, </w:t>
                      </w:r>
                      <w:r w:rsidRPr="00FF4192">
                        <w:rPr>
                          <w:rFonts w:ascii="Garamond" w:hAnsi="Garamond" w:cs="Segoe UI"/>
                          <w:bCs/>
                          <w:i/>
                          <w:iCs/>
                          <w:sz w:val="22"/>
                          <w:szCs w:val="22"/>
                          <w:shd w:val="clear" w:color="auto" w:fill="FFFFFF"/>
                          <w:lang w:val="en-GB"/>
                        </w:rPr>
                        <w:t xml:space="preserve">Bouazza G, </w:t>
                      </w:r>
                      <w:r w:rsidRPr="00FF4192">
                        <w:rPr>
                          <w:rFonts w:ascii="Garamond" w:hAnsi="Garamond" w:cs="Segoe UI"/>
                          <w:bCs/>
                          <w:i/>
                          <w:iCs/>
                          <w:sz w:val="22"/>
                          <w:szCs w:val="22"/>
                          <w:shd w:val="clear" w:color="auto" w:fill="FFFFFF"/>
                        </w:rPr>
                        <w:t xml:space="preserve">Slim M. </w:t>
                      </w:r>
                      <w:r w:rsidR="001E674D" w:rsidRPr="00A57EED">
                        <w:rPr>
                          <w:rFonts w:ascii="Garamond" w:hAnsi="Garamond" w:cs="Segoe UI"/>
                          <w:bCs/>
                          <w:sz w:val="22"/>
                          <w:szCs w:val="22"/>
                          <w:shd w:val="clear" w:color="auto" w:fill="FFFFFF"/>
                        </w:rPr>
                        <w:t>Evaluation of therapeutic education in diabetic patients in the city of Kenitra (Morocco):</w:t>
                      </w:r>
                      <w:r w:rsidR="001E674D" w:rsidRPr="00FF4192">
                        <w:rPr>
                          <w:rFonts w:ascii="Garamond" w:hAnsi="Garamond" w:cs="Segoe UI"/>
                          <w:bCs/>
                          <w:sz w:val="22"/>
                          <w:szCs w:val="22"/>
                          <w:shd w:val="clear" w:color="auto" w:fill="FFFFFF"/>
                        </w:rPr>
                        <w:t xml:space="preserve"> </w:t>
                      </w:r>
                      <w:r w:rsidR="001E674D" w:rsidRPr="00A57EED">
                        <w:rPr>
                          <w:rFonts w:ascii="Garamond" w:hAnsi="Garamond" w:cs="Segoe UI"/>
                          <w:bCs/>
                          <w:sz w:val="22"/>
                          <w:szCs w:val="22"/>
                          <w:shd w:val="clear" w:color="auto" w:fill="FFFFFF"/>
                        </w:rPr>
                        <w:t>A cross-sectional study</w:t>
                      </w:r>
                      <w:r w:rsidR="001E674D" w:rsidRPr="00FF4192">
                        <w:rPr>
                          <w:rFonts w:ascii="Garamond" w:hAnsi="Garamond" w:cs="Segoe UI"/>
                          <w:bCs/>
                          <w:sz w:val="22"/>
                          <w:szCs w:val="22"/>
                          <w:shd w:val="clear" w:color="auto" w:fill="FFFFFF"/>
                        </w:rPr>
                        <w:t xml:space="preserve">. </w:t>
                      </w:r>
                      <w:r w:rsidR="00576722" w:rsidRPr="00FF4192">
                        <w:rPr>
                          <w:rFonts w:ascii="Garamond" w:hAnsi="Garamond" w:cs="Segoe UI"/>
                          <w:bCs/>
                          <w:color w:val="000000" w:themeColor="text1"/>
                          <w:sz w:val="22"/>
                          <w:szCs w:val="22"/>
                          <w:shd w:val="clear" w:color="auto" w:fill="FFFFFF"/>
                        </w:rPr>
                        <w:t>The Nigerian Health Journal 202</w:t>
                      </w:r>
                      <w:r w:rsidR="00397C0F">
                        <w:rPr>
                          <w:rFonts w:ascii="Garamond" w:hAnsi="Garamond" w:cs="Segoe UI"/>
                          <w:bCs/>
                          <w:color w:val="000000" w:themeColor="text1"/>
                          <w:sz w:val="22"/>
                          <w:szCs w:val="22"/>
                          <w:shd w:val="clear" w:color="auto" w:fill="FFFFFF"/>
                        </w:rPr>
                        <w:t>6</w:t>
                      </w:r>
                      <w:r w:rsidR="00576722" w:rsidRPr="00FF4192">
                        <w:rPr>
                          <w:rFonts w:ascii="Garamond" w:hAnsi="Garamond" w:cs="Segoe UI"/>
                          <w:bCs/>
                          <w:color w:val="000000" w:themeColor="text1"/>
                          <w:sz w:val="22"/>
                          <w:szCs w:val="22"/>
                          <w:shd w:val="clear" w:color="auto" w:fill="FFFFFF"/>
                        </w:rPr>
                        <w:t>; 2</w:t>
                      </w:r>
                      <w:r w:rsidR="00397C0F">
                        <w:rPr>
                          <w:rFonts w:ascii="Garamond" w:hAnsi="Garamond" w:cs="Segoe UI"/>
                          <w:bCs/>
                          <w:color w:val="000000" w:themeColor="text1"/>
                          <w:sz w:val="22"/>
                          <w:szCs w:val="22"/>
                          <w:shd w:val="clear" w:color="auto" w:fill="FFFFFF"/>
                        </w:rPr>
                        <w:t>6</w:t>
                      </w:r>
                      <w:r w:rsidR="00576722" w:rsidRPr="00FF4192">
                        <w:rPr>
                          <w:rFonts w:ascii="Garamond" w:hAnsi="Garamond" w:cs="Segoe UI"/>
                          <w:bCs/>
                          <w:color w:val="000000" w:themeColor="text1"/>
                          <w:sz w:val="22"/>
                          <w:szCs w:val="22"/>
                          <w:shd w:val="clear" w:color="auto" w:fill="FFFFFF"/>
                        </w:rPr>
                        <w:t>(</w:t>
                      </w:r>
                      <w:r w:rsidR="00397C0F">
                        <w:rPr>
                          <w:rFonts w:ascii="Garamond" w:hAnsi="Garamond" w:cs="Segoe UI"/>
                          <w:bCs/>
                          <w:color w:val="000000" w:themeColor="text1"/>
                          <w:sz w:val="22"/>
                          <w:szCs w:val="22"/>
                          <w:shd w:val="clear" w:color="auto" w:fill="FFFFFF"/>
                        </w:rPr>
                        <w:t>1</w:t>
                      </w:r>
                      <w:r w:rsidR="00576722" w:rsidRPr="00FF4192">
                        <w:rPr>
                          <w:rFonts w:ascii="Garamond" w:hAnsi="Garamond" w:cs="Segoe UI"/>
                          <w:bCs/>
                          <w:color w:val="000000" w:themeColor="text1"/>
                          <w:sz w:val="22"/>
                          <w:szCs w:val="22"/>
                          <w:shd w:val="clear" w:color="auto" w:fill="FFFFFF"/>
                        </w:rPr>
                        <w:t>)</w:t>
                      </w:r>
                      <w:r w:rsidR="0005619D">
                        <w:rPr>
                          <w:rFonts w:ascii="Garamond" w:hAnsi="Garamond" w:cs="Segoe UI"/>
                          <w:bCs/>
                          <w:color w:val="000000" w:themeColor="text1"/>
                          <w:sz w:val="22"/>
                          <w:szCs w:val="22"/>
                          <w:shd w:val="clear" w:color="auto" w:fill="FFFFFF"/>
                        </w:rPr>
                        <w:t xml:space="preserve">: 147 – 157. </w:t>
                      </w:r>
                      <w:hyperlink r:id="rId23" w:history="1">
                        <w:r w:rsidR="0005619D" w:rsidRPr="008D4B15">
                          <w:rPr>
                            <w:rStyle w:val="Hyperlink"/>
                            <w:rFonts w:ascii="Garamond" w:hAnsi="Garamond" w:cs="Arial"/>
                            <w:sz w:val="20"/>
                            <w:szCs w:val="20"/>
                          </w:rPr>
                          <w:t>https://doi.org/10.71637/tnhj.v26i1.1224</w:t>
                        </w:r>
                      </w:hyperlink>
                    </w:p>
                    <w:p w14:paraId="65562D4D" w14:textId="6FAC1CF8" w:rsidR="00576722" w:rsidRPr="00FF4192" w:rsidRDefault="00576722" w:rsidP="0005619D">
                      <w:pPr>
                        <w:pBdr>
                          <w:bottom w:val="single" w:sz="6" w:space="1" w:color="auto"/>
                        </w:pBdr>
                        <w:rPr>
                          <w:rFonts w:ascii="Garamond" w:hAnsi="Garamond" w:cs="Segoe UI"/>
                          <w:bCs/>
                          <w:i/>
                          <w:iCs/>
                          <w:sz w:val="22"/>
                          <w:szCs w:val="22"/>
                          <w:shd w:val="clear" w:color="auto" w:fill="FFFFFF"/>
                          <w:lang w:val="en-GB"/>
                        </w:rPr>
                      </w:pPr>
                    </w:p>
                    <w:p w14:paraId="68F037F5" w14:textId="77777777" w:rsidR="00DD3D36" w:rsidRPr="000720E5" w:rsidRDefault="00DD3D36" w:rsidP="0005619D">
                      <w:pPr>
                        <w:pBdr>
                          <w:bottom w:val="single" w:sz="6" w:space="1" w:color="auto"/>
                        </w:pBdr>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38FFB12A" w14:textId="77777777" w:rsidR="00397C0F" w:rsidRPr="00397C0F" w:rsidRDefault="00397C0F" w:rsidP="00397C0F">
      <w:pPr>
        <w:rPr>
          <w:rFonts w:ascii="Garamond" w:hAnsi="Garamond"/>
          <w:sz w:val="22"/>
          <w:szCs w:val="20"/>
        </w:rPr>
      </w:pPr>
    </w:p>
    <w:p w14:paraId="5B4E7925" w14:textId="77777777" w:rsidR="00397C0F" w:rsidRPr="00397C0F" w:rsidRDefault="00397C0F" w:rsidP="00397C0F">
      <w:pPr>
        <w:rPr>
          <w:rFonts w:ascii="Garamond" w:hAnsi="Garamond"/>
          <w:sz w:val="22"/>
          <w:szCs w:val="20"/>
        </w:rPr>
      </w:pPr>
    </w:p>
    <w:p w14:paraId="140C5E71" w14:textId="77777777" w:rsidR="00397C0F" w:rsidRPr="00397C0F" w:rsidRDefault="00397C0F" w:rsidP="00397C0F">
      <w:pPr>
        <w:rPr>
          <w:rFonts w:ascii="Garamond" w:hAnsi="Garamond"/>
          <w:sz w:val="22"/>
          <w:szCs w:val="20"/>
        </w:rPr>
      </w:pPr>
    </w:p>
    <w:p w14:paraId="5D3D6701" w14:textId="77777777" w:rsidR="00397C0F" w:rsidRPr="00397C0F" w:rsidRDefault="00397C0F" w:rsidP="00397C0F">
      <w:pPr>
        <w:rPr>
          <w:rFonts w:ascii="Garamond" w:hAnsi="Garamond"/>
          <w:sz w:val="22"/>
          <w:szCs w:val="20"/>
        </w:rPr>
      </w:pPr>
    </w:p>
    <w:p w14:paraId="4383D3BB" w14:textId="77777777" w:rsidR="00397C0F" w:rsidRPr="00397C0F" w:rsidRDefault="00397C0F" w:rsidP="00397C0F">
      <w:pPr>
        <w:rPr>
          <w:rFonts w:ascii="Garamond" w:hAnsi="Garamond"/>
          <w:sz w:val="22"/>
          <w:szCs w:val="20"/>
        </w:rPr>
      </w:pPr>
    </w:p>
    <w:p w14:paraId="4BD57211" w14:textId="77777777" w:rsidR="00397C0F" w:rsidRPr="00397C0F" w:rsidRDefault="00397C0F" w:rsidP="00397C0F">
      <w:pPr>
        <w:rPr>
          <w:rFonts w:ascii="Garamond" w:hAnsi="Garamond"/>
          <w:sz w:val="22"/>
          <w:szCs w:val="20"/>
        </w:rPr>
      </w:pPr>
    </w:p>
    <w:p w14:paraId="689AE354" w14:textId="77777777" w:rsidR="00397C0F" w:rsidRPr="00397C0F" w:rsidRDefault="00397C0F" w:rsidP="00397C0F">
      <w:pPr>
        <w:rPr>
          <w:rFonts w:ascii="Garamond" w:hAnsi="Garamond"/>
          <w:sz w:val="22"/>
          <w:szCs w:val="20"/>
        </w:rPr>
      </w:pPr>
    </w:p>
    <w:p w14:paraId="137310FE" w14:textId="77777777" w:rsidR="00397C0F" w:rsidRPr="00397C0F" w:rsidRDefault="00397C0F" w:rsidP="00397C0F">
      <w:pPr>
        <w:rPr>
          <w:rFonts w:ascii="Garamond" w:hAnsi="Garamond"/>
          <w:sz w:val="22"/>
          <w:szCs w:val="20"/>
        </w:rPr>
      </w:pPr>
    </w:p>
    <w:p w14:paraId="2C388F7F" w14:textId="77777777" w:rsidR="00397C0F" w:rsidRDefault="00397C0F" w:rsidP="00397C0F">
      <w:pPr>
        <w:rPr>
          <w:rFonts w:ascii="Garamond" w:hAnsi="Garamond"/>
          <w:b/>
          <w:sz w:val="22"/>
          <w:szCs w:val="20"/>
        </w:rPr>
      </w:pPr>
    </w:p>
    <w:p w14:paraId="575FC395" w14:textId="7E1E3E1A" w:rsidR="00397C0F" w:rsidRDefault="00397C0F" w:rsidP="00397C0F">
      <w:pPr>
        <w:tabs>
          <w:tab w:val="left" w:pos="5190"/>
        </w:tabs>
        <w:rPr>
          <w:rFonts w:ascii="Garamond" w:hAnsi="Garamond"/>
          <w:b/>
          <w:sz w:val="22"/>
          <w:szCs w:val="20"/>
        </w:rPr>
      </w:pPr>
      <w:r>
        <w:rPr>
          <w:rFonts w:ascii="Garamond" w:hAnsi="Garamond"/>
          <w:b/>
          <w:sz w:val="22"/>
          <w:szCs w:val="20"/>
        </w:rPr>
        <w:tab/>
      </w:r>
    </w:p>
    <w:p w14:paraId="2473312A" w14:textId="0FDF21BE" w:rsidR="00397C0F" w:rsidRPr="00397C0F" w:rsidRDefault="00397C0F" w:rsidP="00397C0F">
      <w:pPr>
        <w:tabs>
          <w:tab w:val="left" w:pos="5190"/>
        </w:tabs>
        <w:rPr>
          <w:rFonts w:ascii="Garamond" w:hAnsi="Garamond"/>
          <w:sz w:val="22"/>
          <w:szCs w:val="20"/>
        </w:rPr>
        <w:sectPr w:rsidR="00397C0F" w:rsidRPr="00397C0F" w:rsidSect="00081D29">
          <w:type w:val="continuous"/>
          <w:pgSz w:w="12240" w:h="15840"/>
          <w:pgMar w:top="1440" w:right="1440" w:bottom="1440" w:left="1440" w:header="720" w:footer="720" w:gutter="0"/>
          <w:cols w:space="720"/>
          <w:titlePg/>
          <w:docGrid w:linePitch="360"/>
        </w:sectPr>
      </w:pPr>
      <w:r>
        <w:rPr>
          <w:rFonts w:ascii="Garamond" w:hAnsi="Garamond"/>
          <w:sz w:val="22"/>
          <w:szCs w:val="20"/>
        </w:rPr>
        <w:tab/>
      </w:r>
    </w:p>
    <w:p w14:paraId="72E150ED" w14:textId="733A2127" w:rsidR="000720E5" w:rsidRDefault="00D133F9"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3147E29E" w14:textId="77777777" w:rsidR="001E674D" w:rsidRPr="001E674D" w:rsidRDefault="001E674D" w:rsidP="001E674D">
      <w:pPr>
        <w:spacing w:line="259" w:lineRule="auto"/>
        <w:jc w:val="both"/>
        <w:rPr>
          <w:rFonts w:ascii="Garamond" w:hAnsi="Garamond"/>
          <w:bCs/>
          <w:iCs/>
          <w:sz w:val="20"/>
          <w:szCs w:val="20"/>
        </w:rPr>
      </w:pPr>
      <w:r w:rsidRPr="001E674D">
        <w:rPr>
          <w:rFonts w:ascii="Garamond" w:hAnsi="Garamond"/>
          <w:bCs/>
          <w:iCs/>
          <w:sz w:val="20"/>
          <w:szCs w:val="20"/>
        </w:rPr>
        <w:t>Diabetes mellitus is positioned as one of the major public health challenges on a global scale,</w:t>
      </w:r>
      <w:r w:rsidRPr="001E674D">
        <w:rPr>
          <w:rFonts w:ascii="Garamond" w:hAnsi="Garamond"/>
          <w:bCs/>
          <w:iCs/>
          <w:sz w:val="20"/>
          <w:szCs w:val="20"/>
          <w:vertAlign w:val="superscript"/>
        </w:rPr>
        <w:t>1</w:t>
      </w:r>
      <w:r w:rsidRPr="001E674D">
        <w:rPr>
          <w:rFonts w:ascii="Garamond" w:hAnsi="Garamond"/>
          <w:bCs/>
          <w:iCs/>
          <w:sz w:val="20"/>
          <w:szCs w:val="20"/>
        </w:rPr>
        <w:t xml:space="preserve"> thus affecting hundreds of millions of individuals worldwide and resulting in significant morbidity, mortality, and financial burden for healthcare systems.</w:t>
      </w:r>
      <w:r w:rsidRPr="001E674D">
        <w:rPr>
          <w:rFonts w:ascii="Garamond" w:hAnsi="Garamond"/>
          <w:bCs/>
          <w:iCs/>
          <w:sz w:val="20"/>
          <w:szCs w:val="20"/>
          <w:vertAlign w:val="superscript"/>
        </w:rPr>
        <w:t>2</w:t>
      </w:r>
    </w:p>
    <w:p w14:paraId="2DCD837E" w14:textId="77777777" w:rsidR="001E674D" w:rsidRPr="001E674D" w:rsidRDefault="001E674D" w:rsidP="001E674D">
      <w:pPr>
        <w:spacing w:line="259" w:lineRule="auto"/>
        <w:jc w:val="both"/>
        <w:rPr>
          <w:rFonts w:ascii="Garamond" w:hAnsi="Garamond"/>
          <w:bCs/>
          <w:iCs/>
          <w:sz w:val="20"/>
          <w:szCs w:val="20"/>
        </w:rPr>
      </w:pPr>
      <w:r w:rsidRPr="001E674D">
        <w:rPr>
          <w:rFonts w:ascii="Garamond" w:hAnsi="Garamond"/>
          <w:bCs/>
          <w:iCs/>
          <w:sz w:val="20"/>
          <w:szCs w:val="20"/>
        </w:rPr>
        <w:t>Its complex nature as a multisystem metabolic disorder characterized by hyperglycemia leads to complications that reduce quality of life and increase mortality.</w:t>
      </w:r>
      <w:r w:rsidRPr="001E674D">
        <w:rPr>
          <w:rFonts w:ascii="Garamond" w:hAnsi="Garamond"/>
          <w:bCs/>
          <w:iCs/>
          <w:sz w:val="20"/>
          <w:szCs w:val="20"/>
          <w:vertAlign w:val="superscript"/>
        </w:rPr>
        <w:t>3</w:t>
      </w:r>
      <w:r w:rsidRPr="001E674D">
        <w:rPr>
          <w:rFonts w:ascii="Garamond" w:hAnsi="Garamond"/>
          <w:bCs/>
          <w:iCs/>
          <w:sz w:val="20"/>
          <w:szCs w:val="20"/>
        </w:rPr>
        <w:t xml:space="preserve"> This requires comprehensive management approaches beyond pharmacological treatment.</w:t>
      </w:r>
      <w:r w:rsidRPr="001E674D">
        <w:rPr>
          <w:rFonts w:ascii="Garamond" w:hAnsi="Garamond"/>
          <w:bCs/>
          <w:iCs/>
          <w:sz w:val="20"/>
          <w:szCs w:val="20"/>
          <w:vertAlign w:val="superscript"/>
        </w:rPr>
        <w:t>4</w:t>
      </w:r>
      <w:r w:rsidRPr="001E674D">
        <w:rPr>
          <w:rFonts w:ascii="Garamond" w:hAnsi="Garamond"/>
          <w:bCs/>
          <w:iCs/>
          <w:sz w:val="20"/>
          <w:szCs w:val="20"/>
        </w:rPr>
        <w:t xml:space="preserve"> Indeed, therapeutic education emerges as a fundamental strategy in the management of diabetes. It is a structured process aimed at enabling patients to acquire or maintain the skills and knowledge necessary to effectively manage their condition.</w:t>
      </w:r>
      <w:r w:rsidRPr="001E674D">
        <w:rPr>
          <w:rFonts w:ascii="Garamond" w:hAnsi="Garamond"/>
          <w:bCs/>
          <w:iCs/>
          <w:sz w:val="20"/>
          <w:szCs w:val="20"/>
          <w:vertAlign w:val="superscript"/>
        </w:rPr>
        <w:t>5</w:t>
      </w:r>
      <w:r w:rsidRPr="001E674D">
        <w:rPr>
          <w:rFonts w:ascii="Garamond" w:hAnsi="Garamond"/>
          <w:bCs/>
          <w:iCs/>
          <w:sz w:val="20"/>
          <w:szCs w:val="20"/>
        </w:rPr>
        <w:t xml:space="preserve"> Therapeutic education goes beyond the simple dissemination of information. It encourages behavior changes, stimulates patient independence, and supports commitment to treatment plans through individualized and continuous learning tailored to personal requirements and contexts.</w:t>
      </w:r>
      <w:r w:rsidRPr="001E674D">
        <w:rPr>
          <w:rFonts w:ascii="Garamond" w:hAnsi="Garamond"/>
          <w:bCs/>
          <w:iCs/>
          <w:sz w:val="20"/>
          <w:szCs w:val="20"/>
          <w:vertAlign w:val="superscript"/>
        </w:rPr>
        <w:t>6</w:t>
      </w:r>
      <w:r w:rsidRPr="001E674D">
        <w:rPr>
          <w:rFonts w:ascii="Garamond" w:hAnsi="Garamond"/>
          <w:bCs/>
          <w:iCs/>
          <w:sz w:val="20"/>
          <w:szCs w:val="20"/>
        </w:rPr>
        <w:t xml:space="preserve"> This type of teaching encompasses medical, psychological, and social aspects, in accordance with contemporary standards of patient-centered care.</w:t>
      </w:r>
    </w:p>
    <w:p w14:paraId="403A462D" w14:textId="77777777" w:rsidR="001E674D" w:rsidRPr="001E674D" w:rsidRDefault="001E674D" w:rsidP="001E674D">
      <w:pPr>
        <w:spacing w:line="259" w:lineRule="auto"/>
        <w:jc w:val="both"/>
        <w:rPr>
          <w:rFonts w:ascii="Garamond" w:hAnsi="Garamond"/>
          <w:bCs/>
          <w:iCs/>
          <w:sz w:val="20"/>
          <w:szCs w:val="20"/>
        </w:rPr>
      </w:pPr>
      <w:r w:rsidRPr="001E674D">
        <w:rPr>
          <w:rFonts w:ascii="Garamond" w:hAnsi="Garamond"/>
          <w:bCs/>
          <w:iCs/>
          <w:sz w:val="20"/>
          <w:szCs w:val="20"/>
        </w:rPr>
        <w:t>The objective of this research work is to explore the crucial importance of therapeutic education for individuals living with diabetes on one hand, and to highlight its indispensable contribution to diabetes care on the other hand. The significance of this study lies in informing healthcare professionals, decision-makers, and stakeholders about best practices and advocating for the integration of therapeutic education as a standard component in diabetes management frameworks.</w:t>
      </w:r>
    </w:p>
    <w:p w14:paraId="77C67F01" w14:textId="77777777" w:rsidR="001E674D" w:rsidRPr="007E5F99" w:rsidRDefault="001E674D" w:rsidP="001E674D">
      <w:pPr>
        <w:spacing w:line="259" w:lineRule="auto"/>
        <w:jc w:val="both"/>
        <w:rPr>
          <w:rFonts w:ascii="Garamond" w:hAnsi="Garamond"/>
          <w:b/>
          <w:iCs/>
          <w:sz w:val="22"/>
          <w:szCs w:val="22"/>
        </w:rPr>
      </w:pPr>
    </w:p>
    <w:p w14:paraId="150344A0" w14:textId="19391A9A" w:rsidR="001E674D" w:rsidRPr="007E5F99" w:rsidRDefault="007E5F99" w:rsidP="001E674D">
      <w:pPr>
        <w:spacing w:line="259" w:lineRule="auto"/>
        <w:jc w:val="both"/>
        <w:rPr>
          <w:rFonts w:ascii="Garamond" w:hAnsi="Garamond"/>
          <w:b/>
          <w:iCs/>
          <w:sz w:val="22"/>
          <w:szCs w:val="22"/>
        </w:rPr>
      </w:pPr>
      <w:r w:rsidRPr="007E5F99">
        <w:rPr>
          <w:rFonts w:ascii="Garamond" w:hAnsi="Garamond"/>
          <w:b/>
          <w:iCs/>
          <w:sz w:val="22"/>
          <w:szCs w:val="22"/>
        </w:rPr>
        <w:t>METHODOLOGY</w:t>
      </w:r>
    </w:p>
    <w:p w14:paraId="0CC3EFD0" w14:textId="029ED0A7" w:rsidR="001E674D" w:rsidRPr="001E674D" w:rsidRDefault="001E674D" w:rsidP="001E674D">
      <w:pPr>
        <w:spacing w:line="259" w:lineRule="auto"/>
        <w:jc w:val="both"/>
        <w:rPr>
          <w:rFonts w:ascii="Garamond" w:hAnsi="Garamond"/>
          <w:bCs/>
          <w:iCs/>
          <w:sz w:val="20"/>
          <w:szCs w:val="20"/>
        </w:rPr>
      </w:pPr>
      <w:r w:rsidRPr="007E5F99">
        <w:rPr>
          <w:rFonts w:ascii="Garamond" w:hAnsi="Garamond"/>
          <w:b/>
          <w:i/>
          <w:sz w:val="20"/>
          <w:szCs w:val="20"/>
        </w:rPr>
        <w:t>Study Setting</w:t>
      </w:r>
      <w:r w:rsidR="007E5F99" w:rsidRPr="007E5F99">
        <w:rPr>
          <w:rFonts w:ascii="Garamond" w:hAnsi="Garamond"/>
          <w:b/>
          <w:i/>
          <w:sz w:val="20"/>
          <w:szCs w:val="20"/>
        </w:rPr>
        <w:t>:</w:t>
      </w:r>
      <w:r w:rsidR="007E5F99">
        <w:rPr>
          <w:rFonts w:ascii="Garamond" w:hAnsi="Garamond"/>
          <w:bCs/>
          <w:iCs/>
          <w:sz w:val="20"/>
          <w:szCs w:val="20"/>
        </w:rPr>
        <w:t xml:space="preserve"> </w:t>
      </w:r>
      <w:r w:rsidRPr="001E674D">
        <w:rPr>
          <w:rFonts w:ascii="Garamond" w:hAnsi="Garamond"/>
          <w:bCs/>
          <w:iCs/>
          <w:sz w:val="20"/>
          <w:szCs w:val="20"/>
        </w:rPr>
        <w:t>The study was conducted at the My Hassan health center in the prefecture of Kenitra (Morocco) during April 2024.</w:t>
      </w:r>
    </w:p>
    <w:p w14:paraId="7B117EEC" w14:textId="710C2B80" w:rsidR="001E674D" w:rsidRPr="001E674D" w:rsidRDefault="001E674D" w:rsidP="001E674D">
      <w:pPr>
        <w:spacing w:line="259" w:lineRule="auto"/>
        <w:jc w:val="both"/>
        <w:rPr>
          <w:rFonts w:ascii="Garamond" w:hAnsi="Garamond"/>
          <w:bCs/>
          <w:iCs/>
          <w:sz w:val="20"/>
          <w:szCs w:val="20"/>
        </w:rPr>
      </w:pPr>
      <w:r w:rsidRPr="007E5F99">
        <w:rPr>
          <w:rFonts w:ascii="Garamond" w:hAnsi="Garamond"/>
          <w:b/>
          <w:i/>
          <w:sz w:val="20"/>
          <w:szCs w:val="20"/>
        </w:rPr>
        <w:t>Study Design</w:t>
      </w:r>
      <w:r w:rsidR="007E5F99" w:rsidRPr="007E5F99">
        <w:rPr>
          <w:rFonts w:ascii="Garamond" w:hAnsi="Garamond"/>
          <w:b/>
          <w:i/>
          <w:sz w:val="20"/>
          <w:szCs w:val="20"/>
        </w:rPr>
        <w:t>:</w:t>
      </w:r>
      <w:r w:rsidR="007E5F99">
        <w:rPr>
          <w:rFonts w:ascii="Garamond" w:hAnsi="Garamond"/>
          <w:bCs/>
          <w:iCs/>
          <w:sz w:val="20"/>
          <w:szCs w:val="20"/>
        </w:rPr>
        <w:t xml:space="preserve"> </w:t>
      </w:r>
      <w:r w:rsidRPr="001E674D">
        <w:rPr>
          <w:rFonts w:ascii="Garamond" w:hAnsi="Garamond"/>
          <w:bCs/>
          <w:iCs/>
          <w:sz w:val="20"/>
          <w:szCs w:val="20"/>
        </w:rPr>
        <w:t>A descriptive cross-sectional survey was conducted.</w:t>
      </w:r>
    </w:p>
    <w:p w14:paraId="364CC032" w14:textId="2397BCB7" w:rsidR="001E674D" w:rsidRPr="001E674D" w:rsidRDefault="001E674D" w:rsidP="001E674D">
      <w:pPr>
        <w:spacing w:line="259" w:lineRule="auto"/>
        <w:jc w:val="both"/>
        <w:rPr>
          <w:rFonts w:ascii="Garamond" w:hAnsi="Garamond"/>
          <w:bCs/>
          <w:iCs/>
          <w:sz w:val="20"/>
          <w:szCs w:val="20"/>
        </w:rPr>
      </w:pPr>
      <w:r w:rsidRPr="007E5F99">
        <w:rPr>
          <w:rFonts w:ascii="Garamond" w:hAnsi="Garamond"/>
          <w:b/>
          <w:i/>
          <w:iCs/>
          <w:sz w:val="20"/>
          <w:szCs w:val="20"/>
        </w:rPr>
        <w:t>Study Population</w:t>
      </w:r>
      <w:r w:rsidR="007E5F99" w:rsidRPr="007E5F99">
        <w:rPr>
          <w:rFonts w:ascii="Garamond" w:hAnsi="Garamond"/>
          <w:b/>
          <w:i/>
          <w:iCs/>
          <w:sz w:val="20"/>
          <w:szCs w:val="20"/>
        </w:rPr>
        <w:t>:</w:t>
      </w:r>
      <w:r w:rsidR="007E5F99">
        <w:rPr>
          <w:rFonts w:ascii="Garamond" w:hAnsi="Garamond"/>
          <w:bCs/>
          <w:i/>
          <w:iCs/>
          <w:sz w:val="20"/>
          <w:szCs w:val="20"/>
        </w:rPr>
        <w:t xml:space="preserve"> </w:t>
      </w:r>
      <w:r w:rsidRPr="001E674D">
        <w:rPr>
          <w:rFonts w:ascii="Garamond" w:hAnsi="Garamond"/>
          <w:bCs/>
          <w:iCs/>
          <w:sz w:val="20"/>
          <w:szCs w:val="20"/>
        </w:rPr>
        <w:t>This study targeted people with diabetes who frequent the My Hassan health center in the prefecture of Kenitra (Morocco) during April 2024.</w:t>
      </w:r>
    </w:p>
    <w:p w14:paraId="7EFA38C5" w14:textId="7479F08F" w:rsidR="001E674D" w:rsidRPr="001E674D" w:rsidRDefault="001E674D" w:rsidP="001E674D">
      <w:pPr>
        <w:spacing w:line="259" w:lineRule="auto"/>
        <w:jc w:val="both"/>
        <w:rPr>
          <w:rFonts w:ascii="Garamond" w:hAnsi="Garamond"/>
          <w:bCs/>
          <w:iCs/>
          <w:sz w:val="20"/>
          <w:szCs w:val="20"/>
        </w:rPr>
      </w:pPr>
      <w:r w:rsidRPr="007E5F99">
        <w:rPr>
          <w:rFonts w:ascii="Garamond" w:hAnsi="Garamond"/>
          <w:b/>
          <w:i/>
          <w:sz w:val="20"/>
          <w:szCs w:val="20"/>
        </w:rPr>
        <w:t>Sampling</w:t>
      </w:r>
      <w:r w:rsidR="007E5F99" w:rsidRPr="007E5F99">
        <w:rPr>
          <w:rFonts w:ascii="Garamond" w:hAnsi="Garamond"/>
          <w:b/>
          <w:i/>
          <w:sz w:val="20"/>
          <w:szCs w:val="20"/>
        </w:rPr>
        <w:t>:</w:t>
      </w:r>
      <w:r w:rsidR="007E5F99">
        <w:rPr>
          <w:rFonts w:ascii="Garamond" w:hAnsi="Garamond"/>
          <w:bCs/>
          <w:iCs/>
          <w:sz w:val="20"/>
          <w:szCs w:val="20"/>
        </w:rPr>
        <w:t xml:space="preserve"> </w:t>
      </w:r>
      <w:r w:rsidRPr="001E674D">
        <w:rPr>
          <w:rFonts w:ascii="Garamond" w:hAnsi="Garamond"/>
          <w:bCs/>
          <w:iCs/>
          <w:sz w:val="20"/>
          <w:szCs w:val="20"/>
        </w:rPr>
        <w:t>One hundred people took part in this survey. Participants were randomly selected to ensure the representativeness of the sample. It should be noted that this questionnaire is composed of two parts. The first part concerns personal characteristics, while the second part addresses the practice of insulin use and hygiene.</w:t>
      </w:r>
    </w:p>
    <w:p w14:paraId="7E28CBE5" w14:textId="6352EF78" w:rsidR="001E674D" w:rsidRPr="001E674D" w:rsidRDefault="007E5F99" w:rsidP="001E674D">
      <w:pPr>
        <w:spacing w:line="259" w:lineRule="auto"/>
        <w:jc w:val="both"/>
        <w:rPr>
          <w:rFonts w:ascii="Garamond" w:hAnsi="Garamond"/>
          <w:bCs/>
          <w:iCs/>
          <w:sz w:val="20"/>
          <w:szCs w:val="20"/>
        </w:rPr>
      </w:pPr>
      <w:r w:rsidRPr="007E5F99">
        <w:rPr>
          <w:rFonts w:ascii="Garamond" w:hAnsi="Garamond"/>
          <w:b/>
          <w:i/>
          <w:sz w:val="20"/>
          <w:szCs w:val="20"/>
        </w:rPr>
        <w:t>Validity and reliability of the questionnaire:</w:t>
      </w:r>
      <w:r>
        <w:rPr>
          <w:rFonts w:ascii="Garamond" w:hAnsi="Garamond"/>
          <w:bCs/>
          <w:iCs/>
          <w:sz w:val="20"/>
          <w:szCs w:val="20"/>
        </w:rPr>
        <w:t xml:space="preserve"> </w:t>
      </w:r>
      <w:r w:rsidR="001E674D" w:rsidRPr="001E674D">
        <w:rPr>
          <w:rFonts w:ascii="Garamond" w:hAnsi="Garamond"/>
          <w:bCs/>
          <w:iCs/>
          <w:sz w:val="20"/>
          <w:szCs w:val="20"/>
        </w:rPr>
        <w:t>The validity of the questionnaire was confirmed by submitting it to a group of members of the physicians at the Moulay El-Hassan primary health center in the Kénitra region in 2024, in order to gather their opinions and comments regarding the completeness of the dimensions of the questionnaire, the representativeness of the statements in relation to the axes and dimensions addressed, their relevance, as well as the clarity of each statement. Subsequently, the rates of agreement on each of the statements were calculated. As a result, some statements were eliminated while others were modified and rephrased.</w:t>
      </w:r>
    </w:p>
    <w:p w14:paraId="7E230D05" w14:textId="712ED58A" w:rsidR="001E674D" w:rsidRPr="001E674D" w:rsidRDefault="001E674D" w:rsidP="007E5F99">
      <w:pPr>
        <w:spacing w:line="259" w:lineRule="auto"/>
        <w:jc w:val="both"/>
        <w:rPr>
          <w:rFonts w:ascii="Garamond" w:hAnsi="Garamond"/>
          <w:b/>
          <w:bCs/>
          <w:iCs/>
          <w:sz w:val="20"/>
          <w:szCs w:val="20"/>
        </w:rPr>
      </w:pPr>
      <w:r w:rsidRPr="001E674D">
        <w:rPr>
          <w:rFonts w:ascii="Garamond" w:hAnsi="Garamond"/>
          <w:bCs/>
          <w:iCs/>
          <w:sz w:val="20"/>
          <w:szCs w:val="20"/>
        </w:rPr>
        <w:t>Calculation of the reliability of the questionnaire</w:t>
      </w:r>
      <w:r w:rsidR="007E5F99">
        <w:rPr>
          <w:rFonts w:ascii="Garamond" w:hAnsi="Garamond"/>
          <w:bCs/>
          <w:iCs/>
          <w:sz w:val="20"/>
          <w:szCs w:val="20"/>
        </w:rPr>
        <w:t xml:space="preserve"> is shown in table 1. </w:t>
      </w:r>
    </w:p>
    <w:p w14:paraId="73905A3E" w14:textId="77777777" w:rsidR="00057CF5" w:rsidRDefault="00057CF5" w:rsidP="007A1526">
      <w:pPr>
        <w:spacing w:line="259" w:lineRule="auto"/>
        <w:jc w:val="both"/>
        <w:rPr>
          <w:rFonts w:ascii="Garamond" w:hAnsi="Garamond"/>
          <w:bCs/>
          <w:iCs/>
          <w:sz w:val="20"/>
          <w:szCs w:val="20"/>
        </w:rPr>
      </w:pPr>
    </w:p>
    <w:p w14:paraId="3E01F48A" w14:textId="77777777" w:rsidR="001E674D" w:rsidRPr="001E674D" w:rsidRDefault="001E674D" w:rsidP="001E674D">
      <w:pPr>
        <w:spacing w:line="259" w:lineRule="auto"/>
        <w:jc w:val="both"/>
        <w:rPr>
          <w:rFonts w:ascii="Garamond" w:hAnsi="Garamond"/>
          <w:bCs/>
          <w:iCs/>
          <w:sz w:val="20"/>
          <w:szCs w:val="20"/>
        </w:rPr>
      </w:pPr>
      <w:r w:rsidRPr="001E674D">
        <w:rPr>
          <w:rFonts w:ascii="Garamond" w:hAnsi="Garamond"/>
          <w:b/>
          <w:iCs/>
          <w:sz w:val="20"/>
          <w:szCs w:val="20"/>
        </w:rPr>
        <w:t>Table 1</w:t>
      </w:r>
      <w:r w:rsidRPr="001E674D">
        <w:rPr>
          <w:rFonts w:ascii="Garamond" w:hAnsi="Garamond"/>
          <w:bCs/>
          <w:iCs/>
          <w:sz w:val="20"/>
          <w:szCs w:val="20"/>
        </w:rPr>
        <w:t>. Reliability Statistics for 32 items</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89"/>
        <w:gridCol w:w="1559"/>
      </w:tblGrid>
      <w:tr w:rsidR="001E674D" w:rsidRPr="001E674D" w14:paraId="43D154A1" w14:textId="77777777" w:rsidTr="001E674D">
        <w:trPr>
          <w:cantSplit/>
          <w:jc w:val="center"/>
        </w:trPr>
        <w:tc>
          <w:tcPr>
            <w:tcW w:w="268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C0F382F" w14:textId="77777777" w:rsidR="001E674D" w:rsidRPr="001E674D" w:rsidRDefault="001E674D" w:rsidP="001E674D">
            <w:pPr>
              <w:spacing w:line="259" w:lineRule="auto"/>
              <w:jc w:val="both"/>
              <w:rPr>
                <w:rFonts w:ascii="Garamond" w:hAnsi="Garamond"/>
                <w:bCs/>
                <w:iCs/>
                <w:sz w:val="20"/>
                <w:szCs w:val="20"/>
              </w:rPr>
            </w:pPr>
            <w:r w:rsidRPr="001E674D">
              <w:rPr>
                <w:rFonts w:ascii="Garamond" w:hAnsi="Garamond"/>
                <w:bCs/>
                <w:iCs/>
                <w:sz w:val="20"/>
                <w:szCs w:val="20"/>
              </w:rPr>
              <w:t>Cronbach's Alpha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EEB4C0D" w14:textId="77777777" w:rsidR="001E674D" w:rsidRPr="001E674D" w:rsidRDefault="001E674D" w:rsidP="001E674D">
            <w:pPr>
              <w:spacing w:line="259" w:lineRule="auto"/>
              <w:jc w:val="both"/>
              <w:rPr>
                <w:rFonts w:ascii="Garamond" w:hAnsi="Garamond"/>
                <w:bCs/>
                <w:iCs/>
                <w:sz w:val="20"/>
                <w:szCs w:val="20"/>
              </w:rPr>
            </w:pPr>
            <w:r w:rsidRPr="001E674D">
              <w:rPr>
                <w:rFonts w:ascii="Garamond" w:hAnsi="Garamond"/>
                <w:bCs/>
                <w:iCs/>
                <w:sz w:val="20"/>
                <w:szCs w:val="20"/>
              </w:rPr>
              <w:t>Number of Items</w:t>
            </w:r>
          </w:p>
        </w:tc>
      </w:tr>
      <w:tr w:rsidR="001E674D" w:rsidRPr="001E674D" w14:paraId="4459707A" w14:textId="77777777" w:rsidTr="001E674D">
        <w:trPr>
          <w:cantSplit/>
          <w:jc w:val="center"/>
        </w:trPr>
        <w:tc>
          <w:tcPr>
            <w:tcW w:w="2689" w:type="dxa"/>
            <w:tcBorders>
              <w:top w:val="single" w:sz="4" w:space="0" w:color="auto"/>
              <w:left w:val="single" w:sz="4" w:space="0" w:color="auto"/>
              <w:bottom w:val="single" w:sz="4" w:space="0" w:color="auto"/>
              <w:right w:val="single" w:sz="4" w:space="0" w:color="auto"/>
            </w:tcBorders>
            <w:shd w:val="clear" w:color="auto" w:fill="FFFFFF"/>
            <w:hideMark/>
          </w:tcPr>
          <w:p w14:paraId="50A89062" w14:textId="09CCD9EB" w:rsidR="001E674D" w:rsidRPr="001E674D" w:rsidRDefault="001E674D" w:rsidP="001E674D">
            <w:pPr>
              <w:spacing w:line="259" w:lineRule="auto"/>
              <w:jc w:val="both"/>
              <w:rPr>
                <w:rFonts w:ascii="Garamond" w:hAnsi="Garamond"/>
                <w:bCs/>
                <w:iCs/>
                <w:sz w:val="20"/>
                <w:szCs w:val="20"/>
              </w:rPr>
            </w:pPr>
            <w:r w:rsidRPr="001E674D">
              <w:rPr>
                <w:rFonts w:ascii="Garamond" w:hAnsi="Garamond"/>
                <w:bCs/>
                <w:iCs/>
                <w:sz w:val="20"/>
                <w:szCs w:val="20"/>
              </w:rPr>
              <w:t>0</w:t>
            </w:r>
            <w:r w:rsidR="007E5F99">
              <w:rPr>
                <w:rFonts w:ascii="Garamond" w:hAnsi="Garamond"/>
                <w:bCs/>
                <w:iCs/>
                <w:sz w:val="20"/>
                <w:szCs w:val="20"/>
              </w:rPr>
              <w:t>.</w:t>
            </w:r>
            <w:r w:rsidRPr="001E674D">
              <w:rPr>
                <w:rFonts w:ascii="Garamond" w:hAnsi="Garamond"/>
                <w:bCs/>
                <w:iCs/>
                <w:sz w:val="20"/>
                <w:szCs w:val="20"/>
              </w:rPr>
              <w:t>701</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6DB7EF04" w14:textId="77777777" w:rsidR="001E674D" w:rsidRPr="001E674D" w:rsidRDefault="001E674D" w:rsidP="001E674D">
            <w:pPr>
              <w:spacing w:line="259" w:lineRule="auto"/>
              <w:jc w:val="both"/>
              <w:rPr>
                <w:rFonts w:ascii="Garamond" w:hAnsi="Garamond"/>
                <w:bCs/>
                <w:iCs/>
                <w:sz w:val="20"/>
                <w:szCs w:val="20"/>
              </w:rPr>
            </w:pPr>
            <w:r w:rsidRPr="001E674D">
              <w:rPr>
                <w:rFonts w:ascii="Garamond" w:hAnsi="Garamond"/>
                <w:bCs/>
                <w:iCs/>
                <w:sz w:val="20"/>
                <w:szCs w:val="20"/>
              </w:rPr>
              <w:t>32</w:t>
            </w:r>
          </w:p>
        </w:tc>
      </w:tr>
    </w:tbl>
    <w:p w14:paraId="363CD442" w14:textId="77777777" w:rsidR="001E674D" w:rsidRPr="001E674D" w:rsidRDefault="001E674D" w:rsidP="001E674D">
      <w:pPr>
        <w:spacing w:line="259" w:lineRule="auto"/>
        <w:jc w:val="both"/>
        <w:rPr>
          <w:rFonts w:ascii="Garamond" w:hAnsi="Garamond"/>
          <w:bCs/>
          <w:iCs/>
          <w:sz w:val="20"/>
          <w:szCs w:val="20"/>
        </w:rPr>
      </w:pPr>
    </w:p>
    <w:p w14:paraId="24A2D9AD" w14:textId="77777777" w:rsidR="001E674D" w:rsidRDefault="001E674D" w:rsidP="007A1526">
      <w:pPr>
        <w:spacing w:line="259" w:lineRule="auto"/>
        <w:jc w:val="both"/>
        <w:rPr>
          <w:rFonts w:ascii="Garamond" w:hAnsi="Garamond"/>
          <w:bCs/>
          <w:iCs/>
          <w:sz w:val="20"/>
          <w:szCs w:val="20"/>
        </w:rPr>
      </w:pPr>
    </w:p>
    <w:p w14:paraId="1B6E063F" w14:textId="77777777" w:rsidR="001E674D" w:rsidRDefault="001E674D" w:rsidP="007A1526">
      <w:pPr>
        <w:spacing w:line="259" w:lineRule="auto"/>
        <w:jc w:val="both"/>
        <w:rPr>
          <w:rFonts w:ascii="Garamond" w:hAnsi="Garamond"/>
          <w:bCs/>
          <w:iCs/>
          <w:sz w:val="20"/>
          <w:szCs w:val="20"/>
        </w:rPr>
      </w:pPr>
    </w:p>
    <w:p w14:paraId="7ABB9B08" w14:textId="77777777" w:rsidR="001E674D" w:rsidRDefault="001E674D" w:rsidP="007A1526">
      <w:pPr>
        <w:spacing w:line="259" w:lineRule="auto"/>
        <w:jc w:val="both"/>
        <w:rPr>
          <w:rFonts w:ascii="Garamond" w:hAnsi="Garamond"/>
          <w:bCs/>
          <w:iCs/>
          <w:sz w:val="20"/>
          <w:szCs w:val="20"/>
        </w:rPr>
      </w:pPr>
    </w:p>
    <w:p w14:paraId="0AC4492C" w14:textId="77777777" w:rsidR="001E674D" w:rsidRDefault="001E674D" w:rsidP="007A1526">
      <w:pPr>
        <w:spacing w:line="259" w:lineRule="auto"/>
        <w:jc w:val="both"/>
        <w:rPr>
          <w:rFonts w:ascii="Garamond" w:hAnsi="Garamond"/>
          <w:bCs/>
          <w:iCs/>
          <w:sz w:val="20"/>
          <w:szCs w:val="20"/>
        </w:rPr>
      </w:pPr>
    </w:p>
    <w:p w14:paraId="231FB239" w14:textId="77777777" w:rsidR="001E674D" w:rsidRDefault="001E674D" w:rsidP="007A1526">
      <w:pPr>
        <w:spacing w:line="259" w:lineRule="auto"/>
        <w:jc w:val="both"/>
        <w:rPr>
          <w:rFonts w:ascii="Garamond" w:hAnsi="Garamond"/>
          <w:bCs/>
          <w:iCs/>
          <w:sz w:val="20"/>
          <w:szCs w:val="20"/>
        </w:rPr>
      </w:pPr>
    </w:p>
    <w:p w14:paraId="63826B44" w14:textId="77777777" w:rsidR="001E674D" w:rsidRDefault="001E674D" w:rsidP="007A1526">
      <w:pPr>
        <w:spacing w:line="259" w:lineRule="auto"/>
        <w:jc w:val="both"/>
        <w:rPr>
          <w:rFonts w:ascii="Garamond" w:hAnsi="Garamond"/>
          <w:bCs/>
          <w:iCs/>
          <w:sz w:val="20"/>
          <w:szCs w:val="20"/>
        </w:rPr>
      </w:pPr>
    </w:p>
    <w:p w14:paraId="22213477" w14:textId="77777777" w:rsidR="001E674D" w:rsidRDefault="001E674D" w:rsidP="007A1526">
      <w:pPr>
        <w:spacing w:line="259" w:lineRule="auto"/>
        <w:jc w:val="both"/>
        <w:rPr>
          <w:rFonts w:ascii="Garamond" w:hAnsi="Garamond"/>
          <w:bCs/>
          <w:iCs/>
          <w:sz w:val="20"/>
          <w:szCs w:val="20"/>
        </w:rPr>
      </w:pPr>
    </w:p>
    <w:p w14:paraId="7F1D45ED" w14:textId="77777777" w:rsidR="008E564F" w:rsidRDefault="008E564F" w:rsidP="007A1526">
      <w:pPr>
        <w:spacing w:line="259" w:lineRule="auto"/>
        <w:jc w:val="both"/>
        <w:rPr>
          <w:rFonts w:ascii="Garamond" w:hAnsi="Garamond"/>
          <w:bCs/>
          <w:iCs/>
          <w:sz w:val="20"/>
          <w:szCs w:val="20"/>
        </w:rPr>
      </w:pPr>
    </w:p>
    <w:p w14:paraId="12315443" w14:textId="77777777" w:rsidR="008E564F" w:rsidRDefault="008E564F" w:rsidP="007A1526">
      <w:pPr>
        <w:spacing w:line="259" w:lineRule="auto"/>
        <w:jc w:val="both"/>
        <w:rPr>
          <w:rFonts w:ascii="Garamond" w:hAnsi="Garamond"/>
          <w:bCs/>
          <w:iCs/>
          <w:sz w:val="20"/>
          <w:szCs w:val="20"/>
        </w:rPr>
      </w:pPr>
    </w:p>
    <w:p w14:paraId="30A0B318" w14:textId="77777777" w:rsidR="008E564F" w:rsidRDefault="008E564F" w:rsidP="007A1526">
      <w:pPr>
        <w:spacing w:line="259" w:lineRule="auto"/>
        <w:jc w:val="both"/>
        <w:rPr>
          <w:rFonts w:ascii="Garamond" w:hAnsi="Garamond"/>
          <w:bCs/>
          <w:iCs/>
          <w:sz w:val="20"/>
          <w:szCs w:val="20"/>
        </w:rPr>
      </w:pPr>
    </w:p>
    <w:p w14:paraId="3C9DFFB0" w14:textId="77777777" w:rsidR="008E564F" w:rsidRDefault="008E564F" w:rsidP="007A1526">
      <w:pPr>
        <w:spacing w:line="259" w:lineRule="auto"/>
        <w:jc w:val="both"/>
        <w:rPr>
          <w:rFonts w:ascii="Garamond" w:hAnsi="Garamond"/>
          <w:bCs/>
          <w:iCs/>
          <w:sz w:val="20"/>
          <w:szCs w:val="20"/>
        </w:rPr>
      </w:pPr>
    </w:p>
    <w:p w14:paraId="47CEFFDF" w14:textId="77777777" w:rsidR="008E564F" w:rsidRDefault="008E564F" w:rsidP="007A1526">
      <w:pPr>
        <w:spacing w:line="259" w:lineRule="auto"/>
        <w:jc w:val="both"/>
        <w:rPr>
          <w:rFonts w:ascii="Garamond" w:hAnsi="Garamond"/>
          <w:bCs/>
          <w:iCs/>
          <w:sz w:val="20"/>
          <w:szCs w:val="20"/>
        </w:rPr>
      </w:pPr>
    </w:p>
    <w:p w14:paraId="4F057A8C" w14:textId="77777777" w:rsidR="008E564F" w:rsidRDefault="008E564F" w:rsidP="007A1526">
      <w:pPr>
        <w:spacing w:line="259" w:lineRule="auto"/>
        <w:jc w:val="both"/>
        <w:rPr>
          <w:rFonts w:ascii="Garamond" w:hAnsi="Garamond"/>
          <w:bCs/>
          <w:iCs/>
          <w:sz w:val="20"/>
          <w:szCs w:val="20"/>
        </w:rPr>
      </w:pPr>
    </w:p>
    <w:p w14:paraId="17DB379E" w14:textId="77777777" w:rsidR="008E564F" w:rsidRDefault="008E564F" w:rsidP="007A1526">
      <w:pPr>
        <w:spacing w:line="259" w:lineRule="auto"/>
        <w:jc w:val="both"/>
        <w:rPr>
          <w:rFonts w:ascii="Garamond" w:hAnsi="Garamond"/>
          <w:bCs/>
          <w:iCs/>
          <w:sz w:val="20"/>
          <w:szCs w:val="20"/>
        </w:rPr>
      </w:pPr>
    </w:p>
    <w:p w14:paraId="79C5ED63" w14:textId="77777777" w:rsidR="008E564F" w:rsidRDefault="008E564F" w:rsidP="007A1526">
      <w:pPr>
        <w:spacing w:line="259" w:lineRule="auto"/>
        <w:jc w:val="both"/>
        <w:rPr>
          <w:rFonts w:ascii="Garamond" w:hAnsi="Garamond"/>
          <w:bCs/>
          <w:iCs/>
          <w:sz w:val="20"/>
          <w:szCs w:val="20"/>
        </w:rPr>
      </w:pPr>
    </w:p>
    <w:p w14:paraId="26064E5A" w14:textId="77777777" w:rsidR="008E564F" w:rsidRDefault="008E564F" w:rsidP="007A1526">
      <w:pPr>
        <w:spacing w:line="259" w:lineRule="auto"/>
        <w:jc w:val="both"/>
        <w:rPr>
          <w:rFonts w:ascii="Garamond" w:hAnsi="Garamond"/>
          <w:bCs/>
          <w:iCs/>
          <w:sz w:val="20"/>
          <w:szCs w:val="20"/>
        </w:rPr>
      </w:pPr>
    </w:p>
    <w:p w14:paraId="0E2E55E8" w14:textId="77777777" w:rsidR="008E564F" w:rsidRDefault="008E564F" w:rsidP="007A1526">
      <w:pPr>
        <w:spacing w:line="259" w:lineRule="auto"/>
        <w:jc w:val="both"/>
        <w:rPr>
          <w:rFonts w:ascii="Garamond" w:hAnsi="Garamond"/>
          <w:bCs/>
          <w:iCs/>
          <w:sz w:val="20"/>
          <w:szCs w:val="20"/>
        </w:rPr>
      </w:pPr>
    </w:p>
    <w:p w14:paraId="48EBFF62" w14:textId="77777777" w:rsidR="008E564F" w:rsidRDefault="008E564F" w:rsidP="007A1526">
      <w:pPr>
        <w:spacing w:line="259" w:lineRule="auto"/>
        <w:jc w:val="both"/>
        <w:rPr>
          <w:rFonts w:ascii="Garamond" w:hAnsi="Garamond"/>
          <w:bCs/>
          <w:iCs/>
          <w:sz w:val="20"/>
          <w:szCs w:val="20"/>
        </w:rPr>
      </w:pPr>
    </w:p>
    <w:p w14:paraId="4622B252" w14:textId="77777777" w:rsidR="008E564F" w:rsidRDefault="008E564F" w:rsidP="007A1526">
      <w:pPr>
        <w:spacing w:line="259" w:lineRule="auto"/>
        <w:jc w:val="both"/>
        <w:rPr>
          <w:rFonts w:ascii="Garamond" w:hAnsi="Garamond"/>
          <w:bCs/>
          <w:iCs/>
          <w:sz w:val="20"/>
          <w:szCs w:val="20"/>
        </w:rPr>
      </w:pPr>
    </w:p>
    <w:p w14:paraId="2AB60FF2" w14:textId="77777777" w:rsidR="008E564F" w:rsidRDefault="008E564F" w:rsidP="007A1526">
      <w:pPr>
        <w:spacing w:line="259" w:lineRule="auto"/>
        <w:jc w:val="both"/>
        <w:rPr>
          <w:rFonts w:ascii="Garamond" w:hAnsi="Garamond"/>
          <w:bCs/>
          <w:iCs/>
          <w:sz w:val="20"/>
          <w:szCs w:val="20"/>
        </w:rPr>
      </w:pPr>
    </w:p>
    <w:p w14:paraId="691D703D" w14:textId="77777777" w:rsidR="008E564F" w:rsidRDefault="008E564F" w:rsidP="007A1526">
      <w:pPr>
        <w:spacing w:line="259" w:lineRule="auto"/>
        <w:jc w:val="both"/>
        <w:rPr>
          <w:rFonts w:ascii="Garamond" w:hAnsi="Garamond"/>
          <w:bCs/>
          <w:iCs/>
          <w:sz w:val="20"/>
          <w:szCs w:val="20"/>
        </w:rPr>
      </w:pPr>
    </w:p>
    <w:p w14:paraId="38A62741" w14:textId="77777777" w:rsidR="008E564F" w:rsidRDefault="008E564F" w:rsidP="007A1526">
      <w:pPr>
        <w:spacing w:line="259" w:lineRule="auto"/>
        <w:jc w:val="both"/>
        <w:rPr>
          <w:rFonts w:ascii="Garamond" w:hAnsi="Garamond"/>
          <w:bCs/>
          <w:iCs/>
          <w:sz w:val="20"/>
          <w:szCs w:val="20"/>
        </w:rPr>
        <w:sectPr w:rsidR="008E564F" w:rsidSect="003D02D5">
          <w:type w:val="continuous"/>
          <w:pgSz w:w="12240" w:h="15840"/>
          <w:pgMar w:top="1440" w:right="1440" w:bottom="1440" w:left="1440" w:header="720" w:footer="720" w:gutter="0"/>
          <w:cols w:num="2" w:space="720"/>
          <w:titlePg/>
          <w:docGrid w:linePitch="360"/>
        </w:sectPr>
      </w:pPr>
    </w:p>
    <w:p w14:paraId="7E8F7077" w14:textId="7731EFAC" w:rsidR="008E564F" w:rsidRPr="008E564F" w:rsidRDefault="008E564F" w:rsidP="008E564F">
      <w:pPr>
        <w:spacing w:line="259" w:lineRule="auto"/>
        <w:jc w:val="both"/>
        <w:rPr>
          <w:rFonts w:ascii="Garamond" w:hAnsi="Garamond"/>
          <w:bCs/>
          <w:iCs/>
          <w:sz w:val="20"/>
          <w:szCs w:val="20"/>
        </w:rPr>
      </w:pPr>
      <w:r w:rsidRPr="008E564F">
        <w:rPr>
          <w:rFonts w:ascii="Garamond" w:hAnsi="Garamond"/>
          <w:b/>
          <w:iCs/>
          <w:sz w:val="20"/>
          <w:szCs w:val="20"/>
        </w:rPr>
        <w:lastRenderedPageBreak/>
        <w:t>Table 2.</w:t>
      </w:r>
      <w:r w:rsidRPr="008E564F">
        <w:rPr>
          <w:rFonts w:ascii="Garamond" w:hAnsi="Garamond"/>
          <w:bCs/>
          <w:iCs/>
          <w:sz w:val="20"/>
          <w:szCs w:val="20"/>
        </w:rPr>
        <w:t xml:space="preserve"> Total item statistics</w:t>
      </w:r>
      <w:r w:rsidR="007E5F99">
        <w:rPr>
          <w:rFonts w:ascii="Garamond" w:hAnsi="Garamond"/>
          <w:bCs/>
          <w:iCs/>
          <w:sz w:val="20"/>
          <w:szCs w:val="20"/>
        </w:rPr>
        <w:t xml:space="preserve"> </w:t>
      </w:r>
    </w:p>
    <w:tbl>
      <w:tblPr>
        <w:tblW w:w="10782" w:type="dxa"/>
        <w:jc w:val="center"/>
        <w:tblLayout w:type="fixed"/>
        <w:tblCellMar>
          <w:left w:w="0" w:type="dxa"/>
          <w:right w:w="0" w:type="dxa"/>
        </w:tblCellMar>
        <w:tblLook w:val="04A0" w:firstRow="1" w:lastRow="0" w:firstColumn="1" w:lastColumn="0" w:noHBand="0" w:noVBand="1"/>
      </w:tblPr>
      <w:tblGrid>
        <w:gridCol w:w="4685"/>
        <w:gridCol w:w="1561"/>
        <w:gridCol w:w="1701"/>
        <w:gridCol w:w="1417"/>
        <w:gridCol w:w="1418"/>
      </w:tblGrid>
      <w:tr w:rsidR="008E564F" w:rsidRPr="008E564F" w14:paraId="5A23AC74" w14:textId="77777777" w:rsidTr="007E5F99">
        <w:trPr>
          <w:cantSplit/>
          <w:trHeight w:val="963"/>
          <w:jc w:val="center"/>
        </w:trPr>
        <w:tc>
          <w:tcPr>
            <w:tcW w:w="4685" w:type="dxa"/>
            <w:tcBorders>
              <w:top w:val="single" w:sz="4" w:space="0" w:color="auto"/>
              <w:bottom w:val="single" w:sz="4" w:space="0" w:color="auto"/>
            </w:tcBorders>
            <w:shd w:val="clear" w:color="auto" w:fill="FFFFFF"/>
          </w:tcPr>
          <w:p w14:paraId="5FDA8522" w14:textId="77777777" w:rsidR="008E564F" w:rsidRPr="007E5F99" w:rsidRDefault="008E564F" w:rsidP="007E5F99">
            <w:pPr>
              <w:rPr>
                <w:rFonts w:ascii="Garamond" w:hAnsi="Garamond"/>
                <w:b/>
                <w:iCs/>
                <w:sz w:val="20"/>
                <w:szCs w:val="20"/>
                <w:lang w:val="fr-MA"/>
              </w:rPr>
            </w:pPr>
            <w:r w:rsidRPr="007E5F99">
              <w:rPr>
                <w:rFonts w:ascii="Garamond" w:hAnsi="Garamond"/>
                <w:b/>
                <w:iCs/>
                <w:sz w:val="20"/>
                <w:szCs w:val="20"/>
                <w:lang w:val="fr-MA"/>
              </w:rPr>
              <w:t>item</w:t>
            </w:r>
          </w:p>
        </w:tc>
        <w:tc>
          <w:tcPr>
            <w:tcW w:w="1561" w:type="dxa"/>
            <w:tcBorders>
              <w:top w:val="single" w:sz="4" w:space="0" w:color="auto"/>
              <w:bottom w:val="single" w:sz="4" w:space="0" w:color="auto"/>
            </w:tcBorders>
            <w:shd w:val="clear" w:color="auto" w:fill="FFFFFF"/>
            <w:hideMark/>
          </w:tcPr>
          <w:p w14:paraId="5D324596" w14:textId="77777777" w:rsidR="008E564F" w:rsidRPr="007E5F99" w:rsidRDefault="008E564F" w:rsidP="007E5F99">
            <w:pPr>
              <w:rPr>
                <w:rFonts w:ascii="Garamond" w:hAnsi="Garamond"/>
                <w:b/>
                <w:iCs/>
                <w:sz w:val="20"/>
                <w:szCs w:val="20"/>
              </w:rPr>
            </w:pPr>
            <w:r w:rsidRPr="007E5F99">
              <w:rPr>
                <w:rFonts w:ascii="Garamond" w:hAnsi="Garamond"/>
                <w:b/>
                <w:iCs/>
                <w:sz w:val="20"/>
                <w:szCs w:val="20"/>
              </w:rPr>
              <w:t>Average of the scale in case of removal of an element</w:t>
            </w:r>
          </w:p>
        </w:tc>
        <w:tc>
          <w:tcPr>
            <w:tcW w:w="1701" w:type="dxa"/>
            <w:tcBorders>
              <w:top w:val="single" w:sz="4" w:space="0" w:color="auto"/>
              <w:bottom w:val="single" w:sz="4" w:space="0" w:color="auto"/>
            </w:tcBorders>
            <w:shd w:val="clear" w:color="auto" w:fill="FFFFFF"/>
            <w:hideMark/>
          </w:tcPr>
          <w:p w14:paraId="6CA47C55" w14:textId="77777777" w:rsidR="008E564F" w:rsidRPr="007E5F99" w:rsidRDefault="008E564F" w:rsidP="007E5F99">
            <w:pPr>
              <w:rPr>
                <w:rFonts w:ascii="Garamond" w:hAnsi="Garamond"/>
                <w:b/>
                <w:iCs/>
                <w:sz w:val="20"/>
                <w:szCs w:val="20"/>
              </w:rPr>
            </w:pPr>
            <w:r w:rsidRPr="007E5F99">
              <w:rPr>
                <w:rFonts w:ascii="Garamond" w:hAnsi="Garamond"/>
                <w:b/>
                <w:iCs/>
                <w:sz w:val="20"/>
                <w:szCs w:val="20"/>
              </w:rPr>
              <w:t>Variance of the scale in case of removal of an element</w:t>
            </w:r>
          </w:p>
        </w:tc>
        <w:tc>
          <w:tcPr>
            <w:tcW w:w="1417" w:type="dxa"/>
            <w:tcBorders>
              <w:top w:val="single" w:sz="4" w:space="0" w:color="auto"/>
              <w:bottom w:val="single" w:sz="4" w:space="0" w:color="auto"/>
            </w:tcBorders>
            <w:shd w:val="clear" w:color="auto" w:fill="FFFFFF"/>
            <w:hideMark/>
          </w:tcPr>
          <w:p w14:paraId="7D42B7D8" w14:textId="77777777" w:rsidR="008E564F" w:rsidRPr="007E5F99" w:rsidRDefault="008E564F" w:rsidP="007E5F99">
            <w:pPr>
              <w:rPr>
                <w:rFonts w:ascii="Garamond" w:hAnsi="Garamond"/>
                <w:b/>
                <w:iCs/>
                <w:sz w:val="20"/>
                <w:szCs w:val="20"/>
              </w:rPr>
            </w:pPr>
            <w:r w:rsidRPr="007E5F99">
              <w:rPr>
                <w:rFonts w:ascii="Garamond" w:hAnsi="Garamond"/>
                <w:b/>
                <w:iCs/>
                <w:sz w:val="20"/>
                <w:szCs w:val="20"/>
              </w:rPr>
              <w:t>Complete correlation of the corrected elements</w:t>
            </w:r>
          </w:p>
        </w:tc>
        <w:tc>
          <w:tcPr>
            <w:tcW w:w="1418" w:type="dxa"/>
            <w:tcBorders>
              <w:top w:val="single" w:sz="4" w:space="0" w:color="auto"/>
              <w:bottom w:val="single" w:sz="4" w:space="0" w:color="auto"/>
            </w:tcBorders>
            <w:shd w:val="clear" w:color="auto" w:fill="FFFFFF"/>
            <w:hideMark/>
          </w:tcPr>
          <w:p w14:paraId="0393DA20" w14:textId="77777777" w:rsidR="008E564F" w:rsidRPr="007E5F99" w:rsidRDefault="008E564F" w:rsidP="007E5F99">
            <w:pPr>
              <w:rPr>
                <w:rFonts w:ascii="Garamond" w:hAnsi="Garamond"/>
                <w:b/>
                <w:iCs/>
                <w:sz w:val="20"/>
                <w:szCs w:val="20"/>
              </w:rPr>
            </w:pPr>
            <w:r w:rsidRPr="007E5F99">
              <w:rPr>
                <w:rFonts w:ascii="Garamond" w:hAnsi="Garamond"/>
                <w:b/>
                <w:iCs/>
                <w:sz w:val="20"/>
                <w:szCs w:val="20"/>
              </w:rPr>
              <w:t>Cronbach's alpha if the item is deleted</w:t>
            </w:r>
          </w:p>
        </w:tc>
      </w:tr>
      <w:tr w:rsidR="008E564F" w:rsidRPr="008E564F" w14:paraId="64AFEA35" w14:textId="77777777" w:rsidTr="007E5F99">
        <w:trPr>
          <w:cantSplit/>
          <w:jc w:val="center"/>
        </w:trPr>
        <w:tc>
          <w:tcPr>
            <w:tcW w:w="4685" w:type="dxa"/>
            <w:tcBorders>
              <w:top w:val="single" w:sz="4" w:space="0" w:color="auto"/>
            </w:tcBorders>
            <w:hideMark/>
          </w:tcPr>
          <w:p w14:paraId="259BCC23"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1: Do you know the difference between rapid insulin and slow insulin?</w:t>
            </w:r>
          </w:p>
        </w:tc>
        <w:tc>
          <w:tcPr>
            <w:tcW w:w="1561" w:type="dxa"/>
            <w:tcBorders>
              <w:top w:val="single" w:sz="4" w:space="0" w:color="auto"/>
            </w:tcBorders>
            <w:shd w:val="clear" w:color="auto" w:fill="FFFFFF"/>
            <w:hideMark/>
          </w:tcPr>
          <w:p w14:paraId="64F3271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50,9667</w:t>
            </w:r>
          </w:p>
        </w:tc>
        <w:tc>
          <w:tcPr>
            <w:tcW w:w="1701" w:type="dxa"/>
            <w:tcBorders>
              <w:top w:val="single" w:sz="4" w:space="0" w:color="auto"/>
            </w:tcBorders>
            <w:shd w:val="clear" w:color="auto" w:fill="FFFFFF"/>
            <w:hideMark/>
          </w:tcPr>
          <w:p w14:paraId="5F2E9489"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30,240</w:t>
            </w:r>
          </w:p>
        </w:tc>
        <w:tc>
          <w:tcPr>
            <w:tcW w:w="1417" w:type="dxa"/>
            <w:tcBorders>
              <w:top w:val="single" w:sz="4" w:space="0" w:color="auto"/>
            </w:tcBorders>
            <w:shd w:val="clear" w:color="auto" w:fill="FFFFFF"/>
            <w:hideMark/>
          </w:tcPr>
          <w:p w14:paraId="1905320D"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0,232</w:t>
            </w:r>
          </w:p>
        </w:tc>
        <w:tc>
          <w:tcPr>
            <w:tcW w:w="1418" w:type="dxa"/>
            <w:tcBorders>
              <w:top w:val="single" w:sz="4" w:space="0" w:color="auto"/>
            </w:tcBorders>
            <w:shd w:val="clear" w:color="auto" w:fill="FFFFFF"/>
            <w:hideMark/>
          </w:tcPr>
          <w:p w14:paraId="775DCDDF"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0,694</w:t>
            </w:r>
          </w:p>
        </w:tc>
      </w:tr>
      <w:tr w:rsidR="008E564F" w:rsidRPr="008E564F" w14:paraId="0DE250F5" w14:textId="77777777" w:rsidTr="007E5F99">
        <w:trPr>
          <w:cantSplit/>
          <w:jc w:val="center"/>
        </w:trPr>
        <w:tc>
          <w:tcPr>
            <w:tcW w:w="4685" w:type="dxa"/>
            <w:hideMark/>
          </w:tcPr>
          <w:p w14:paraId="4BB8D96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2: Injection mode</w:t>
            </w:r>
          </w:p>
        </w:tc>
        <w:tc>
          <w:tcPr>
            <w:tcW w:w="1561" w:type="dxa"/>
            <w:shd w:val="clear" w:color="auto" w:fill="FFFFFF"/>
            <w:hideMark/>
          </w:tcPr>
          <w:p w14:paraId="0D784E2F"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50,8000</w:t>
            </w:r>
          </w:p>
        </w:tc>
        <w:tc>
          <w:tcPr>
            <w:tcW w:w="1701" w:type="dxa"/>
            <w:shd w:val="clear" w:color="auto" w:fill="FFFFFF"/>
            <w:hideMark/>
          </w:tcPr>
          <w:p w14:paraId="5B5C22C9"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31,269</w:t>
            </w:r>
          </w:p>
        </w:tc>
        <w:tc>
          <w:tcPr>
            <w:tcW w:w="1417" w:type="dxa"/>
            <w:shd w:val="clear" w:color="auto" w:fill="FFFFFF"/>
            <w:hideMark/>
          </w:tcPr>
          <w:p w14:paraId="78AF5E52"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0,042</w:t>
            </w:r>
          </w:p>
        </w:tc>
        <w:tc>
          <w:tcPr>
            <w:tcW w:w="1418" w:type="dxa"/>
            <w:shd w:val="clear" w:color="auto" w:fill="FFFFFF"/>
            <w:hideMark/>
          </w:tcPr>
          <w:p w14:paraId="7AC25FCE"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0,705</w:t>
            </w:r>
          </w:p>
        </w:tc>
      </w:tr>
      <w:tr w:rsidR="008E564F" w:rsidRPr="008E564F" w14:paraId="75FA44CD" w14:textId="77777777" w:rsidTr="007E5F99">
        <w:trPr>
          <w:cantSplit/>
          <w:jc w:val="center"/>
        </w:trPr>
        <w:tc>
          <w:tcPr>
            <w:tcW w:w="4685" w:type="dxa"/>
            <w:hideMark/>
          </w:tcPr>
          <w:p w14:paraId="3E4888DE"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3: Do you always use the same needle?</w:t>
            </w:r>
          </w:p>
        </w:tc>
        <w:tc>
          <w:tcPr>
            <w:tcW w:w="1561" w:type="dxa"/>
            <w:shd w:val="clear" w:color="auto" w:fill="FFFFFF"/>
            <w:hideMark/>
          </w:tcPr>
          <w:p w14:paraId="7FB77985"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50,8000</w:t>
            </w:r>
          </w:p>
        </w:tc>
        <w:tc>
          <w:tcPr>
            <w:tcW w:w="1701" w:type="dxa"/>
            <w:shd w:val="clear" w:color="auto" w:fill="FFFFFF"/>
            <w:hideMark/>
          </w:tcPr>
          <w:p w14:paraId="3CBDF175"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29,545</w:t>
            </w:r>
          </w:p>
        </w:tc>
        <w:tc>
          <w:tcPr>
            <w:tcW w:w="1417" w:type="dxa"/>
            <w:shd w:val="clear" w:color="auto" w:fill="FFFFFF"/>
            <w:hideMark/>
          </w:tcPr>
          <w:p w14:paraId="5DE4DF02"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0,357</w:t>
            </w:r>
          </w:p>
        </w:tc>
        <w:tc>
          <w:tcPr>
            <w:tcW w:w="1418" w:type="dxa"/>
            <w:shd w:val="clear" w:color="auto" w:fill="FFFFFF"/>
            <w:hideMark/>
          </w:tcPr>
          <w:p w14:paraId="304C30D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0,686</w:t>
            </w:r>
          </w:p>
        </w:tc>
      </w:tr>
      <w:tr w:rsidR="008E564F" w:rsidRPr="008E564F" w14:paraId="50B58994" w14:textId="77777777" w:rsidTr="007E5F99">
        <w:trPr>
          <w:cantSplit/>
          <w:jc w:val="center"/>
        </w:trPr>
        <w:tc>
          <w:tcPr>
            <w:tcW w:w="4685" w:type="dxa"/>
            <w:hideMark/>
          </w:tcPr>
          <w:p w14:paraId="1D2E5C1E"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4: Do you wash your hands before giving the insulin injection?</w:t>
            </w:r>
          </w:p>
        </w:tc>
        <w:tc>
          <w:tcPr>
            <w:tcW w:w="1561" w:type="dxa"/>
            <w:shd w:val="clear" w:color="auto" w:fill="FFFFFF"/>
            <w:hideMark/>
          </w:tcPr>
          <w:p w14:paraId="1690B74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50,8333</w:t>
            </w:r>
          </w:p>
        </w:tc>
        <w:tc>
          <w:tcPr>
            <w:tcW w:w="1701" w:type="dxa"/>
            <w:shd w:val="clear" w:color="auto" w:fill="FFFFFF"/>
            <w:hideMark/>
          </w:tcPr>
          <w:p w14:paraId="48D2EF9C"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30,626</w:t>
            </w:r>
          </w:p>
        </w:tc>
        <w:tc>
          <w:tcPr>
            <w:tcW w:w="1417" w:type="dxa"/>
            <w:shd w:val="clear" w:color="auto" w:fill="FFFFFF"/>
            <w:hideMark/>
          </w:tcPr>
          <w:p w14:paraId="5F3F19F3"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0,156</w:t>
            </w:r>
          </w:p>
        </w:tc>
        <w:tc>
          <w:tcPr>
            <w:tcW w:w="1418" w:type="dxa"/>
            <w:shd w:val="clear" w:color="auto" w:fill="FFFFFF"/>
            <w:hideMark/>
          </w:tcPr>
          <w:p w14:paraId="12D356CC"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0,699</w:t>
            </w:r>
          </w:p>
        </w:tc>
      </w:tr>
      <w:tr w:rsidR="008E564F" w:rsidRPr="008E564F" w14:paraId="63E0CE66" w14:textId="77777777" w:rsidTr="007E5F99">
        <w:trPr>
          <w:cantSplit/>
          <w:jc w:val="center"/>
        </w:trPr>
        <w:tc>
          <w:tcPr>
            <w:tcW w:w="4685" w:type="dxa"/>
            <w:hideMark/>
          </w:tcPr>
          <w:p w14:paraId="5F6BD8D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5: Do you change the injection site?</w:t>
            </w:r>
          </w:p>
        </w:tc>
        <w:tc>
          <w:tcPr>
            <w:tcW w:w="1561" w:type="dxa"/>
            <w:shd w:val="clear" w:color="auto" w:fill="FFFFFF"/>
            <w:hideMark/>
          </w:tcPr>
          <w:p w14:paraId="4769B2E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50,9000</w:t>
            </w:r>
          </w:p>
        </w:tc>
        <w:tc>
          <w:tcPr>
            <w:tcW w:w="1701" w:type="dxa"/>
            <w:shd w:val="clear" w:color="auto" w:fill="FFFFFF"/>
            <w:hideMark/>
          </w:tcPr>
          <w:p w14:paraId="3D010DC0"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34,369</w:t>
            </w:r>
          </w:p>
        </w:tc>
        <w:tc>
          <w:tcPr>
            <w:tcW w:w="1417" w:type="dxa"/>
            <w:shd w:val="clear" w:color="auto" w:fill="FFFFFF"/>
            <w:hideMark/>
          </w:tcPr>
          <w:p w14:paraId="6C7963AD"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-0,482</w:t>
            </w:r>
          </w:p>
        </w:tc>
        <w:tc>
          <w:tcPr>
            <w:tcW w:w="1418" w:type="dxa"/>
            <w:shd w:val="clear" w:color="auto" w:fill="FFFFFF"/>
            <w:hideMark/>
          </w:tcPr>
          <w:p w14:paraId="07F1D764"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0,735</w:t>
            </w:r>
          </w:p>
        </w:tc>
      </w:tr>
      <w:tr w:rsidR="008E564F" w:rsidRPr="008E564F" w14:paraId="2A783DEE" w14:textId="77777777" w:rsidTr="007E5F99">
        <w:trPr>
          <w:cantSplit/>
          <w:jc w:val="center"/>
        </w:trPr>
        <w:tc>
          <w:tcPr>
            <w:tcW w:w="4685" w:type="dxa"/>
            <w:hideMark/>
          </w:tcPr>
          <w:p w14:paraId="425B0C4D"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6: Do you clean the injection site with a disinfectant product?</w:t>
            </w:r>
          </w:p>
        </w:tc>
        <w:tc>
          <w:tcPr>
            <w:tcW w:w="1561" w:type="dxa"/>
            <w:shd w:val="clear" w:color="auto" w:fill="FFFFFF"/>
            <w:hideMark/>
          </w:tcPr>
          <w:p w14:paraId="39F3B95E"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50,9667</w:t>
            </w:r>
          </w:p>
        </w:tc>
        <w:tc>
          <w:tcPr>
            <w:tcW w:w="1701" w:type="dxa"/>
            <w:shd w:val="clear" w:color="auto" w:fill="FFFFFF"/>
            <w:hideMark/>
          </w:tcPr>
          <w:p w14:paraId="561B2B5B"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33,964</w:t>
            </w:r>
          </w:p>
        </w:tc>
        <w:tc>
          <w:tcPr>
            <w:tcW w:w="1417" w:type="dxa"/>
            <w:shd w:val="clear" w:color="auto" w:fill="FFFFFF"/>
            <w:hideMark/>
          </w:tcPr>
          <w:p w14:paraId="6B5B249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-0,423</w:t>
            </w:r>
          </w:p>
        </w:tc>
        <w:tc>
          <w:tcPr>
            <w:tcW w:w="1418" w:type="dxa"/>
            <w:shd w:val="clear" w:color="auto" w:fill="FFFFFF"/>
            <w:hideMark/>
          </w:tcPr>
          <w:p w14:paraId="2297893A"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0,731</w:t>
            </w:r>
          </w:p>
        </w:tc>
      </w:tr>
      <w:tr w:rsidR="008E564F" w:rsidRPr="008E564F" w14:paraId="5F1900EE" w14:textId="77777777" w:rsidTr="007E5F99">
        <w:trPr>
          <w:cantSplit/>
          <w:jc w:val="center"/>
        </w:trPr>
        <w:tc>
          <w:tcPr>
            <w:tcW w:w="4685" w:type="dxa"/>
            <w:hideMark/>
          </w:tcPr>
          <w:p w14:paraId="61EC8E5A"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7: Do you purge the air bubbles before injecting?</w:t>
            </w:r>
          </w:p>
        </w:tc>
        <w:tc>
          <w:tcPr>
            <w:tcW w:w="1561" w:type="dxa"/>
            <w:shd w:val="clear" w:color="auto" w:fill="FFFFFF"/>
            <w:hideMark/>
          </w:tcPr>
          <w:p w14:paraId="4B1E0A0E"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50,9667</w:t>
            </w:r>
          </w:p>
        </w:tc>
        <w:tc>
          <w:tcPr>
            <w:tcW w:w="1701" w:type="dxa"/>
            <w:shd w:val="clear" w:color="auto" w:fill="FFFFFF"/>
            <w:hideMark/>
          </w:tcPr>
          <w:p w14:paraId="5A74A27C"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29,895</w:t>
            </w:r>
          </w:p>
        </w:tc>
        <w:tc>
          <w:tcPr>
            <w:tcW w:w="1417" w:type="dxa"/>
            <w:shd w:val="clear" w:color="auto" w:fill="FFFFFF"/>
            <w:hideMark/>
          </w:tcPr>
          <w:p w14:paraId="478A625D"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0,296</w:t>
            </w:r>
          </w:p>
        </w:tc>
        <w:tc>
          <w:tcPr>
            <w:tcW w:w="1418" w:type="dxa"/>
            <w:shd w:val="clear" w:color="auto" w:fill="FFFFFF"/>
            <w:hideMark/>
          </w:tcPr>
          <w:p w14:paraId="22EC522B"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0,690</w:t>
            </w:r>
          </w:p>
        </w:tc>
      </w:tr>
      <w:tr w:rsidR="008E564F" w:rsidRPr="008E564F" w14:paraId="48D13651" w14:textId="77777777" w:rsidTr="007E5F99">
        <w:trPr>
          <w:cantSplit/>
          <w:jc w:val="center"/>
        </w:trPr>
        <w:tc>
          <w:tcPr>
            <w:tcW w:w="4685" w:type="dxa"/>
            <w:hideMark/>
          </w:tcPr>
          <w:p w14:paraId="5D4584F9"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8: Do you pinch the skin during injection?</w:t>
            </w:r>
          </w:p>
        </w:tc>
        <w:tc>
          <w:tcPr>
            <w:tcW w:w="1561" w:type="dxa"/>
            <w:shd w:val="clear" w:color="auto" w:fill="FFFFFF"/>
            <w:hideMark/>
          </w:tcPr>
          <w:p w14:paraId="4F0B2E7B"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50,9000</w:t>
            </w:r>
          </w:p>
        </w:tc>
        <w:tc>
          <w:tcPr>
            <w:tcW w:w="1701" w:type="dxa"/>
            <w:shd w:val="clear" w:color="auto" w:fill="FFFFFF"/>
            <w:hideMark/>
          </w:tcPr>
          <w:p w14:paraId="7B02FF58"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28,231</w:t>
            </w:r>
          </w:p>
        </w:tc>
        <w:tc>
          <w:tcPr>
            <w:tcW w:w="1417" w:type="dxa"/>
            <w:shd w:val="clear" w:color="auto" w:fill="FFFFFF"/>
            <w:hideMark/>
          </w:tcPr>
          <w:p w14:paraId="3D0ACAEE"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0,606</w:t>
            </w:r>
          </w:p>
        </w:tc>
        <w:tc>
          <w:tcPr>
            <w:tcW w:w="1418" w:type="dxa"/>
            <w:shd w:val="clear" w:color="auto" w:fill="FFFFFF"/>
            <w:hideMark/>
          </w:tcPr>
          <w:p w14:paraId="6217DEF5"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0,670</w:t>
            </w:r>
          </w:p>
        </w:tc>
      </w:tr>
      <w:tr w:rsidR="008E564F" w:rsidRPr="008E564F" w14:paraId="0577A243" w14:textId="77777777" w:rsidTr="007E5F99">
        <w:trPr>
          <w:cantSplit/>
          <w:jc w:val="center"/>
        </w:trPr>
        <w:tc>
          <w:tcPr>
            <w:tcW w:w="4685" w:type="dxa"/>
            <w:hideMark/>
          </w:tcPr>
          <w:p w14:paraId="1D1DAF0C"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9: Do you adjust your insulin dose based on your meals?</w:t>
            </w:r>
          </w:p>
        </w:tc>
        <w:tc>
          <w:tcPr>
            <w:tcW w:w="1561" w:type="dxa"/>
            <w:shd w:val="clear" w:color="auto" w:fill="FFFFFF"/>
            <w:hideMark/>
          </w:tcPr>
          <w:p w14:paraId="16D12F3C"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50,7000</w:t>
            </w:r>
          </w:p>
        </w:tc>
        <w:tc>
          <w:tcPr>
            <w:tcW w:w="1701" w:type="dxa"/>
            <w:shd w:val="clear" w:color="auto" w:fill="FFFFFF"/>
            <w:hideMark/>
          </w:tcPr>
          <w:p w14:paraId="720DDC6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29,114</w:t>
            </w:r>
          </w:p>
        </w:tc>
        <w:tc>
          <w:tcPr>
            <w:tcW w:w="1417" w:type="dxa"/>
            <w:shd w:val="clear" w:color="auto" w:fill="FFFFFF"/>
            <w:hideMark/>
          </w:tcPr>
          <w:p w14:paraId="18CD197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0,279</w:t>
            </w:r>
          </w:p>
        </w:tc>
        <w:tc>
          <w:tcPr>
            <w:tcW w:w="1418" w:type="dxa"/>
            <w:shd w:val="clear" w:color="auto" w:fill="FFFFFF"/>
            <w:hideMark/>
          </w:tcPr>
          <w:p w14:paraId="0F5686A2"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0,690</w:t>
            </w:r>
          </w:p>
        </w:tc>
      </w:tr>
      <w:tr w:rsidR="008E564F" w:rsidRPr="008E564F" w14:paraId="5F59EBF0" w14:textId="77777777" w:rsidTr="007E5F99">
        <w:trPr>
          <w:cantSplit/>
          <w:jc w:val="center"/>
        </w:trPr>
        <w:tc>
          <w:tcPr>
            <w:tcW w:w="4685" w:type="dxa"/>
            <w:hideMark/>
          </w:tcPr>
          <w:p w14:paraId="59989AA9"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10: Do you ever skip an injection?</w:t>
            </w:r>
          </w:p>
        </w:tc>
        <w:tc>
          <w:tcPr>
            <w:tcW w:w="1561" w:type="dxa"/>
            <w:shd w:val="clear" w:color="auto" w:fill="FFFFFF"/>
            <w:hideMark/>
          </w:tcPr>
          <w:p w14:paraId="4E7239AF"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50,7333</w:t>
            </w:r>
          </w:p>
        </w:tc>
        <w:tc>
          <w:tcPr>
            <w:tcW w:w="1701" w:type="dxa"/>
            <w:shd w:val="clear" w:color="auto" w:fill="FFFFFF"/>
            <w:hideMark/>
          </w:tcPr>
          <w:p w14:paraId="0F1BC4D2"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29,099</w:t>
            </w:r>
          </w:p>
        </w:tc>
        <w:tc>
          <w:tcPr>
            <w:tcW w:w="1417" w:type="dxa"/>
            <w:shd w:val="clear" w:color="auto" w:fill="FFFFFF"/>
            <w:hideMark/>
          </w:tcPr>
          <w:p w14:paraId="375A6263"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0,457</w:t>
            </w:r>
          </w:p>
        </w:tc>
        <w:tc>
          <w:tcPr>
            <w:tcW w:w="1418" w:type="dxa"/>
            <w:shd w:val="clear" w:color="auto" w:fill="FFFFFF"/>
            <w:hideMark/>
          </w:tcPr>
          <w:p w14:paraId="217D4F5A"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0,680</w:t>
            </w:r>
          </w:p>
        </w:tc>
      </w:tr>
      <w:tr w:rsidR="008E564F" w:rsidRPr="008E564F" w14:paraId="5A85C99D" w14:textId="77777777" w:rsidTr="007E5F99">
        <w:trPr>
          <w:cantSplit/>
          <w:jc w:val="center"/>
        </w:trPr>
        <w:tc>
          <w:tcPr>
            <w:tcW w:w="4685" w:type="dxa"/>
            <w:hideMark/>
          </w:tcPr>
          <w:p w14:paraId="17BD3187"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11: What do you do if you forget an insulin injection?</w:t>
            </w:r>
          </w:p>
        </w:tc>
        <w:tc>
          <w:tcPr>
            <w:tcW w:w="1561" w:type="dxa"/>
            <w:shd w:val="clear" w:color="auto" w:fill="FFFFFF"/>
            <w:hideMark/>
          </w:tcPr>
          <w:p w14:paraId="5021CBA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50,6667</w:t>
            </w:r>
          </w:p>
        </w:tc>
        <w:tc>
          <w:tcPr>
            <w:tcW w:w="1701" w:type="dxa"/>
            <w:shd w:val="clear" w:color="auto" w:fill="FFFFFF"/>
            <w:hideMark/>
          </w:tcPr>
          <w:p w14:paraId="3B8DB32F"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29,816</w:t>
            </w:r>
          </w:p>
        </w:tc>
        <w:tc>
          <w:tcPr>
            <w:tcW w:w="1417" w:type="dxa"/>
            <w:shd w:val="clear" w:color="auto" w:fill="FFFFFF"/>
            <w:hideMark/>
          </w:tcPr>
          <w:p w14:paraId="461FE7CB"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0,339</w:t>
            </w:r>
          </w:p>
        </w:tc>
        <w:tc>
          <w:tcPr>
            <w:tcW w:w="1418" w:type="dxa"/>
            <w:shd w:val="clear" w:color="auto" w:fill="FFFFFF"/>
            <w:hideMark/>
          </w:tcPr>
          <w:p w14:paraId="510C28CB"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0,688</w:t>
            </w:r>
          </w:p>
        </w:tc>
      </w:tr>
      <w:tr w:rsidR="008E564F" w:rsidRPr="008E564F" w14:paraId="1595F374" w14:textId="77777777" w:rsidTr="007E5F99">
        <w:trPr>
          <w:cantSplit/>
          <w:jc w:val="center"/>
        </w:trPr>
        <w:tc>
          <w:tcPr>
            <w:tcW w:w="4685" w:type="dxa"/>
            <w:hideMark/>
          </w:tcPr>
          <w:p w14:paraId="59946C04"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12: What do you do in case of hypoglycemia?</w:t>
            </w:r>
          </w:p>
        </w:tc>
        <w:tc>
          <w:tcPr>
            <w:tcW w:w="1561" w:type="dxa"/>
            <w:shd w:val="clear" w:color="auto" w:fill="FFFFFF"/>
            <w:hideMark/>
          </w:tcPr>
          <w:p w14:paraId="2E00C972"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50,7333</w:t>
            </w:r>
          </w:p>
        </w:tc>
        <w:tc>
          <w:tcPr>
            <w:tcW w:w="1701" w:type="dxa"/>
            <w:shd w:val="clear" w:color="auto" w:fill="FFFFFF"/>
            <w:hideMark/>
          </w:tcPr>
          <w:p w14:paraId="6F3CD4C8"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32,409</w:t>
            </w:r>
          </w:p>
        </w:tc>
        <w:tc>
          <w:tcPr>
            <w:tcW w:w="1417" w:type="dxa"/>
            <w:shd w:val="clear" w:color="auto" w:fill="FFFFFF"/>
            <w:hideMark/>
          </w:tcPr>
          <w:p w14:paraId="0BBBE99B"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-0,160</w:t>
            </w:r>
          </w:p>
        </w:tc>
        <w:tc>
          <w:tcPr>
            <w:tcW w:w="1418" w:type="dxa"/>
            <w:shd w:val="clear" w:color="auto" w:fill="FFFFFF"/>
            <w:hideMark/>
          </w:tcPr>
          <w:p w14:paraId="42FD96FB"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0,716</w:t>
            </w:r>
          </w:p>
        </w:tc>
      </w:tr>
      <w:tr w:rsidR="008E564F" w:rsidRPr="008E564F" w14:paraId="19F71297" w14:textId="77777777" w:rsidTr="007E5F99">
        <w:trPr>
          <w:cantSplit/>
          <w:jc w:val="center"/>
        </w:trPr>
        <w:tc>
          <w:tcPr>
            <w:tcW w:w="4685" w:type="dxa"/>
            <w:hideMark/>
          </w:tcPr>
          <w:p w14:paraId="34A95B92"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13: What do you do in case of hyperglycemia?</w:t>
            </w:r>
          </w:p>
        </w:tc>
        <w:tc>
          <w:tcPr>
            <w:tcW w:w="1561" w:type="dxa"/>
            <w:shd w:val="clear" w:color="auto" w:fill="FFFFFF"/>
            <w:hideMark/>
          </w:tcPr>
          <w:p w14:paraId="602AACE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50,7667</w:t>
            </w:r>
          </w:p>
        </w:tc>
        <w:tc>
          <w:tcPr>
            <w:tcW w:w="1701" w:type="dxa"/>
            <w:shd w:val="clear" w:color="auto" w:fill="FFFFFF"/>
            <w:hideMark/>
          </w:tcPr>
          <w:p w14:paraId="60372075"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29,564</w:t>
            </w:r>
          </w:p>
        </w:tc>
        <w:tc>
          <w:tcPr>
            <w:tcW w:w="1417" w:type="dxa"/>
            <w:shd w:val="clear" w:color="auto" w:fill="FFFFFF"/>
            <w:hideMark/>
          </w:tcPr>
          <w:p w14:paraId="3DE517D9"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0,359</w:t>
            </w:r>
          </w:p>
        </w:tc>
        <w:tc>
          <w:tcPr>
            <w:tcW w:w="1418" w:type="dxa"/>
            <w:shd w:val="clear" w:color="auto" w:fill="FFFFFF"/>
            <w:hideMark/>
          </w:tcPr>
          <w:p w14:paraId="18D0B687"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0,686</w:t>
            </w:r>
          </w:p>
        </w:tc>
      </w:tr>
      <w:tr w:rsidR="008E564F" w:rsidRPr="008E564F" w14:paraId="4C126781" w14:textId="77777777" w:rsidTr="007E5F99">
        <w:trPr>
          <w:cantSplit/>
          <w:jc w:val="center"/>
        </w:trPr>
        <w:tc>
          <w:tcPr>
            <w:tcW w:w="4685" w:type="dxa"/>
            <w:hideMark/>
          </w:tcPr>
          <w:p w14:paraId="3690F184"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14: How do you store your insulin?</w:t>
            </w:r>
          </w:p>
        </w:tc>
        <w:tc>
          <w:tcPr>
            <w:tcW w:w="1561" w:type="dxa"/>
            <w:shd w:val="clear" w:color="auto" w:fill="FFFFFF"/>
            <w:hideMark/>
          </w:tcPr>
          <w:p w14:paraId="718E137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50,8000</w:t>
            </w:r>
          </w:p>
        </w:tc>
        <w:tc>
          <w:tcPr>
            <w:tcW w:w="1701" w:type="dxa"/>
            <w:shd w:val="clear" w:color="auto" w:fill="FFFFFF"/>
            <w:hideMark/>
          </w:tcPr>
          <w:p w14:paraId="728CC29E"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29,476</w:t>
            </w:r>
          </w:p>
        </w:tc>
        <w:tc>
          <w:tcPr>
            <w:tcW w:w="1417" w:type="dxa"/>
            <w:shd w:val="clear" w:color="auto" w:fill="FFFFFF"/>
            <w:hideMark/>
          </w:tcPr>
          <w:p w14:paraId="1D132F3F"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0,370</w:t>
            </w:r>
          </w:p>
        </w:tc>
        <w:tc>
          <w:tcPr>
            <w:tcW w:w="1418" w:type="dxa"/>
            <w:shd w:val="clear" w:color="auto" w:fill="FFFFFF"/>
            <w:hideMark/>
          </w:tcPr>
          <w:p w14:paraId="0408438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0,685</w:t>
            </w:r>
          </w:p>
        </w:tc>
      </w:tr>
      <w:tr w:rsidR="008E564F" w:rsidRPr="008E564F" w14:paraId="51B678FB" w14:textId="77777777" w:rsidTr="007E5F99">
        <w:trPr>
          <w:cantSplit/>
          <w:jc w:val="center"/>
        </w:trPr>
        <w:tc>
          <w:tcPr>
            <w:tcW w:w="4685" w:type="dxa"/>
            <w:hideMark/>
          </w:tcPr>
          <w:p w14:paraId="7919B02D"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15: How do you manage unforeseen events (travel, meals at a restaurant, etc.)?</w:t>
            </w:r>
          </w:p>
        </w:tc>
        <w:tc>
          <w:tcPr>
            <w:tcW w:w="1561" w:type="dxa"/>
            <w:shd w:val="clear" w:color="auto" w:fill="FFFFFF"/>
            <w:hideMark/>
          </w:tcPr>
          <w:p w14:paraId="6988B943"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50,5333</w:t>
            </w:r>
          </w:p>
        </w:tc>
        <w:tc>
          <w:tcPr>
            <w:tcW w:w="1701" w:type="dxa"/>
            <w:shd w:val="clear" w:color="auto" w:fill="FFFFFF"/>
            <w:hideMark/>
          </w:tcPr>
          <w:p w14:paraId="3D38368D"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27,154</w:t>
            </w:r>
          </w:p>
        </w:tc>
        <w:tc>
          <w:tcPr>
            <w:tcW w:w="1417" w:type="dxa"/>
            <w:shd w:val="clear" w:color="auto" w:fill="FFFFFF"/>
            <w:hideMark/>
          </w:tcPr>
          <w:p w14:paraId="309198B0"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0,450</w:t>
            </w:r>
          </w:p>
        </w:tc>
        <w:tc>
          <w:tcPr>
            <w:tcW w:w="1418" w:type="dxa"/>
            <w:shd w:val="clear" w:color="auto" w:fill="FFFFFF"/>
            <w:hideMark/>
          </w:tcPr>
          <w:p w14:paraId="5C9B6D2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0,672</w:t>
            </w:r>
          </w:p>
        </w:tc>
      </w:tr>
      <w:tr w:rsidR="008E564F" w:rsidRPr="008E564F" w14:paraId="7F810A7E" w14:textId="77777777" w:rsidTr="007E5F99">
        <w:trPr>
          <w:cantSplit/>
          <w:jc w:val="center"/>
        </w:trPr>
        <w:tc>
          <w:tcPr>
            <w:tcW w:w="4685" w:type="dxa"/>
            <w:hideMark/>
          </w:tcPr>
          <w:p w14:paraId="604C27E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16: Have you ever encountered difficulties in managing your insulin treatment?</w:t>
            </w:r>
          </w:p>
        </w:tc>
        <w:tc>
          <w:tcPr>
            <w:tcW w:w="1561" w:type="dxa"/>
            <w:shd w:val="clear" w:color="auto" w:fill="FFFFFF"/>
            <w:hideMark/>
          </w:tcPr>
          <w:p w14:paraId="64A37FEA"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50,4333</w:t>
            </w:r>
          </w:p>
        </w:tc>
        <w:tc>
          <w:tcPr>
            <w:tcW w:w="1701" w:type="dxa"/>
            <w:shd w:val="clear" w:color="auto" w:fill="FFFFFF"/>
            <w:hideMark/>
          </w:tcPr>
          <w:p w14:paraId="6F6F1A48"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30,599</w:t>
            </w:r>
          </w:p>
        </w:tc>
        <w:tc>
          <w:tcPr>
            <w:tcW w:w="1417" w:type="dxa"/>
            <w:shd w:val="clear" w:color="auto" w:fill="FFFFFF"/>
            <w:hideMark/>
          </w:tcPr>
          <w:p w14:paraId="14503A0A"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0,127</w:t>
            </w:r>
          </w:p>
        </w:tc>
        <w:tc>
          <w:tcPr>
            <w:tcW w:w="1418" w:type="dxa"/>
            <w:shd w:val="clear" w:color="auto" w:fill="FFFFFF"/>
            <w:hideMark/>
          </w:tcPr>
          <w:p w14:paraId="64CF4B1A"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0,701</w:t>
            </w:r>
          </w:p>
        </w:tc>
      </w:tr>
      <w:tr w:rsidR="008E564F" w:rsidRPr="008E564F" w14:paraId="1ACB5DEC" w14:textId="77777777" w:rsidTr="007E5F99">
        <w:trPr>
          <w:cantSplit/>
          <w:jc w:val="center"/>
        </w:trPr>
        <w:tc>
          <w:tcPr>
            <w:tcW w:w="4685" w:type="dxa"/>
            <w:hideMark/>
          </w:tcPr>
          <w:p w14:paraId="147C931D"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17: Who will administer the insulin injection to you?</w:t>
            </w:r>
          </w:p>
        </w:tc>
        <w:tc>
          <w:tcPr>
            <w:tcW w:w="1561" w:type="dxa"/>
            <w:shd w:val="clear" w:color="auto" w:fill="FFFFFF"/>
            <w:hideMark/>
          </w:tcPr>
          <w:p w14:paraId="0A248572"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51,0000</w:t>
            </w:r>
          </w:p>
        </w:tc>
        <w:tc>
          <w:tcPr>
            <w:tcW w:w="1701" w:type="dxa"/>
            <w:shd w:val="clear" w:color="auto" w:fill="FFFFFF"/>
            <w:hideMark/>
          </w:tcPr>
          <w:p w14:paraId="36202BF3"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29,172</w:t>
            </w:r>
          </w:p>
        </w:tc>
        <w:tc>
          <w:tcPr>
            <w:tcW w:w="1417" w:type="dxa"/>
            <w:shd w:val="clear" w:color="auto" w:fill="FFFFFF"/>
            <w:hideMark/>
          </w:tcPr>
          <w:p w14:paraId="0B42D25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0,443</w:t>
            </w:r>
          </w:p>
        </w:tc>
        <w:tc>
          <w:tcPr>
            <w:tcW w:w="1418" w:type="dxa"/>
            <w:shd w:val="clear" w:color="auto" w:fill="FFFFFF"/>
            <w:hideMark/>
          </w:tcPr>
          <w:p w14:paraId="1D8BE48B"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0,681</w:t>
            </w:r>
          </w:p>
        </w:tc>
      </w:tr>
      <w:tr w:rsidR="008E564F" w:rsidRPr="008E564F" w14:paraId="38E1D794" w14:textId="77777777" w:rsidTr="007E5F99">
        <w:trPr>
          <w:cantSplit/>
          <w:jc w:val="center"/>
        </w:trPr>
        <w:tc>
          <w:tcPr>
            <w:tcW w:w="4685" w:type="dxa"/>
            <w:hideMark/>
          </w:tcPr>
          <w:p w14:paraId="06DEEDC5"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18: What are the positive aspects of this treatment?</w:t>
            </w:r>
          </w:p>
        </w:tc>
        <w:tc>
          <w:tcPr>
            <w:tcW w:w="1561" w:type="dxa"/>
            <w:shd w:val="clear" w:color="auto" w:fill="FFFFFF"/>
            <w:hideMark/>
          </w:tcPr>
          <w:p w14:paraId="31545989"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51,0667</w:t>
            </w:r>
          </w:p>
        </w:tc>
        <w:tc>
          <w:tcPr>
            <w:tcW w:w="1701" w:type="dxa"/>
            <w:shd w:val="clear" w:color="auto" w:fill="FFFFFF"/>
            <w:hideMark/>
          </w:tcPr>
          <w:p w14:paraId="0BFBB4BD"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29,237</w:t>
            </w:r>
          </w:p>
        </w:tc>
        <w:tc>
          <w:tcPr>
            <w:tcW w:w="1417" w:type="dxa"/>
            <w:shd w:val="clear" w:color="auto" w:fill="FFFFFF"/>
            <w:hideMark/>
          </w:tcPr>
          <w:p w14:paraId="52517393"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0,457</w:t>
            </w:r>
          </w:p>
        </w:tc>
        <w:tc>
          <w:tcPr>
            <w:tcW w:w="1418" w:type="dxa"/>
            <w:shd w:val="clear" w:color="auto" w:fill="FFFFFF"/>
            <w:hideMark/>
          </w:tcPr>
          <w:p w14:paraId="19CBC218"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0,681</w:t>
            </w:r>
          </w:p>
        </w:tc>
      </w:tr>
      <w:tr w:rsidR="008E564F" w:rsidRPr="008E564F" w14:paraId="05B0271E" w14:textId="77777777" w:rsidTr="007E5F99">
        <w:trPr>
          <w:cantSplit/>
          <w:jc w:val="center"/>
        </w:trPr>
        <w:tc>
          <w:tcPr>
            <w:tcW w:w="4685" w:type="dxa"/>
            <w:hideMark/>
          </w:tcPr>
          <w:p w14:paraId="4B181FD5"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19: What are the negative aspects of this treatment?</w:t>
            </w:r>
          </w:p>
        </w:tc>
        <w:tc>
          <w:tcPr>
            <w:tcW w:w="1561" w:type="dxa"/>
            <w:shd w:val="clear" w:color="auto" w:fill="FFFFFF"/>
            <w:hideMark/>
          </w:tcPr>
          <w:p w14:paraId="778A0AC3"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51,0000</w:t>
            </w:r>
          </w:p>
        </w:tc>
        <w:tc>
          <w:tcPr>
            <w:tcW w:w="1701" w:type="dxa"/>
            <w:shd w:val="clear" w:color="auto" w:fill="FFFFFF"/>
            <w:hideMark/>
          </w:tcPr>
          <w:p w14:paraId="05CBD99F"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31,310</w:t>
            </w:r>
          </w:p>
        </w:tc>
        <w:tc>
          <w:tcPr>
            <w:tcW w:w="1417" w:type="dxa"/>
            <w:shd w:val="clear" w:color="auto" w:fill="FFFFFF"/>
            <w:hideMark/>
          </w:tcPr>
          <w:p w14:paraId="7868691F"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0,038</w:t>
            </w:r>
          </w:p>
        </w:tc>
        <w:tc>
          <w:tcPr>
            <w:tcW w:w="1418" w:type="dxa"/>
            <w:shd w:val="clear" w:color="auto" w:fill="FFFFFF"/>
            <w:hideMark/>
          </w:tcPr>
          <w:p w14:paraId="5895CB9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0,705</w:t>
            </w:r>
          </w:p>
        </w:tc>
      </w:tr>
      <w:tr w:rsidR="008E564F" w:rsidRPr="008E564F" w14:paraId="7E492478" w14:textId="77777777" w:rsidTr="007E5F99">
        <w:trPr>
          <w:cantSplit/>
          <w:jc w:val="center"/>
        </w:trPr>
        <w:tc>
          <w:tcPr>
            <w:tcW w:w="4685" w:type="dxa"/>
            <w:hideMark/>
          </w:tcPr>
          <w:p w14:paraId="51D95368"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20: Do you experience difficulties in managing your diabetes on a daily basis?</w:t>
            </w:r>
          </w:p>
        </w:tc>
        <w:tc>
          <w:tcPr>
            <w:tcW w:w="1561" w:type="dxa"/>
            <w:shd w:val="clear" w:color="auto" w:fill="FFFFFF"/>
            <w:hideMark/>
          </w:tcPr>
          <w:p w14:paraId="1961AEC0"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50,5000</w:t>
            </w:r>
          </w:p>
        </w:tc>
        <w:tc>
          <w:tcPr>
            <w:tcW w:w="1701" w:type="dxa"/>
            <w:shd w:val="clear" w:color="auto" w:fill="FFFFFF"/>
            <w:hideMark/>
          </w:tcPr>
          <w:p w14:paraId="5379B9CA"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27,431</w:t>
            </w:r>
          </w:p>
        </w:tc>
        <w:tc>
          <w:tcPr>
            <w:tcW w:w="1417" w:type="dxa"/>
            <w:shd w:val="clear" w:color="auto" w:fill="FFFFFF"/>
            <w:hideMark/>
          </w:tcPr>
          <w:p w14:paraId="7FD9638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0,496</w:t>
            </w:r>
          </w:p>
        </w:tc>
        <w:tc>
          <w:tcPr>
            <w:tcW w:w="1418" w:type="dxa"/>
            <w:shd w:val="clear" w:color="auto" w:fill="FFFFFF"/>
            <w:hideMark/>
          </w:tcPr>
          <w:p w14:paraId="51CB45FF"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0,670</w:t>
            </w:r>
          </w:p>
        </w:tc>
      </w:tr>
      <w:tr w:rsidR="008E564F" w:rsidRPr="008E564F" w14:paraId="510C2213" w14:textId="77777777" w:rsidTr="007E5F99">
        <w:trPr>
          <w:cantSplit/>
          <w:jc w:val="center"/>
        </w:trPr>
        <w:tc>
          <w:tcPr>
            <w:tcW w:w="4685" w:type="dxa"/>
            <w:hideMark/>
          </w:tcPr>
          <w:p w14:paraId="570911D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21: How often do you see your primary care physician or your endocrinologist?</w:t>
            </w:r>
          </w:p>
        </w:tc>
        <w:tc>
          <w:tcPr>
            <w:tcW w:w="1561" w:type="dxa"/>
            <w:shd w:val="clear" w:color="auto" w:fill="FFFFFF"/>
            <w:hideMark/>
          </w:tcPr>
          <w:p w14:paraId="11FD737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50,2000</w:t>
            </w:r>
          </w:p>
        </w:tc>
        <w:tc>
          <w:tcPr>
            <w:tcW w:w="1701" w:type="dxa"/>
            <w:shd w:val="clear" w:color="auto" w:fill="FFFFFF"/>
            <w:hideMark/>
          </w:tcPr>
          <w:p w14:paraId="43427AD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29,131</w:t>
            </w:r>
          </w:p>
        </w:tc>
        <w:tc>
          <w:tcPr>
            <w:tcW w:w="1417" w:type="dxa"/>
            <w:shd w:val="clear" w:color="auto" w:fill="FFFFFF"/>
            <w:hideMark/>
          </w:tcPr>
          <w:p w14:paraId="686F33D7"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0,234</w:t>
            </w:r>
          </w:p>
        </w:tc>
        <w:tc>
          <w:tcPr>
            <w:tcW w:w="1418" w:type="dxa"/>
            <w:shd w:val="clear" w:color="auto" w:fill="FFFFFF"/>
            <w:hideMark/>
          </w:tcPr>
          <w:p w14:paraId="0D249F9E"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0,694</w:t>
            </w:r>
          </w:p>
        </w:tc>
      </w:tr>
      <w:tr w:rsidR="008E564F" w:rsidRPr="008E564F" w14:paraId="0C968591" w14:textId="77777777" w:rsidTr="007E5F99">
        <w:trPr>
          <w:cantSplit/>
          <w:jc w:val="center"/>
        </w:trPr>
        <w:tc>
          <w:tcPr>
            <w:tcW w:w="4685" w:type="dxa"/>
            <w:hideMark/>
          </w:tcPr>
          <w:p w14:paraId="59841D2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22: Do you check the expiration date of the bottle?</w:t>
            </w:r>
          </w:p>
        </w:tc>
        <w:tc>
          <w:tcPr>
            <w:tcW w:w="1561" w:type="dxa"/>
            <w:shd w:val="clear" w:color="auto" w:fill="FFFFFF"/>
            <w:hideMark/>
          </w:tcPr>
          <w:p w14:paraId="3C5F2A60"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50,8667</w:t>
            </w:r>
          </w:p>
        </w:tc>
        <w:tc>
          <w:tcPr>
            <w:tcW w:w="1701" w:type="dxa"/>
            <w:shd w:val="clear" w:color="auto" w:fill="FFFFFF"/>
            <w:hideMark/>
          </w:tcPr>
          <w:p w14:paraId="29E96A1C"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29,154</w:t>
            </w:r>
          </w:p>
        </w:tc>
        <w:tc>
          <w:tcPr>
            <w:tcW w:w="1417" w:type="dxa"/>
            <w:shd w:val="clear" w:color="auto" w:fill="FFFFFF"/>
            <w:hideMark/>
          </w:tcPr>
          <w:p w14:paraId="7A9887B7"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0,427</w:t>
            </w:r>
          </w:p>
        </w:tc>
        <w:tc>
          <w:tcPr>
            <w:tcW w:w="1418" w:type="dxa"/>
            <w:shd w:val="clear" w:color="auto" w:fill="FFFFFF"/>
            <w:hideMark/>
          </w:tcPr>
          <w:p w14:paraId="489B65A0"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0,682</w:t>
            </w:r>
          </w:p>
        </w:tc>
      </w:tr>
      <w:tr w:rsidR="008E564F" w:rsidRPr="008E564F" w14:paraId="738A958C" w14:textId="77777777" w:rsidTr="007E5F99">
        <w:trPr>
          <w:cantSplit/>
          <w:jc w:val="center"/>
        </w:trPr>
        <w:tc>
          <w:tcPr>
            <w:tcW w:w="4685" w:type="dxa"/>
            <w:hideMark/>
          </w:tcPr>
          <w:p w14:paraId="058EC85F"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23: Have you ever used insulin vials or cartridges after the expiration date?</w:t>
            </w:r>
          </w:p>
        </w:tc>
        <w:tc>
          <w:tcPr>
            <w:tcW w:w="1561" w:type="dxa"/>
            <w:shd w:val="clear" w:color="auto" w:fill="FFFFFF"/>
            <w:hideMark/>
          </w:tcPr>
          <w:p w14:paraId="51A99CEF"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50,8000</w:t>
            </w:r>
          </w:p>
        </w:tc>
        <w:tc>
          <w:tcPr>
            <w:tcW w:w="1701" w:type="dxa"/>
            <w:shd w:val="clear" w:color="auto" w:fill="FFFFFF"/>
            <w:hideMark/>
          </w:tcPr>
          <w:p w14:paraId="72F64E0B"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31,752</w:t>
            </w:r>
          </w:p>
        </w:tc>
        <w:tc>
          <w:tcPr>
            <w:tcW w:w="1417" w:type="dxa"/>
            <w:shd w:val="clear" w:color="auto" w:fill="FFFFFF"/>
            <w:hideMark/>
          </w:tcPr>
          <w:p w14:paraId="6E1CF84D"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-0,044</w:t>
            </w:r>
          </w:p>
        </w:tc>
        <w:tc>
          <w:tcPr>
            <w:tcW w:w="1418" w:type="dxa"/>
            <w:shd w:val="clear" w:color="auto" w:fill="FFFFFF"/>
            <w:hideMark/>
          </w:tcPr>
          <w:p w14:paraId="686E88FF"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0,710</w:t>
            </w:r>
          </w:p>
        </w:tc>
      </w:tr>
      <w:tr w:rsidR="008E564F" w:rsidRPr="008E564F" w14:paraId="5E52D6D3" w14:textId="77777777" w:rsidTr="007E5F99">
        <w:trPr>
          <w:cantSplit/>
          <w:jc w:val="center"/>
        </w:trPr>
        <w:tc>
          <w:tcPr>
            <w:tcW w:w="4685" w:type="dxa"/>
            <w:hideMark/>
          </w:tcPr>
          <w:p w14:paraId="2697FFD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24: Before injecting, do you shake the insulin bottle?</w:t>
            </w:r>
          </w:p>
        </w:tc>
        <w:tc>
          <w:tcPr>
            <w:tcW w:w="1561" w:type="dxa"/>
            <w:shd w:val="clear" w:color="auto" w:fill="FFFFFF"/>
            <w:hideMark/>
          </w:tcPr>
          <w:p w14:paraId="303DB464"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50,9333</w:t>
            </w:r>
          </w:p>
        </w:tc>
        <w:tc>
          <w:tcPr>
            <w:tcW w:w="1701" w:type="dxa"/>
            <w:shd w:val="clear" w:color="auto" w:fill="FFFFFF"/>
            <w:hideMark/>
          </w:tcPr>
          <w:p w14:paraId="4A3E346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32,892</w:t>
            </w:r>
          </w:p>
        </w:tc>
        <w:tc>
          <w:tcPr>
            <w:tcW w:w="1417" w:type="dxa"/>
            <w:shd w:val="clear" w:color="auto" w:fill="FFFFFF"/>
            <w:hideMark/>
          </w:tcPr>
          <w:p w14:paraId="4F6CFF40"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-0,240</w:t>
            </w:r>
          </w:p>
        </w:tc>
        <w:tc>
          <w:tcPr>
            <w:tcW w:w="1418" w:type="dxa"/>
            <w:shd w:val="clear" w:color="auto" w:fill="FFFFFF"/>
            <w:hideMark/>
          </w:tcPr>
          <w:p w14:paraId="23891E0E"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0,721</w:t>
            </w:r>
          </w:p>
        </w:tc>
      </w:tr>
      <w:tr w:rsidR="008E564F" w:rsidRPr="008E564F" w14:paraId="4B09A2F0" w14:textId="77777777" w:rsidTr="007E5F99">
        <w:trPr>
          <w:cantSplit/>
          <w:jc w:val="center"/>
        </w:trPr>
        <w:tc>
          <w:tcPr>
            <w:tcW w:w="4685" w:type="dxa"/>
            <w:hideMark/>
          </w:tcPr>
          <w:p w14:paraId="2B085164"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25: If you use the pen needle/syringe, do you use them more than once?</w:t>
            </w:r>
          </w:p>
        </w:tc>
        <w:tc>
          <w:tcPr>
            <w:tcW w:w="1561" w:type="dxa"/>
            <w:shd w:val="clear" w:color="auto" w:fill="FFFFFF"/>
            <w:hideMark/>
          </w:tcPr>
          <w:p w14:paraId="79274304"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51,0667</w:t>
            </w:r>
          </w:p>
        </w:tc>
        <w:tc>
          <w:tcPr>
            <w:tcW w:w="1701" w:type="dxa"/>
            <w:shd w:val="clear" w:color="auto" w:fill="FFFFFF"/>
            <w:hideMark/>
          </w:tcPr>
          <w:p w14:paraId="7242DA8D"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28,685</w:t>
            </w:r>
          </w:p>
        </w:tc>
        <w:tc>
          <w:tcPr>
            <w:tcW w:w="1417" w:type="dxa"/>
            <w:shd w:val="clear" w:color="auto" w:fill="FFFFFF"/>
            <w:hideMark/>
          </w:tcPr>
          <w:p w14:paraId="09C734DC"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0,572</w:t>
            </w:r>
          </w:p>
        </w:tc>
        <w:tc>
          <w:tcPr>
            <w:tcW w:w="1418" w:type="dxa"/>
            <w:shd w:val="clear" w:color="auto" w:fill="FFFFFF"/>
            <w:hideMark/>
          </w:tcPr>
          <w:p w14:paraId="3A43831C"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0,674</w:t>
            </w:r>
          </w:p>
        </w:tc>
      </w:tr>
      <w:tr w:rsidR="008E564F" w:rsidRPr="008E564F" w14:paraId="6DB0A362" w14:textId="77777777" w:rsidTr="007E5F99">
        <w:trPr>
          <w:cantSplit/>
          <w:jc w:val="center"/>
        </w:trPr>
        <w:tc>
          <w:tcPr>
            <w:tcW w:w="4685" w:type="dxa"/>
            <w:hideMark/>
          </w:tcPr>
          <w:p w14:paraId="4BBC9BE4"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26: Do you inject yourself through your clothes?</w:t>
            </w:r>
          </w:p>
        </w:tc>
        <w:tc>
          <w:tcPr>
            <w:tcW w:w="1561" w:type="dxa"/>
            <w:shd w:val="clear" w:color="auto" w:fill="FFFFFF"/>
            <w:hideMark/>
          </w:tcPr>
          <w:p w14:paraId="1DB55757"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50,5000</w:t>
            </w:r>
          </w:p>
        </w:tc>
        <w:tc>
          <w:tcPr>
            <w:tcW w:w="1701" w:type="dxa"/>
            <w:shd w:val="clear" w:color="auto" w:fill="FFFFFF"/>
            <w:hideMark/>
          </w:tcPr>
          <w:p w14:paraId="50E47275"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32,603</w:t>
            </w:r>
          </w:p>
        </w:tc>
        <w:tc>
          <w:tcPr>
            <w:tcW w:w="1417" w:type="dxa"/>
            <w:shd w:val="clear" w:color="auto" w:fill="FFFFFF"/>
            <w:hideMark/>
          </w:tcPr>
          <w:p w14:paraId="6707C1C7"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-0,245</w:t>
            </w:r>
          </w:p>
        </w:tc>
        <w:tc>
          <w:tcPr>
            <w:tcW w:w="1418" w:type="dxa"/>
            <w:shd w:val="clear" w:color="auto" w:fill="FFFFFF"/>
            <w:hideMark/>
          </w:tcPr>
          <w:p w14:paraId="2FA1CFE0"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0,714</w:t>
            </w:r>
          </w:p>
        </w:tc>
      </w:tr>
      <w:tr w:rsidR="008E564F" w:rsidRPr="008E564F" w14:paraId="1C6ACDA5" w14:textId="77777777" w:rsidTr="007E5F99">
        <w:trPr>
          <w:cantSplit/>
          <w:jc w:val="center"/>
        </w:trPr>
        <w:tc>
          <w:tcPr>
            <w:tcW w:w="4685" w:type="dxa"/>
            <w:hideMark/>
          </w:tcPr>
          <w:p w14:paraId="2C78CCBB"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27: Do you label the bottle/cartridge with the date of opening?</w:t>
            </w:r>
          </w:p>
        </w:tc>
        <w:tc>
          <w:tcPr>
            <w:tcW w:w="1561" w:type="dxa"/>
            <w:shd w:val="clear" w:color="auto" w:fill="FFFFFF"/>
            <w:hideMark/>
          </w:tcPr>
          <w:p w14:paraId="3152EB97"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51,0000</w:t>
            </w:r>
          </w:p>
        </w:tc>
        <w:tc>
          <w:tcPr>
            <w:tcW w:w="1701" w:type="dxa"/>
            <w:shd w:val="clear" w:color="auto" w:fill="FFFFFF"/>
            <w:hideMark/>
          </w:tcPr>
          <w:p w14:paraId="5524C889"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33,724</w:t>
            </w:r>
          </w:p>
        </w:tc>
        <w:tc>
          <w:tcPr>
            <w:tcW w:w="1417" w:type="dxa"/>
            <w:shd w:val="clear" w:color="auto" w:fill="FFFFFF"/>
            <w:hideMark/>
          </w:tcPr>
          <w:p w14:paraId="7F2E10F3"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-0,388</w:t>
            </w:r>
          </w:p>
        </w:tc>
        <w:tc>
          <w:tcPr>
            <w:tcW w:w="1418" w:type="dxa"/>
            <w:shd w:val="clear" w:color="auto" w:fill="FFFFFF"/>
            <w:hideMark/>
          </w:tcPr>
          <w:p w14:paraId="254D2AAC"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0,729</w:t>
            </w:r>
          </w:p>
        </w:tc>
      </w:tr>
      <w:tr w:rsidR="008E564F" w:rsidRPr="008E564F" w14:paraId="50E667DF" w14:textId="77777777" w:rsidTr="007E5F99">
        <w:trPr>
          <w:cantSplit/>
          <w:jc w:val="center"/>
        </w:trPr>
        <w:tc>
          <w:tcPr>
            <w:tcW w:w="4685" w:type="dxa"/>
            <w:hideMark/>
          </w:tcPr>
          <w:p w14:paraId="485FFF85"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28: Do you use a syringe/pen?</w:t>
            </w:r>
          </w:p>
        </w:tc>
        <w:tc>
          <w:tcPr>
            <w:tcW w:w="1561" w:type="dxa"/>
            <w:shd w:val="clear" w:color="auto" w:fill="FFFFFF"/>
            <w:hideMark/>
          </w:tcPr>
          <w:p w14:paraId="25DA5D38"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50,9000</w:t>
            </w:r>
          </w:p>
        </w:tc>
        <w:tc>
          <w:tcPr>
            <w:tcW w:w="1701" w:type="dxa"/>
            <w:shd w:val="clear" w:color="auto" w:fill="FFFFFF"/>
            <w:hideMark/>
          </w:tcPr>
          <w:p w14:paraId="45370742"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30,921</w:t>
            </w:r>
          </w:p>
        </w:tc>
        <w:tc>
          <w:tcPr>
            <w:tcW w:w="1417" w:type="dxa"/>
            <w:shd w:val="clear" w:color="auto" w:fill="FFFFFF"/>
            <w:hideMark/>
          </w:tcPr>
          <w:p w14:paraId="6B1E479D"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0,103</w:t>
            </w:r>
          </w:p>
        </w:tc>
        <w:tc>
          <w:tcPr>
            <w:tcW w:w="1418" w:type="dxa"/>
            <w:shd w:val="clear" w:color="auto" w:fill="FFFFFF"/>
            <w:hideMark/>
          </w:tcPr>
          <w:p w14:paraId="03AE4DAC"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0,702</w:t>
            </w:r>
          </w:p>
        </w:tc>
      </w:tr>
      <w:tr w:rsidR="008E564F" w:rsidRPr="008E564F" w14:paraId="698B0B8F" w14:textId="77777777" w:rsidTr="007E5F99">
        <w:trPr>
          <w:cantSplit/>
          <w:jc w:val="center"/>
        </w:trPr>
        <w:tc>
          <w:tcPr>
            <w:tcW w:w="4685" w:type="dxa"/>
            <w:hideMark/>
          </w:tcPr>
          <w:p w14:paraId="322BAC2E"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29: Have you noticed any bleeding or bruising (blue marks) at the injection site?</w:t>
            </w:r>
          </w:p>
        </w:tc>
        <w:tc>
          <w:tcPr>
            <w:tcW w:w="1561" w:type="dxa"/>
            <w:shd w:val="clear" w:color="auto" w:fill="FFFFFF"/>
            <w:hideMark/>
          </w:tcPr>
          <w:p w14:paraId="50793634"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50,8667</w:t>
            </w:r>
          </w:p>
        </w:tc>
        <w:tc>
          <w:tcPr>
            <w:tcW w:w="1701" w:type="dxa"/>
            <w:shd w:val="clear" w:color="auto" w:fill="FFFFFF"/>
            <w:hideMark/>
          </w:tcPr>
          <w:p w14:paraId="55214C65"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27,982</w:t>
            </w:r>
          </w:p>
        </w:tc>
        <w:tc>
          <w:tcPr>
            <w:tcW w:w="1417" w:type="dxa"/>
            <w:shd w:val="clear" w:color="auto" w:fill="FFFFFF"/>
            <w:hideMark/>
          </w:tcPr>
          <w:p w14:paraId="797CA0EB"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0,654</w:t>
            </w:r>
          </w:p>
        </w:tc>
        <w:tc>
          <w:tcPr>
            <w:tcW w:w="1418" w:type="dxa"/>
            <w:shd w:val="clear" w:color="auto" w:fill="FFFFFF"/>
            <w:hideMark/>
          </w:tcPr>
          <w:p w14:paraId="3D365C98"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0,667</w:t>
            </w:r>
          </w:p>
        </w:tc>
      </w:tr>
      <w:tr w:rsidR="008E564F" w:rsidRPr="008E564F" w14:paraId="142F7BA0" w14:textId="77777777" w:rsidTr="007E5F99">
        <w:trPr>
          <w:cantSplit/>
          <w:jc w:val="center"/>
        </w:trPr>
        <w:tc>
          <w:tcPr>
            <w:tcW w:w="4685" w:type="dxa"/>
            <w:hideMark/>
          </w:tcPr>
          <w:p w14:paraId="16474CB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30: blood glucose monitoring</w:t>
            </w:r>
          </w:p>
        </w:tc>
        <w:tc>
          <w:tcPr>
            <w:tcW w:w="1561" w:type="dxa"/>
            <w:shd w:val="clear" w:color="auto" w:fill="FFFFFF"/>
            <w:hideMark/>
          </w:tcPr>
          <w:p w14:paraId="48569AD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51,0000</w:t>
            </w:r>
          </w:p>
        </w:tc>
        <w:tc>
          <w:tcPr>
            <w:tcW w:w="1701" w:type="dxa"/>
            <w:shd w:val="clear" w:color="auto" w:fill="FFFFFF"/>
            <w:hideMark/>
          </w:tcPr>
          <w:p w14:paraId="3D7EF0D7"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30,138</w:t>
            </w:r>
          </w:p>
        </w:tc>
        <w:tc>
          <w:tcPr>
            <w:tcW w:w="1417" w:type="dxa"/>
            <w:shd w:val="clear" w:color="auto" w:fill="FFFFFF"/>
            <w:hideMark/>
          </w:tcPr>
          <w:p w14:paraId="49EA2D90"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0,256</w:t>
            </w:r>
          </w:p>
        </w:tc>
        <w:tc>
          <w:tcPr>
            <w:tcW w:w="1418" w:type="dxa"/>
            <w:shd w:val="clear" w:color="auto" w:fill="FFFFFF"/>
            <w:hideMark/>
          </w:tcPr>
          <w:p w14:paraId="37E2D5C3"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0,693</w:t>
            </w:r>
          </w:p>
        </w:tc>
      </w:tr>
      <w:tr w:rsidR="008E564F" w:rsidRPr="008E564F" w14:paraId="6DBC94CF" w14:textId="77777777" w:rsidTr="007E5F99">
        <w:trPr>
          <w:cantSplit/>
          <w:jc w:val="center"/>
        </w:trPr>
        <w:tc>
          <w:tcPr>
            <w:tcW w:w="4685" w:type="dxa"/>
            <w:hideMark/>
          </w:tcPr>
          <w:p w14:paraId="7CA65E2C"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31: How often do you inject insulin?</w:t>
            </w:r>
          </w:p>
        </w:tc>
        <w:tc>
          <w:tcPr>
            <w:tcW w:w="1561" w:type="dxa"/>
            <w:shd w:val="clear" w:color="auto" w:fill="FFFFFF"/>
            <w:hideMark/>
          </w:tcPr>
          <w:p w14:paraId="1577AEE7"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50,2333</w:t>
            </w:r>
          </w:p>
        </w:tc>
        <w:tc>
          <w:tcPr>
            <w:tcW w:w="1701" w:type="dxa"/>
            <w:shd w:val="clear" w:color="auto" w:fill="FFFFFF"/>
            <w:hideMark/>
          </w:tcPr>
          <w:p w14:paraId="2B7DA39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25,633</w:t>
            </w:r>
          </w:p>
        </w:tc>
        <w:tc>
          <w:tcPr>
            <w:tcW w:w="1417" w:type="dxa"/>
            <w:shd w:val="clear" w:color="auto" w:fill="FFFFFF"/>
            <w:hideMark/>
          </w:tcPr>
          <w:p w14:paraId="0DF8CEBD"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0,703</w:t>
            </w:r>
          </w:p>
        </w:tc>
        <w:tc>
          <w:tcPr>
            <w:tcW w:w="1418" w:type="dxa"/>
            <w:shd w:val="clear" w:color="auto" w:fill="FFFFFF"/>
            <w:hideMark/>
          </w:tcPr>
          <w:p w14:paraId="1D1FF311"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0,647</w:t>
            </w:r>
          </w:p>
        </w:tc>
      </w:tr>
      <w:tr w:rsidR="008E564F" w:rsidRPr="008E564F" w14:paraId="01A5FA53" w14:textId="77777777" w:rsidTr="007E5F99">
        <w:trPr>
          <w:cantSplit/>
          <w:jc w:val="center"/>
        </w:trPr>
        <w:tc>
          <w:tcPr>
            <w:tcW w:w="4685" w:type="dxa"/>
            <w:tcBorders>
              <w:bottom w:val="single" w:sz="4" w:space="0" w:color="auto"/>
            </w:tcBorders>
            <w:hideMark/>
          </w:tcPr>
          <w:p w14:paraId="76A5CDE5"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Item 32: Do you know the precautions to take to avoid infections at the injection site?</w:t>
            </w:r>
          </w:p>
        </w:tc>
        <w:tc>
          <w:tcPr>
            <w:tcW w:w="1561" w:type="dxa"/>
            <w:tcBorders>
              <w:bottom w:val="single" w:sz="4" w:space="0" w:color="auto"/>
            </w:tcBorders>
            <w:shd w:val="clear" w:color="auto" w:fill="FFFFFF"/>
            <w:hideMark/>
          </w:tcPr>
          <w:p w14:paraId="51D8BE68"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50,6333</w:t>
            </w:r>
          </w:p>
        </w:tc>
        <w:tc>
          <w:tcPr>
            <w:tcW w:w="1701" w:type="dxa"/>
            <w:tcBorders>
              <w:bottom w:val="single" w:sz="4" w:space="0" w:color="auto"/>
            </w:tcBorders>
            <w:shd w:val="clear" w:color="auto" w:fill="FFFFFF"/>
            <w:hideMark/>
          </w:tcPr>
          <w:p w14:paraId="030D6B22"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27,620</w:t>
            </w:r>
          </w:p>
        </w:tc>
        <w:tc>
          <w:tcPr>
            <w:tcW w:w="1417" w:type="dxa"/>
            <w:tcBorders>
              <w:bottom w:val="single" w:sz="4" w:space="0" w:color="auto"/>
            </w:tcBorders>
            <w:shd w:val="clear" w:color="auto" w:fill="FFFFFF"/>
            <w:hideMark/>
          </w:tcPr>
          <w:p w14:paraId="34D3B88A"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0,427</w:t>
            </w:r>
          </w:p>
        </w:tc>
        <w:tc>
          <w:tcPr>
            <w:tcW w:w="1418" w:type="dxa"/>
            <w:tcBorders>
              <w:bottom w:val="single" w:sz="4" w:space="0" w:color="auto"/>
            </w:tcBorders>
            <w:shd w:val="clear" w:color="auto" w:fill="FFFFFF"/>
            <w:hideMark/>
          </w:tcPr>
          <w:p w14:paraId="395B6106" w14:textId="77777777" w:rsidR="008E564F" w:rsidRPr="008E564F" w:rsidRDefault="008E564F" w:rsidP="007E5F99">
            <w:pPr>
              <w:rPr>
                <w:rFonts w:ascii="Garamond" w:hAnsi="Garamond"/>
                <w:bCs/>
                <w:iCs/>
                <w:sz w:val="20"/>
                <w:szCs w:val="20"/>
              </w:rPr>
            </w:pPr>
            <w:r w:rsidRPr="008E564F">
              <w:rPr>
                <w:rFonts w:ascii="Garamond" w:hAnsi="Garamond"/>
                <w:bCs/>
                <w:iCs/>
                <w:sz w:val="20"/>
                <w:szCs w:val="20"/>
              </w:rPr>
              <w:t>0,676</w:t>
            </w:r>
          </w:p>
        </w:tc>
      </w:tr>
    </w:tbl>
    <w:p w14:paraId="5780FF25" w14:textId="77777777" w:rsidR="008E564F" w:rsidRPr="008E564F" w:rsidRDefault="008E564F" w:rsidP="008E564F">
      <w:pPr>
        <w:spacing w:line="259" w:lineRule="auto"/>
        <w:jc w:val="both"/>
        <w:rPr>
          <w:rFonts w:ascii="Garamond" w:hAnsi="Garamond"/>
          <w:bCs/>
          <w:iCs/>
          <w:sz w:val="20"/>
          <w:szCs w:val="20"/>
        </w:rPr>
      </w:pPr>
    </w:p>
    <w:p w14:paraId="0AC902BE" w14:textId="77777777" w:rsidR="008E564F" w:rsidRPr="008E564F" w:rsidRDefault="008E564F" w:rsidP="008E564F">
      <w:pPr>
        <w:spacing w:line="259" w:lineRule="auto"/>
        <w:jc w:val="both"/>
        <w:rPr>
          <w:rFonts w:ascii="Garamond" w:hAnsi="Garamond"/>
          <w:bCs/>
          <w:iCs/>
          <w:sz w:val="20"/>
          <w:szCs w:val="20"/>
        </w:rPr>
      </w:pPr>
      <w:r w:rsidRPr="008E564F">
        <w:rPr>
          <w:rFonts w:ascii="Garamond" w:hAnsi="Garamond"/>
          <w:bCs/>
          <w:iCs/>
          <w:sz w:val="20"/>
          <w:szCs w:val="20"/>
        </w:rPr>
        <w:t>The reliability coefficient was determined using Cronbach's alpha coefficient to evaluate the reliability of each dimension of the questionnaire as well as that of the questionnaire as a whole, as shown in Tables 1 and 2.</w:t>
      </w:r>
    </w:p>
    <w:p w14:paraId="5C7AD8DC" w14:textId="77777777" w:rsidR="008E564F" w:rsidRPr="008E564F" w:rsidRDefault="008E564F" w:rsidP="008E564F">
      <w:pPr>
        <w:spacing w:line="259" w:lineRule="auto"/>
        <w:jc w:val="both"/>
        <w:rPr>
          <w:rFonts w:ascii="Garamond" w:hAnsi="Garamond"/>
          <w:bCs/>
          <w:iCs/>
          <w:sz w:val="20"/>
          <w:szCs w:val="20"/>
        </w:rPr>
      </w:pPr>
      <w:r w:rsidRPr="008E564F">
        <w:rPr>
          <w:rFonts w:ascii="Garamond" w:hAnsi="Garamond"/>
          <w:bCs/>
          <w:iCs/>
          <w:sz w:val="20"/>
          <w:szCs w:val="20"/>
        </w:rPr>
        <w:lastRenderedPageBreak/>
        <w:t>The search for the reliability of this questionnaire shows a Cronbach index of 0.701. This value is acceptable and is close to 0.7, indicating a reasonable reliability of the questionnaire. Note that the software used is SPSS in its free version 26.</w:t>
      </w:r>
    </w:p>
    <w:p w14:paraId="41F0BF46" w14:textId="33AB3DE6" w:rsidR="008E564F" w:rsidRPr="007E5F99" w:rsidRDefault="007E5F99" w:rsidP="007E5F99">
      <w:pPr>
        <w:spacing w:line="259" w:lineRule="auto"/>
        <w:jc w:val="both"/>
        <w:rPr>
          <w:rFonts w:ascii="Garamond" w:hAnsi="Garamond"/>
          <w:b/>
          <w:iCs/>
          <w:sz w:val="22"/>
          <w:szCs w:val="22"/>
        </w:rPr>
      </w:pPr>
      <w:r w:rsidRPr="007E5F99">
        <w:rPr>
          <w:rFonts w:ascii="Garamond" w:hAnsi="Garamond"/>
          <w:b/>
          <w:iCs/>
          <w:sz w:val="22"/>
          <w:szCs w:val="22"/>
        </w:rPr>
        <w:t>RESULTS</w:t>
      </w:r>
    </w:p>
    <w:p w14:paraId="4BE6B745" w14:textId="77777777" w:rsidR="008E564F" w:rsidRPr="007E5F99" w:rsidRDefault="008E564F" w:rsidP="007E5F99">
      <w:pPr>
        <w:spacing w:line="259" w:lineRule="auto"/>
        <w:jc w:val="both"/>
        <w:rPr>
          <w:rFonts w:ascii="Garamond" w:hAnsi="Garamond"/>
          <w:b/>
          <w:iCs/>
          <w:sz w:val="20"/>
          <w:szCs w:val="20"/>
        </w:rPr>
      </w:pPr>
      <w:r w:rsidRPr="007E5F99">
        <w:rPr>
          <w:rFonts w:ascii="Garamond" w:hAnsi="Garamond"/>
          <w:b/>
          <w:iCs/>
          <w:sz w:val="20"/>
          <w:szCs w:val="20"/>
        </w:rPr>
        <w:t>Sociodemographic determinants</w:t>
      </w:r>
    </w:p>
    <w:p w14:paraId="6D11BFE9" w14:textId="530116CA" w:rsidR="008E564F" w:rsidRPr="008E564F" w:rsidRDefault="008E564F" w:rsidP="008E564F">
      <w:pPr>
        <w:spacing w:line="259" w:lineRule="auto"/>
        <w:jc w:val="both"/>
        <w:rPr>
          <w:rFonts w:ascii="Garamond" w:hAnsi="Garamond"/>
          <w:bCs/>
          <w:iCs/>
          <w:sz w:val="20"/>
          <w:szCs w:val="20"/>
        </w:rPr>
      </w:pPr>
      <w:r w:rsidRPr="008E564F">
        <w:rPr>
          <w:rFonts w:ascii="Garamond" w:hAnsi="Garamond"/>
          <w:b/>
          <w:iCs/>
          <w:sz w:val="20"/>
          <w:szCs w:val="20"/>
        </w:rPr>
        <w:t>Table 3:</w:t>
      </w:r>
      <w:r>
        <w:rPr>
          <w:rFonts w:ascii="Garamond" w:hAnsi="Garamond"/>
          <w:bCs/>
          <w:iCs/>
          <w:sz w:val="20"/>
          <w:szCs w:val="20"/>
        </w:rPr>
        <w:t xml:space="preserve"> </w:t>
      </w:r>
      <w:r w:rsidRPr="008E564F">
        <w:rPr>
          <w:rFonts w:ascii="Garamond" w:hAnsi="Garamond"/>
          <w:bCs/>
          <w:iCs/>
          <w:sz w:val="20"/>
          <w:szCs w:val="20"/>
        </w:rPr>
        <w:t>Sociodemographic characteristics of the participants</w:t>
      </w:r>
    </w:p>
    <w:tbl>
      <w:tblPr>
        <w:tblW w:w="9351" w:type="dxa"/>
        <w:tblLook w:val="04A0" w:firstRow="1" w:lastRow="0" w:firstColumn="1" w:lastColumn="0" w:noHBand="0" w:noVBand="1"/>
      </w:tblPr>
      <w:tblGrid>
        <w:gridCol w:w="2865"/>
        <w:gridCol w:w="15"/>
        <w:gridCol w:w="30"/>
        <w:gridCol w:w="30"/>
        <w:gridCol w:w="45"/>
        <w:gridCol w:w="2822"/>
        <w:gridCol w:w="1701"/>
        <w:gridCol w:w="1843"/>
      </w:tblGrid>
      <w:tr w:rsidR="008E564F" w:rsidRPr="008E564F" w14:paraId="50F30884" w14:textId="77777777" w:rsidTr="007E5F99">
        <w:tc>
          <w:tcPr>
            <w:tcW w:w="5807" w:type="dxa"/>
            <w:gridSpan w:val="6"/>
            <w:tcBorders>
              <w:top w:val="single" w:sz="4" w:space="0" w:color="auto"/>
              <w:bottom w:val="single" w:sz="4" w:space="0" w:color="auto"/>
            </w:tcBorders>
            <w:hideMark/>
          </w:tcPr>
          <w:p w14:paraId="5CFC326C" w14:textId="561426A3" w:rsidR="008E564F" w:rsidRPr="008E564F" w:rsidRDefault="008E564F" w:rsidP="00BE3D43">
            <w:pPr>
              <w:jc w:val="both"/>
              <w:rPr>
                <w:rFonts w:ascii="Garamond" w:hAnsi="Garamond"/>
                <w:b/>
                <w:bCs/>
                <w:iCs/>
                <w:sz w:val="20"/>
                <w:szCs w:val="20"/>
                <w:lang w:val="fr-FR"/>
              </w:rPr>
            </w:pPr>
            <w:r w:rsidRPr="008E564F">
              <w:rPr>
                <w:rFonts w:ascii="Garamond" w:hAnsi="Garamond"/>
                <w:b/>
                <w:bCs/>
                <w:iCs/>
                <w:sz w:val="20"/>
                <w:szCs w:val="20"/>
              </w:rPr>
              <w:t>Variable</w:t>
            </w:r>
            <w:r w:rsidR="007E5F99">
              <w:rPr>
                <w:rFonts w:ascii="Garamond" w:hAnsi="Garamond"/>
                <w:b/>
                <w:bCs/>
                <w:iCs/>
                <w:sz w:val="20"/>
                <w:szCs w:val="20"/>
              </w:rPr>
              <w:t xml:space="preserve">                                              Categories </w:t>
            </w:r>
          </w:p>
        </w:tc>
        <w:tc>
          <w:tcPr>
            <w:tcW w:w="1701" w:type="dxa"/>
            <w:tcBorders>
              <w:top w:val="single" w:sz="4" w:space="0" w:color="auto"/>
              <w:bottom w:val="single" w:sz="4" w:space="0" w:color="auto"/>
            </w:tcBorders>
            <w:hideMark/>
          </w:tcPr>
          <w:p w14:paraId="52273EE9" w14:textId="77777777" w:rsidR="008E564F" w:rsidRPr="008E564F" w:rsidRDefault="008E564F" w:rsidP="00BE3D43">
            <w:pPr>
              <w:jc w:val="both"/>
              <w:rPr>
                <w:rFonts w:ascii="Garamond" w:hAnsi="Garamond"/>
                <w:b/>
                <w:bCs/>
                <w:iCs/>
                <w:sz w:val="20"/>
                <w:szCs w:val="20"/>
                <w:lang w:val="fr-FR"/>
              </w:rPr>
            </w:pPr>
            <w:r w:rsidRPr="008E564F">
              <w:rPr>
                <w:rFonts w:ascii="Garamond" w:hAnsi="Garamond"/>
                <w:b/>
                <w:bCs/>
                <w:iCs/>
                <w:sz w:val="20"/>
                <w:szCs w:val="20"/>
              </w:rPr>
              <w:t>Frequency</w:t>
            </w:r>
          </w:p>
        </w:tc>
        <w:tc>
          <w:tcPr>
            <w:tcW w:w="1843" w:type="dxa"/>
            <w:tcBorders>
              <w:top w:val="single" w:sz="4" w:space="0" w:color="auto"/>
              <w:bottom w:val="single" w:sz="4" w:space="0" w:color="auto"/>
            </w:tcBorders>
            <w:hideMark/>
          </w:tcPr>
          <w:p w14:paraId="46A55D24" w14:textId="77777777" w:rsidR="008E564F" w:rsidRPr="008E564F" w:rsidRDefault="008E564F" w:rsidP="00BE3D43">
            <w:pPr>
              <w:jc w:val="both"/>
              <w:rPr>
                <w:rFonts w:ascii="Garamond" w:hAnsi="Garamond"/>
                <w:b/>
                <w:bCs/>
                <w:iCs/>
                <w:sz w:val="20"/>
                <w:szCs w:val="20"/>
                <w:lang w:val="fr-FR"/>
              </w:rPr>
            </w:pPr>
            <w:r w:rsidRPr="008E564F">
              <w:rPr>
                <w:rFonts w:ascii="Garamond" w:hAnsi="Garamond"/>
                <w:b/>
                <w:bCs/>
                <w:iCs/>
                <w:sz w:val="20"/>
                <w:szCs w:val="20"/>
              </w:rPr>
              <w:t>Percentage %</w:t>
            </w:r>
          </w:p>
        </w:tc>
      </w:tr>
      <w:tr w:rsidR="008E564F" w:rsidRPr="008E564F" w14:paraId="1816F4E4" w14:textId="77777777" w:rsidTr="007E5F99">
        <w:tc>
          <w:tcPr>
            <w:tcW w:w="2985" w:type="dxa"/>
            <w:gridSpan w:val="5"/>
            <w:vMerge w:val="restart"/>
            <w:tcBorders>
              <w:top w:val="single" w:sz="4" w:space="0" w:color="auto"/>
            </w:tcBorders>
          </w:tcPr>
          <w:p w14:paraId="169A9303" w14:textId="77777777" w:rsidR="008E564F" w:rsidRPr="008E564F" w:rsidRDefault="008E564F" w:rsidP="00BE3D43">
            <w:pPr>
              <w:jc w:val="both"/>
              <w:rPr>
                <w:rFonts w:ascii="Garamond" w:hAnsi="Garamond"/>
                <w:bCs/>
                <w:iCs/>
                <w:sz w:val="20"/>
                <w:szCs w:val="20"/>
                <w:lang w:val="fr-FR"/>
              </w:rPr>
            </w:pPr>
            <w:proofErr w:type="spellStart"/>
            <w:r w:rsidRPr="008E564F">
              <w:rPr>
                <w:rFonts w:ascii="Garamond" w:hAnsi="Garamond"/>
                <w:bCs/>
                <w:iCs/>
                <w:sz w:val="20"/>
                <w:szCs w:val="20"/>
                <w:lang w:val="fr-FR"/>
              </w:rPr>
              <w:t>Sex</w:t>
            </w:r>
            <w:proofErr w:type="spellEnd"/>
          </w:p>
        </w:tc>
        <w:tc>
          <w:tcPr>
            <w:tcW w:w="2822" w:type="dxa"/>
            <w:tcBorders>
              <w:top w:val="single" w:sz="4" w:space="0" w:color="auto"/>
            </w:tcBorders>
            <w:hideMark/>
          </w:tcPr>
          <w:p w14:paraId="43069283"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Man</w:t>
            </w:r>
          </w:p>
        </w:tc>
        <w:tc>
          <w:tcPr>
            <w:tcW w:w="1701" w:type="dxa"/>
            <w:tcBorders>
              <w:top w:val="single" w:sz="4" w:space="0" w:color="auto"/>
            </w:tcBorders>
            <w:hideMark/>
          </w:tcPr>
          <w:p w14:paraId="6E2F7CCF"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30</w:t>
            </w:r>
          </w:p>
        </w:tc>
        <w:tc>
          <w:tcPr>
            <w:tcW w:w="1843" w:type="dxa"/>
            <w:tcBorders>
              <w:top w:val="single" w:sz="4" w:space="0" w:color="auto"/>
            </w:tcBorders>
            <w:hideMark/>
          </w:tcPr>
          <w:p w14:paraId="2ED40D82"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28,3</w:t>
            </w:r>
          </w:p>
        </w:tc>
      </w:tr>
      <w:tr w:rsidR="008E564F" w:rsidRPr="008E564F" w14:paraId="735EA62D" w14:textId="77777777" w:rsidTr="007E5F99">
        <w:tc>
          <w:tcPr>
            <w:tcW w:w="0" w:type="auto"/>
            <w:gridSpan w:val="5"/>
            <w:vMerge/>
            <w:vAlign w:val="center"/>
            <w:hideMark/>
          </w:tcPr>
          <w:p w14:paraId="43BD9F4D" w14:textId="77777777" w:rsidR="008E564F" w:rsidRPr="008E564F" w:rsidRDefault="008E564F" w:rsidP="00BE3D43">
            <w:pPr>
              <w:jc w:val="both"/>
              <w:rPr>
                <w:rFonts w:ascii="Garamond" w:hAnsi="Garamond"/>
                <w:bCs/>
                <w:iCs/>
                <w:sz w:val="20"/>
                <w:szCs w:val="20"/>
                <w:lang w:val="fr-FR"/>
              </w:rPr>
            </w:pPr>
          </w:p>
        </w:tc>
        <w:tc>
          <w:tcPr>
            <w:tcW w:w="2822" w:type="dxa"/>
            <w:hideMark/>
          </w:tcPr>
          <w:p w14:paraId="5C9529F5"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Woman</w:t>
            </w:r>
          </w:p>
        </w:tc>
        <w:tc>
          <w:tcPr>
            <w:tcW w:w="1701" w:type="dxa"/>
            <w:hideMark/>
          </w:tcPr>
          <w:p w14:paraId="617785CD"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70</w:t>
            </w:r>
          </w:p>
        </w:tc>
        <w:tc>
          <w:tcPr>
            <w:tcW w:w="1843" w:type="dxa"/>
            <w:hideMark/>
          </w:tcPr>
          <w:p w14:paraId="4154F598"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66,0</w:t>
            </w:r>
          </w:p>
        </w:tc>
      </w:tr>
      <w:tr w:rsidR="008E564F" w:rsidRPr="008E564F" w14:paraId="6FFF5520" w14:textId="77777777" w:rsidTr="007E5F99">
        <w:tc>
          <w:tcPr>
            <w:tcW w:w="5807" w:type="dxa"/>
            <w:gridSpan w:val="6"/>
            <w:hideMark/>
          </w:tcPr>
          <w:p w14:paraId="111A0403"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Total</w:t>
            </w:r>
          </w:p>
        </w:tc>
        <w:tc>
          <w:tcPr>
            <w:tcW w:w="1701" w:type="dxa"/>
            <w:hideMark/>
          </w:tcPr>
          <w:p w14:paraId="2E189DB7"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100</w:t>
            </w:r>
          </w:p>
        </w:tc>
        <w:tc>
          <w:tcPr>
            <w:tcW w:w="1843" w:type="dxa"/>
            <w:hideMark/>
          </w:tcPr>
          <w:p w14:paraId="016738EC"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1C0F5172" w14:textId="77777777" w:rsidTr="007E5F99">
        <w:tc>
          <w:tcPr>
            <w:tcW w:w="2940" w:type="dxa"/>
            <w:gridSpan w:val="4"/>
            <w:vMerge w:val="restart"/>
          </w:tcPr>
          <w:p w14:paraId="3171B0F3" w14:textId="77777777" w:rsidR="008E564F" w:rsidRPr="008E564F" w:rsidRDefault="008E564F" w:rsidP="00BE3D43">
            <w:pPr>
              <w:jc w:val="both"/>
              <w:rPr>
                <w:rFonts w:ascii="Garamond" w:hAnsi="Garamond"/>
                <w:bCs/>
                <w:iCs/>
                <w:sz w:val="20"/>
                <w:szCs w:val="20"/>
                <w:lang w:val="fr-FR"/>
              </w:rPr>
            </w:pPr>
          </w:p>
          <w:p w14:paraId="719E371C" w14:textId="77777777" w:rsidR="008E564F" w:rsidRPr="008E564F" w:rsidRDefault="008E564F" w:rsidP="00BE3D43">
            <w:pPr>
              <w:jc w:val="both"/>
              <w:rPr>
                <w:rFonts w:ascii="Garamond" w:hAnsi="Garamond"/>
                <w:bCs/>
                <w:iCs/>
                <w:sz w:val="20"/>
                <w:szCs w:val="20"/>
                <w:lang w:val="fr-FR"/>
              </w:rPr>
            </w:pPr>
          </w:p>
          <w:p w14:paraId="5DB52F65"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Age</w:t>
            </w:r>
          </w:p>
        </w:tc>
        <w:tc>
          <w:tcPr>
            <w:tcW w:w="2867" w:type="dxa"/>
            <w:gridSpan w:val="2"/>
            <w:hideMark/>
          </w:tcPr>
          <w:p w14:paraId="0AE82A35"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Over 60 years</w:t>
            </w:r>
          </w:p>
        </w:tc>
        <w:tc>
          <w:tcPr>
            <w:tcW w:w="1701" w:type="dxa"/>
            <w:hideMark/>
          </w:tcPr>
          <w:p w14:paraId="07A7F80B"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40</w:t>
            </w:r>
          </w:p>
        </w:tc>
        <w:tc>
          <w:tcPr>
            <w:tcW w:w="1843" w:type="dxa"/>
            <w:hideMark/>
          </w:tcPr>
          <w:p w14:paraId="51E367BB"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37,7</w:t>
            </w:r>
          </w:p>
        </w:tc>
      </w:tr>
      <w:tr w:rsidR="008E564F" w:rsidRPr="008E564F" w14:paraId="568ED8FB" w14:textId="77777777" w:rsidTr="007E5F99">
        <w:tc>
          <w:tcPr>
            <w:tcW w:w="0" w:type="auto"/>
            <w:gridSpan w:val="4"/>
            <w:vMerge/>
            <w:vAlign w:val="center"/>
            <w:hideMark/>
          </w:tcPr>
          <w:p w14:paraId="12B43418" w14:textId="77777777" w:rsidR="008E564F" w:rsidRPr="008E564F" w:rsidRDefault="008E564F" w:rsidP="00BE3D43">
            <w:pPr>
              <w:jc w:val="both"/>
              <w:rPr>
                <w:rFonts w:ascii="Garamond" w:hAnsi="Garamond"/>
                <w:bCs/>
                <w:iCs/>
                <w:sz w:val="20"/>
                <w:szCs w:val="20"/>
                <w:lang w:val="fr-FR"/>
              </w:rPr>
            </w:pPr>
          </w:p>
        </w:tc>
        <w:tc>
          <w:tcPr>
            <w:tcW w:w="2867" w:type="dxa"/>
            <w:gridSpan w:val="2"/>
            <w:hideMark/>
          </w:tcPr>
          <w:p w14:paraId="263F409B"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Between 40 and 60 years</w:t>
            </w:r>
          </w:p>
        </w:tc>
        <w:tc>
          <w:tcPr>
            <w:tcW w:w="1701" w:type="dxa"/>
            <w:hideMark/>
          </w:tcPr>
          <w:p w14:paraId="639E4383"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29</w:t>
            </w:r>
          </w:p>
        </w:tc>
        <w:tc>
          <w:tcPr>
            <w:tcW w:w="1843" w:type="dxa"/>
            <w:hideMark/>
          </w:tcPr>
          <w:p w14:paraId="4990E430"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27,4</w:t>
            </w:r>
          </w:p>
        </w:tc>
      </w:tr>
      <w:tr w:rsidR="008E564F" w:rsidRPr="008E564F" w14:paraId="734CD9AB" w14:textId="77777777" w:rsidTr="007E5F99">
        <w:trPr>
          <w:trHeight w:val="255"/>
        </w:trPr>
        <w:tc>
          <w:tcPr>
            <w:tcW w:w="0" w:type="auto"/>
            <w:gridSpan w:val="4"/>
            <w:vMerge/>
            <w:vAlign w:val="center"/>
            <w:hideMark/>
          </w:tcPr>
          <w:p w14:paraId="41270354" w14:textId="77777777" w:rsidR="008E564F" w:rsidRPr="008E564F" w:rsidRDefault="008E564F" w:rsidP="00BE3D43">
            <w:pPr>
              <w:jc w:val="both"/>
              <w:rPr>
                <w:rFonts w:ascii="Garamond" w:hAnsi="Garamond"/>
                <w:bCs/>
                <w:iCs/>
                <w:sz w:val="20"/>
                <w:szCs w:val="20"/>
                <w:lang w:val="fr-FR"/>
              </w:rPr>
            </w:pPr>
          </w:p>
        </w:tc>
        <w:tc>
          <w:tcPr>
            <w:tcW w:w="2867" w:type="dxa"/>
            <w:gridSpan w:val="2"/>
            <w:hideMark/>
          </w:tcPr>
          <w:p w14:paraId="10B787CF"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Between 20 and 40 years</w:t>
            </w:r>
          </w:p>
        </w:tc>
        <w:tc>
          <w:tcPr>
            <w:tcW w:w="1701" w:type="dxa"/>
            <w:hideMark/>
          </w:tcPr>
          <w:p w14:paraId="6BE1BEF4"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21</w:t>
            </w:r>
          </w:p>
        </w:tc>
        <w:tc>
          <w:tcPr>
            <w:tcW w:w="1843" w:type="dxa"/>
            <w:hideMark/>
          </w:tcPr>
          <w:p w14:paraId="4E677DAB"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19,8</w:t>
            </w:r>
          </w:p>
        </w:tc>
      </w:tr>
      <w:tr w:rsidR="008E564F" w:rsidRPr="008E564F" w14:paraId="407AF2C1" w14:textId="77777777" w:rsidTr="007E5F99">
        <w:trPr>
          <w:trHeight w:val="300"/>
        </w:trPr>
        <w:tc>
          <w:tcPr>
            <w:tcW w:w="0" w:type="auto"/>
            <w:gridSpan w:val="4"/>
            <w:vMerge/>
            <w:vAlign w:val="center"/>
            <w:hideMark/>
          </w:tcPr>
          <w:p w14:paraId="66475913" w14:textId="77777777" w:rsidR="008E564F" w:rsidRPr="008E564F" w:rsidRDefault="008E564F" w:rsidP="00BE3D43">
            <w:pPr>
              <w:jc w:val="both"/>
              <w:rPr>
                <w:rFonts w:ascii="Garamond" w:hAnsi="Garamond"/>
                <w:bCs/>
                <w:iCs/>
                <w:sz w:val="20"/>
                <w:szCs w:val="20"/>
                <w:lang w:val="fr-FR"/>
              </w:rPr>
            </w:pPr>
          </w:p>
        </w:tc>
        <w:tc>
          <w:tcPr>
            <w:tcW w:w="2867" w:type="dxa"/>
            <w:gridSpan w:val="2"/>
            <w:hideMark/>
          </w:tcPr>
          <w:p w14:paraId="5A3113BB"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Under 20 years</w:t>
            </w:r>
          </w:p>
        </w:tc>
        <w:tc>
          <w:tcPr>
            <w:tcW w:w="1701" w:type="dxa"/>
            <w:hideMark/>
          </w:tcPr>
          <w:p w14:paraId="27CEC101"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10</w:t>
            </w:r>
          </w:p>
        </w:tc>
        <w:tc>
          <w:tcPr>
            <w:tcW w:w="1843" w:type="dxa"/>
            <w:hideMark/>
          </w:tcPr>
          <w:p w14:paraId="41CF158F"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9,4</w:t>
            </w:r>
          </w:p>
        </w:tc>
      </w:tr>
      <w:tr w:rsidR="008E564F" w:rsidRPr="008E564F" w14:paraId="182585B1" w14:textId="77777777" w:rsidTr="007E5F99">
        <w:trPr>
          <w:trHeight w:val="194"/>
        </w:trPr>
        <w:tc>
          <w:tcPr>
            <w:tcW w:w="5807" w:type="dxa"/>
            <w:gridSpan w:val="6"/>
            <w:hideMark/>
          </w:tcPr>
          <w:p w14:paraId="47BFADDB"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Total</w:t>
            </w:r>
          </w:p>
        </w:tc>
        <w:tc>
          <w:tcPr>
            <w:tcW w:w="1701" w:type="dxa"/>
            <w:hideMark/>
          </w:tcPr>
          <w:p w14:paraId="1F7D78F0"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100</w:t>
            </w:r>
          </w:p>
        </w:tc>
        <w:tc>
          <w:tcPr>
            <w:tcW w:w="1843" w:type="dxa"/>
            <w:hideMark/>
          </w:tcPr>
          <w:p w14:paraId="2B954284"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7C3A61E8" w14:textId="77777777" w:rsidTr="007E5F99">
        <w:trPr>
          <w:trHeight w:val="285"/>
        </w:trPr>
        <w:tc>
          <w:tcPr>
            <w:tcW w:w="2910" w:type="dxa"/>
            <w:gridSpan w:val="3"/>
            <w:vMerge w:val="restart"/>
          </w:tcPr>
          <w:p w14:paraId="72869291" w14:textId="77777777" w:rsidR="008E564F" w:rsidRPr="008E564F" w:rsidRDefault="008E564F" w:rsidP="00BE3D43">
            <w:pPr>
              <w:jc w:val="both"/>
              <w:rPr>
                <w:rFonts w:ascii="Garamond" w:hAnsi="Garamond"/>
                <w:bCs/>
                <w:iCs/>
                <w:sz w:val="20"/>
                <w:szCs w:val="20"/>
                <w:lang w:val="fr-FR"/>
              </w:rPr>
            </w:pPr>
          </w:p>
          <w:p w14:paraId="2FB1B884"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Type of diabetes</w:t>
            </w:r>
          </w:p>
        </w:tc>
        <w:tc>
          <w:tcPr>
            <w:tcW w:w="2897" w:type="dxa"/>
            <w:gridSpan w:val="3"/>
            <w:hideMark/>
          </w:tcPr>
          <w:p w14:paraId="500072E6"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Type 1</w:t>
            </w:r>
          </w:p>
        </w:tc>
        <w:tc>
          <w:tcPr>
            <w:tcW w:w="1701" w:type="dxa"/>
            <w:hideMark/>
          </w:tcPr>
          <w:p w14:paraId="3C44BE51"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25</w:t>
            </w:r>
          </w:p>
        </w:tc>
        <w:tc>
          <w:tcPr>
            <w:tcW w:w="1843" w:type="dxa"/>
            <w:hideMark/>
          </w:tcPr>
          <w:p w14:paraId="3445FE52"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23,6</w:t>
            </w:r>
          </w:p>
        </w:tc>
      </w:tr>
      <w:tr w:rsidR="008E564F" w:rsidRPr="008E564F" w14:paraId="53975FE5" w14:textId="77777777" w:rsidTr="007E5F99">
        <w:trPr>
          <w:trHeight w:val="255"/>
        </w:trPr>
        <w:tc>
          <w:tcPr>
            <w:tcW w:w="0" w:type="auto"/>
            <w:gridSpan w:val="3"/>
            <w:vMerge/>
            <w:vAlign w:val="center"/>
            <w:hideMark/>
          </w:tcPr>
          <w:p w14:paraId="66CB047B" w14:textId="77777777" w:rsidR="008E564F" w:rsidRPr="008E564F" w:rsidRDefault="008E564F" w:rsidP="00BE3D43">
            <w:pPr>
              <w:jc w:val="both"/>
              <w:rPr>
                <w:rFonts w:ascii="Garamond" w:hAnsi="Garamond"/>
                <w:bCs/>
                <w:iCs/>
                <w:sz w:val="20"/>
                <w:szCs w:val="20"/>
                <w:lang w:val="fr-FR"/>
              </w:rPr>
            </w:pPr>
          </w:p>
        </w:tc>
        <w:tc>
          <w:tcPr>
            <w:tcW w:w="2897" w:type="dxa"/>
            <w:gridSpan w:val="3"/>
            <w:hideMark/>
          </w:tcPr>
          <w:p w14:paraId="1577BEA0"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Type 2</w:t>
            </w:r>
          </w:p>
        </w:tc>
        <w:tc>
          <w:tcPr>
            <w:tcW w:w="1701" w:type="dxa"/>
            <w:hideMark/>
          </w:tcPr>
          <w:p w14:paraId="2DD8AEBB"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75</w:t>
            </w:r>
          </w:p>
        </w:tc>
        <w:tc>
          <w:tcPr>
            <w:tcW w:w="1843" w:type="dxa"/>
            <w:hideMark/>
          </w:tcPr>
          <w:p w14:paraId="6CB41505"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70,8</w:t>
            </w:r>
          </w:p>
        </w:tc>
      </w:tr>
      <w:tr w:rsidR="008E564F" w:rsidRPr="008E564F" w14:paraId="7EACA7FC" w14:textId="77777777" w:rsidTr="007E5F99">
        <w:trPr>
          <w:trHeight w:val="255"/>
        </w:trPr>
        <w:tc>
          <w:tcPr>
            <w:tcW w:w="5807" w:type="dxa"/>
            <w:gridSpan w:val="6"/>
            <w:hideMark/>
          </w:tcPr>
          <w:p w14:paraId="7146B06D"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Total</w:t>
            </w:r>
          </w:p>
        </w:tc>
        <w:tc>
          <w:tcPr>
            <w:tcW w:w="1701" w:type="dxa"/>
            <w:hideMark/>
          </w:tcPr>
          <w:p w14:paraId="3FEB3671"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100</w:t>
            </w:r>
          </w:p>
        </w:tc>
        <w:tc>
          <w:tcPr>
            <w:tcW w:w="1843" w:type="dxa"/>
            <w:hideMark/>
          </w:tcPr>
          <w:p w14:paraId="3D9455CE"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4C2F817F" w14:textId="77777777" w:rsidTr="007E5F99">
        <w:trPr>
          <w:trHeight w:val="270"/>
        </w:trPr>
        <w:tc>
          <w:tcPr>
            <w:tcW w:w="2910" w:type="dxa"/>
            <w:gridSpan w:val="3"/>
            <w:vMerge w:val="restart"/>
            <w:hideMark/>
          </w:tcPr>
          <w:p w14:paraId="40B55AD2"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Knowledge of different insulins</w:t>
            </w:r>
          </w:p>
        </w:tc>
        <w:tc>
          <w:tcPr>
            <w:tcW w:w="2897" w:type="dxa"/>
            <w:gridSpan w:val="3"/>
            <w:hideMark/>
          </w:tcPr>
          <w:p w14:paraId="0869EFE7"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Yes</w:t>
            </w:r>
            <w:r w:rsidRPr="008E564F">
              <w:rPr>
                <w:rFonts w:ascii="Garamond" w:hAnsi="Garamond"/>
                <w:bCs/>
                <w:iCs/>
                <w:sz w:val="20"/>
                <w:szCs w:val="20"/>
              </w:rPr>
              <w:br/>
            </w:r>
          </w:p>
        </w:tc>
        <w:tc>
          <w:tcPr>
            <w:tcW w:w="1701" w:type="dxa"/>
            <w:hideMark/>
          </w:tcPr>
          <w:p w14:paraId="63251A94"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27</w:t>
            </w:r>
          </w:p>
        </w:tc>
        <w:tc>
          <w:tcPr>
            <w:tcW w:w="1843" w:type="dxa"/>
            <w:hideMark/>
          </w:tcPr>
          <w:p w14:paraId="2179794F"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25.5</w:t>
            </w:r>
          </w:p>
        </w:tc>
      </w:tr>
      <w:tr w:rsidR="008E564F" w:rsidRPr="008E564F" w14:paraId="68B1D7C3" w14:textId="77777777" w:rsidTr="007E5F99">
        <w:trPr>
          <w:trHeight w:val="165"/>
        </w:trPr>
        <w:tc>
          <w:tcPr>
            <w:tcW w:w="0" w:type="auto"/>
            <w:gridSpan w:val="3"/>
            <w:vMerge/>
            <w:vAlign w:val="center"/>
            <w:hideMark/>
          </w:tcPr>
          <w:p w14:paraId="5587CF02" w14:textId="77777777" w:rsidR="008E564F" w:rsidRPr="008E564F" w:rsidRDefault="008E564F" w:rsidP="00BE3D43">
            <w:pPr>
              <w:jc w:val="both"/>
              <w:rPr>
                <w:rFonts w:ascii="Garamond" w:hAnsi="Garamond"/>
                <w:bCs/>
                <w:iCs/>
                <w:sz w:val="20"/>
                <w:szCs w:val="20"/>
                <w:lang w:val="fr-FR"/>
              </w:rPr>
            </w:pPr>
          </w:p>
        </w:tc>
        <w:tc>
          <w:tcPr>
            <w:tcW w:w="2897" w:type="dxa"/>
            <w:gridSpan w:val="3"/>
            <w:hideMark/>
          </w:tcPr>
          <w:p w14:paraId="561D72D1"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No</w:t>
            </w:r>
          </w:p>
        </w:tc>
        <w:tc>
          <w:tcPr>
            <w:tcW w:w="1701" w:type="dxa"/>
            <w:hideMark/>
          </w:tcPr>
          <w:p w14:paraId="42CA95C4"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73</w:t>
            </w:r>
          </w:p>
        </w:tc>
        <w:tc>
          <w:tcPr>
            <w:tcW w:w="1843" w:type="dxa"/>
            <w:hideMark/>
          </w:tcPr>
          <w:p w14:paraId="70E051DF"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68.9</w:t>
            </w:r>
          </w:p>
        </w:tc>
      </w:tr>
      <w:tr w:rsidR="008E564F" w:rsidRPr="008E564F" w14:paraId="4D6B3897" w14:textId="77777777" w:rsidTr="007E5F99">
        <w:trPr>
          <w:trHeight w:val="240"/>
        </w:trPr>
        <w:tc>
          <w:tcPr>
            <w:tcW w:w="5807" w:type="dxa"/>
            <w:gridSpan w:val="6"/>
            <w:hideMark/>
          </w:tcPr>
          <w:p w14:paraId="09AF4882"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Total</w:t>
            </w:r>
          </w:p>
        </w:tc>
        <w:tc>
          <w:tcPr>
            <w:tcW w:w="1701" w:type="dxa"/>
            <w:hideMark/>
          </w:tcPr>
          <w:p w14:paraId="247D4F96"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100</w:t>
            </w:r>
          </w:p>
        </w:tc>
        <w:tc>
          <w:tcPr>
            <w:tcW w:w="1843" w:type="dxa"/>
            <w:hideMark/>
          </w:tcPr>
          <w:p w14:paraId="7662F558"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6A6D79E9" w14:textId="77777777" w:rsidTr="007E5F99">
        <w:trPr>
          <w:trHeight w:val="270"/>
        </w:trPr>
        <w:tc>
          <w:tcPr>
            <w:tcW w:w="2865" w:type="dxa"/>
            <w:vMerge w:val="restart"/>
          </w:tcPr>
          <w:p w14:paraId="2566CA01" w14:textId="77777777" w:rsidR="008E564F" w:rsidRPr="008E564F" w:rsidRDefault="008E564F" w:rsidP="00BE3D43">
            <w:pPr>
              <w:jc w:val="both"/>
              <w:rPr>
                <w:rFonts w:ascii="Garamond" w:hAnsi="Garamond"/>
                <w:bCs/>
                <w:iCs/>
                <w:sz w:val="20"/>
                <w:szCs w:val="20"/>
                <w:lang w:val="fr-MA"/>
              </w:rPr>
            </w:pPr>
          </w:p>
          <w:p w14:paraId="73605756" w14:textId="77777777" w:rsidR="008E564F" w:rsidRPr="008E564F" w:rsidRDefault="008E564F" w:rsidP="00BE3D43">
            <w:pPr>
              <w:jc w:val="both"/>
              <w:rPr>
                <w:rFonts w:ascii="Garamond" w:hAnsi="Garamond"/>
                <w:bCs/>
                <w:iCs/>
                <w:sz w:val="20"/>
                <w:szCs w:val="20"/>
                <w:lang w:val="fr-MA"/>
              </w:rPr>
            </w:pPr>
          </w:p>
          <w:p w14:paraId="52036950"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Type of insulin used</w:t>
            </w:r>
          </w:p>
        </w:tc>
        <w:tc>
          <w:tcPr>
            <w:tcW w:w="2942" w:type="dxa"/>
            <w:gridSpan w:val="5"/>
            <w:hideMark/>
          </w:tcPr>
          <w:p w14:paraId="67EC11A1"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Semi slow pre-mixed</w:t>
            </w:r>
          </w:p>
        </w:tc>
        <w:tc>
          <w:tcPr>
            <w:tcW w:w="1701" w:type="dxa"/>
            <w:hideMark/>
          </w:tcPr>
          <w:p w14:paraId="666D3915"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75</w:t>
            </w:r>
          </w:p>
        </w:tc>
        <w:tc>
          <w:tcPr>
            <w:tcW w:w="1843" w:type="dxa"/>
            <w:hideMark/>
          </w:tcPr>
          <w:p w14:paraId="0733D48B"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70,8</w:t>
            </w:r>
          </w:p>
        </w:tc>
      </w:tr>
      <w:tr w:rsidR="008E564F" w:rsidRPr="008E564F" w14:paraId="0B8A6A3A" w14:textId="77777777" w:rsidTr="007E5F99">
        <w:trPr>
          <w:trHeight w:val="240"/>
        </w:trPr>
        <w:tc>
          <w:tcPr>
            <w:tcW w:w="0" w:type="auto"/>
            <w:vMerge/>
            <w:vAlign w:val="center"/>
            <w:hideMark/>
          </w:tcPr>
          <w:p w14:paraId="04EAE04D" w14:textId="77777777" w:rsidR="008E564F" w:rsidRPr="008E564F" w:rsidRDefault="008E564F" w:rsidP="00BE3D43">
            <w:pPr>
              <w:jc w:val="both"/>
              <w:rPr>
                <w:rFonts w:ascii="Garamond" w:hAnsi="Garamond"/>
                <w:bCs/>
                <w:iCs/>
                <w:sz w:val="20"/>
                <w:szCs w:val="20"/>
                <w:lang w:val="fr-FR"/>
              </w:rPr>
            </w:pPr>
          </w:p>
        </w:tc>
        <w:tc>
          <w:tcPr>
            <w:tcW w:w="2942" w:type="dxa"/>
            <w:gridSpan w:val="5"/>
            <w:hideMark/>
          </w:tcPr>
          <w:p w14:paraId="41AB98BA" w14:textId="77777777" w:rsidR="008E564F" w:rsidRPr="008E564F" w:rsidRDefault="008E564F" w:rsidP="00BE3D43">
            <w:pPr>
              <w:jc w:val="both"/>
              <w:rPr>
                <w:rFonts w:ascii="Garamond" w:hAnsi="Garamond"/>
                <w:bCs/>
                <w:iCs/>
                <w:sz w:val="20"/>
                <w:szCs w:val="20"/>
              </w:rPr>
            </w:pPr>
            <w:r w:rsidRPr="008E564F">
              <w:rPr>
                <w:rFonts w:ascii="Garamond" w:hAnsi="Garamond"/>
                <w:bCs/>
                <w:iCs/>
                <w:sz w:val="20"/>
                <w:szCs w:val="20"/>
              </w:rPr>
              <w:t>Semi slow pre-mixed + fast</w:t>
            </w:r>
          </w:p>
        </w:tc>
        <w:tc>
          <w:tcPr>
            <w:tcW w:w="1701" w:type="dxa"/>
            <w:hideMark/>
          </w:tcPr>
          <w:p w14:paraId="6F0EFE98"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10</w:t>
            </w:r>
          </w:p>
        </w:tc>
        <w:tc>
          <w:tcPr>
            <w:tcW w:w="1843" w:type="dxa"/>
            <w:hideMark/>
          </w:tcPr>
          <w:p w14:paraId="2D4A040E"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9,4</w:t>
            </w:r>
          </w:p>
        </w:tc>
      </w:tr>
      <w:tr w:rsidR="008E564F" w:rsidRPr="008E564F" w14:paraId="43BCCA4C" w14:textId="77777777" w:rsidTr="007E5F99">
        <w:trPr>
          <w:trHeight w:val="255"/>
        </w:trPr>
        <w:tc>
          <w:tcPr>
            <w:tcW w:w="0" w:type="auto"/>
            <w:vMerge/>
            <w:vAlign w:val="center"/>
            <w:hideMark/>
          </w:tcPr>
          <w:p w14:paraId="5819DE14" w14:textId="77777777" w:rsidR="008E564F" w:rsidRPr="008E564F" w:rsidRDefault="008E564F" w:rsidP="00BE3D43">
            <w:pPr>
              <w:jc w:val="both"/>
              <w:rPr>
                <w:rFonts w:ascii="Garamond" w:hAnsi="Garamond"/>
                <w:bCs/>
                <w:iCs/>
                <w:sz w:val="20"/>
                <w:szCs w:val="20"/>
                <w:lang w:val="fr-FR"/>
              </w:rPr>
            </w:pPr>
          </w:p>
        </w:tc>
        <w:tc>
          <w:tcPr>
            <w:tcW w:w="2942" w:type="dxa"/>
            <w:gridSpan w:val="5"/>
            <w:hideMark/>
          </w:tcPr>
          <w:p w14:paraId="73698924"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Semi slow + fast</w:t>
            </w:r>
          </w:p>
        </w:tc>
        <w:tc>
          <w:tcPr>
            <w:tcW w:w="1701" w:type="dxa"/>
            <w:hideMark/>
          </w:tcPr>
          <w:p w14:paraId="32BF2F27"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8</w:t>
            </w:r>
          </w:p>
        </w:tc>
        <w:tc>
          <w:tcPr>
            <w:tcW w:w="1843" w:type="dxa"/>
            <w:hideMark/>
          </w:tcPr>
          <w:p w14:paraId="6B80B56B"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7,5</w:t>
            </w:r>
          </w:p>
        </w:tc>
      </w:tr>
      <w:tr w:rsidR="008E564F" w:rsidRPr="008E564F" w14:paraId="49E7740D" w14:textId="77777777" w:rsidTr="007E5F99">
        <w:trPr>
          <w:trHeight w:val="285"/>
        </w:trPr>
        <w:tc>
          <w:tcPr>
            <w:tcW w:w="0" w:type="auto"/>
            <w:vMerge/>
            <w:vAlign w:val="center"/>
            <w:hideMark/>
          </w:tcPr>
          <w:p w14:paraId="3CA9AC56" w14:textId="77777777" w:rsidR="008E564F" w:rsidRPr="008E564F" w:rsidRDefault="008E564F" w:rsidP="00BE3D43">
            <w:pPr>
              <w:jc w:val="both"/>
              <w:rPr>
                <w:rFonts w:ascii="Garamond" w:hAnsi="Garamond"/>
                <w:bCs/>
                <w:iCs/>
                <w:sz w:val="20"/>
                <w:szCs w:val="20"/>
                <w:lang w:val="fr-FR"/>
              </w:rPr>
            </w:pPr>
          </w:p>
        </w:tc>
        <w:tc>
          <w:tcPr>
            <w:tcW w:w="2942" w:type="dxa"/>
            <w:gridSpan w:val="5"/>
            <w:hideMark/>
          </w:tcPr>
          <w:p w14:paraId="54453A34"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Fast</w:t>
            </w:r>
          </w:p>
        </w:tc>
        <w:tc>
          <w:tcPr>
            <w:tcW w:w="1701" w:type="dxa"/>
            <w:hideMark/>
          </w:tcPr>
          <w:p w14:paraId="7ED6CA5B"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7</w:t>
            </w:r>
          </w:p>
        </w:tc>
        <w:tc>
          <w:tcPr>
            <w:tcW w:w="1843" w:type="dxa"/>
            <w:hideMark/>
          </w:tcPr>
          <w:p w14:paraId="111E13BA"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6,6</w:t>
            </w:r>
          </w:p>
        </w:tc>
      </w:tr>
      <w:tr w:rsidR="008E564F" w:rsidRPr="008E564F" w14:paraId="6DA678F9" w14:textId="77777777" w:rsidTr="007E5F99">
        <w:trPr>
          <w:trHeight w:val="408"/>
        </w:trPr>
        <w:tc>
          <w:tcPr>
            <w:tcW w:w="5807" w:type="dxa"/>
            <w:gridSpan w:val="6"/>
            <w:hideMark/>
          </w:tcPr>
          <w:p w14:paraId="4F5BFA60"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Total</w:t>
            </w:r>
          </w:p>
        </w:tc>
        <w:tc>
          <w:tcPr>
            <w:tcW w:w="1701" w:type="dxa"/>
            <w:hideMark/>
          </w:tcPr>
          <w:p w14:paraId="16A1250C"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100</w:t>
            </w:r>
          </w:p>
        </w:tc>
        <w:tc>
          <w:tcPr>
            <w:tcW w:w="1843" w:type="dxa"/>
            <w:hideMark/>
          </w:tcPr>
          <w:p w14:paraId="3F16ED9D"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7A0E86A5" w14:textId="77777777" w:rsidTr="007E5F99">
        <w:trPr>
          <w:trHeight w:val="225"/>
        </w:trPr>
        <w:tc>
          <w:tcPr>
            <w:tcW w:w="2880" w:type="dxa"/>
            <w:gridSpan w:val="2"/>
            <w:vMerge w:val="restart"/>
            <w:hideMark/>
          </w:tcPr>
          <w:p w14:paraId="267BD99A" w14:textId="77777777" w:rsidR="008E564F" w:rsidRPr="008E564F" w:rsidRDefault="008E564F" w:rsidP="00BE3D43">
            <w:pPr>
              <w:jc w:val="both"/>
              <w:rPr>
                <w:rFonts w:ascii="Garamond" w:hAnsi="Garamond"/>
                <w:bCs/>
                <w:iCs/>
                <w:sz w:val="20"/>
                <w:szCs w:val="20"/>
              </w:rPr>
            </w:pPr>
            <w:r w:rsidRPr="008E564F">
              <w:rPr>
                <w:rFonts w:ascii="Garamond" w:hAnsi="Garamond"/>
                <w:bCs/>
                <w:iCs/>
                <w:sz w:val="20"/>
                <w:szCs w:val="20"/>
              </w:rPr>
              <w:t>Frequency of glycemic self-management</w:t>
            </w:r>
          </w:p>
        </w:tc>
        <w:tc>
          <w:tcPr>
            <w:tcW w:w="2927" w:type="dxa"/>
            <w:gridSpan w:val="4"/>
            <w:hideMark/>
          </w:tcPr>
          <w:p w14:paraId="7857A735"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rPr>
              <w:t>Rarely</w:t>
            </w:r>
          </w:p>
        </w:tc>
        <w:tc>
          <w:tcPr>
            <w:tcW w:w="1701" w:type="dxa"/>
            <w:hideMark/>
          </w:tcPr>
          <w:p w14:paraId="55B69A48"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69</w:t>
            </w:r>
          </w:p>
        </w:tc>
        <w:tc>
          <w:tcPr>
            <w:tcW w:w="1843" w:type="dxa"/>
            <w:hideMark/>
          </w:tcPr>
          <w:p w14:paraId="5949AA13"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65.1</w:t>
            </w:r>
          </w:p>
        </w:tc>
      </w:tr>
      <w:tr w:rsidR="008E564F" w:rsidRPr="008E564F" w14:paraId="2C6257BF" w14:textId="77777777" w:rsidTr="007E5F99">
        <w:trPr>
          <w:trHeight w:val="195"/>
        </w:trPr>
        <w:tc>
          <w:tcPr>
            <w:tcW w:w="0" w:type="auto"/>
            <w:gridSpan w:val="2"/>
            <w:vMerge/>
            <w:vAlign w:val="center"/>
            <w:hideMark/>
          </w:tcPr>
          <w:p w14:paraId="1A506FCA" w14:textId="77777777" w:rsidR="008E564F" w:rsidRPr="008E564F" w:rsidRDefault="008E564F" w:rsidP="00BE3D43">
            <w:pPr>
              <w:jc w:val="both"/>
              <w:rPr>
                <w:rFonts w:ascii="Garamond" w:hAnsi="Garamond"/>
                <w:bCs/>
                <w:iCs/>
                <w:sz w:val="20"/>
                <w:szCs w:val="20"/>
              </w:rPr>
            </w:pPr>
          </w:p>
        </w:tc>
        <w:tc>
          <w:tcPr>
            <w:tcW w:w="2927" w:type="dxa"/>
            <w:gridSpan w:val="4"/>
            <w:hideMark/>
          </w:tcPr>
          <w:p w14:paraId="1ADD5800" w14:textId="77777777" w:rsidR="008E564F" w:rsidRPr="008E564F" w:rsidRDefault="008E564F" w:rsidP="00BE3D43">
            <w:pPr>
              <w:jc w:val="both"/>
              <w:rPr>
                <w:rFonts w:ascii="Garamond" w:hAnsi="Garamond"/>
                <w:b/>
                <w:bCs/>
                <w:iCs/>
                <w:sz w:val="20"/>
                <w:szCs w:val="20"/>
                <w:lang w:val="fr-FR"/>
              </w:rPr>
            </w:pPr>
            <w:r w:rsidRPr="008E564F">
              <w:rPr>
                <w:rFonts w:ascii="Garamond" w:hAnsi="Garamond"/>
                <w:bCs/>
                <w:iCs/>
                <w:sz w:val="20"/>
                <w:szCs w:val="20"/>
              </w:rPr>
              <w:t>Regularly</w:t>
            </w:r>
          </w:p>
        </w:tc>
        <w:tc>
          <w:tcPr>
            <w:tcW w:w="1701" w:type="dxa"/>
            <w:hideMark/>
          </w:tcPr>
          <w:p w14:paraId="3885B3A5"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31</w:t>
            </w:r>
          </w:p>
        </w:tc>
        <w:tc>
          <w:tcPr>
            <w:tcW w:w="1843" w:type="dxa"/>
            <w:hideMark/>
          </w:tcPr>
          <w:p w14:paraId="7C498AE4"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29.2</w:t>
            </w:r>
          </w:p>
        </w:tc>
      </w:tr>
      <w:tr w:rsidR="008E564F" w:rsidRPr="008E564F" w14:paraId="0904587B" w14:textId="77777777" w:rsidTr="007E5F99">
        <w:trPr>
          <w:trHeight w:val="204"/>
        </w:trPr>
        <w:tc>
          <w:tcPr>
            <w:tcW w:w="5807" w:type="dxa"/>
            <w:gridSpan w:val="6"/>
            <w:tcBorders>
              <w:bottom w:val="single" w:sz="4" w:space="0" w:color="auto"/>
            </w:tcBorders>
            <w:hideMark/>
          </w:tcPr>
          <w:p w14:paraId="53CD0B3C" w14:textId="77777777" w:rsidR="008E564F" w:rsidRPr="008E564F" w:rsidRDefault="008E564F" w:rsidP="00BE3D43">
            <w:pPr>
              <w:jc w:val="both"/>
              <w:rPr>
                <w:rFonts w:ascii="Garamond" w:hAnsi="Garamond"/>
                <w:b/>
                <w:bCs/>
                <w:iCs/>
                <w:sz w:val="20"/>
                <w:szCs w:val="20"/>
                <w:lang w:val="fr-FR"/>
              </w:rPr>
            </w:pPr>
            <w:r w:rsidRPr="008E564F">
              <w:rPr>
                <w:rFonts w:ascii="Garamond" w:hAnsi="Garamond"/>
                <w:b/>
                <w:bCs/>
                <w:iCs/>
                <w:sz w:val="20"/>
                <w:szCs w:val="20"/>
                <w:lang w:val="fr-FR"/>
              </w:rPr>
              <w:t>Total</w:t>
            </w:r>
          </w:p>
        </w:tc>
        <w:tc>
          <w:tcPr>
            <w:tcW w:w="1701" w:type="dxa"/>
            <w:tcBorders>
              <w:bottom w:val="single" w:sz="4" w:space="0" w:color="auto"/>
            </w:tcBorders>
            <w:hideMark/>
          </w:tcPr>
          <w:p w14:paraId="7C34D642"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100</w:t>
            </w:r>
          </w:p>
        </w:tc>
        <w:tc>
          <w:tcPr>
            <w:tcW w:w="1843" w:type="dxa"/>
            <w:tcBorders>
              <w:bottom w:val="single" w:sz="4" w:space="0" w:color="auto"/>
            </w:tcBorders>
            <w:hideMark/>
          </w:tcPr>
          <w:p w14:paraId="120C9D89" w14:textId="77777777" w:rsidR="008E564F" w:rsidRPr="008E564F" w:rsidRDefault="008E564F" w:rsidP="00BE3D43">
            <w:pPr>
              <w:jc w:val="both"/>
              <w:rPr>
                <w:rFonts w:ascii="Garamond" w:hAnsi="Garamond"/>
                <w:bCs/>
                <w:iCs/>
                <w:sz w:val="20"/>
                <w:szCs w:val="20"/>
                <w:lang w:val="fr-FR"/>
              </w:rPr>
            </w:pPr>
            <w:r w:rsidRPr="008E564F">
              <w:rPr>
                <w:rFonts w:ascii="Garamond" w:hAnsi="Garamond"/>
                <w:bCs/>
                <w:iCs/>
                <w:sz w:val="20"/>
                <w:szCs w:val="20"/>
                <w:lang w:val="fr-FR"/>
              </w:rPr>
              <w:t>94,3</w:t>
            </w:r>
          </w:p>
        </w:tc>
      </w:tr>
    </w:tbl>
    <w:p w14:paraId="06C313A5" w14:textId="77777777" w:rsidR="008E564F" w:rsidRPr="008E564F" w:rsidRDefault="008E564F" w:rsidP="008E564F">
      <w:pPr>
        <w:spacing w:line="259" w:lineRule="auto"/>
        <w:jc w:val="both"/>
        <w:rPr>
          <w:rFonts w:ascii="Garamond" w:hAnsi="Garamond"/>
          <w:bCs/>
          <w:iCs/>
          <w:sz w:val="20"/>
          <w:szCs w:val="20"/>
        </w:rPr>
      </w:pPr>
    </w:p>
    <w:p w14:paraId="04D553D2" w14:textId="77777777" w:rsidR="008E564F" w:rsidRPr="008E564F" w:rsidRDefault="008E564F" w:rsidP="008E564F">
      <w:pPr>
        <w:spacing w:line="259" w:lineRule="auto"/>
        <w:jc w:val="both"/>
        <w:rPr>
          <w:rFonts w:ascii="Garamond" w:hAnsi="Garamond"/>
          <w:bCs/>
          <w:iCs/>
          <w:sz w:val="20"/>
          <w:szCs w:val="20"/>
        </w:rPr>
      </w:pPr>
      <w:r w:rsidRPr="008E564F">
        <w:rPr>
          <w:rFonts w:ascii="Garamond" w:hAnsi="Garamond"/>
          <w:bCs/>
          <w:iCs/>
          <w:sz w:val="20"/>
          <w:szCs w:val="20"/>
        </w:rPr>
        <w:t>Table 3 shows the sociodemographic characteristics of the participants. It is noted that women have higher proportions compared to men, at 66% and 28.3% respectively. Similarly, it is noted that 37.7% of the studied population is over sixty years old, while a small proportion is under 20 years old. As for the types of diabetes, the results obtained show that 70.8% are affected by type 2 diabetes, compared to 23.6% of type 1. Regarding the type of insulin used, participants report that they use premixed semi-slow insulin at 70.8%, while premixed semi-slow + rapid insulin, semi-slow + rapid, and rapid insulin are used by only small proportions of participants, at 9.4%, 7.5%, and 6.6% respectively. It should be noted that there are missing values (n=6), which accounts for 5.7%.</w:t>
      </w:r>
    </w:p>
    <w:p w14:paraId="06FD5F95" w14:textId="77777777" w:rsidR="008E564F" w:rsidRPr="007E5F99" w:rsidRDefault="008E564F" w:rsidP="007E5F99">
      <w:pPr>
        <w:spacing w:line="259" w:lineRule="auto"/>
        <w:jc w:val="both"/>
        <w:rPr>
          <w:rFonts w:ascii="Garamond" w:hAnsi="Garamond"/>
          <w:b/>
          <w:iCs/>
          <w:sz w:val="20"/>
          <w:szCs w:val="20"/>
        </w:rPr>
      </w:pPr>
      <w:r w:rsidRPr="007E5F99">
        <w:rPr>
          <w:rFonts w:ascii="Garamond" w:hAnsi="Garamond"/>
          <w:b/>
          <w:iCs/>
          <w:sz w:val="20"/>
          <w:szCs w:val="20"/>
        </w:rPr>
        <w:t>Practice of insulin use and hygiene</w:t>
      </w:r>
    </w:p>
    <w:p w14:paraId="414884C3" w14:textId="3555CFDC" w:rsidR="008E564F" w:rsidRPr="008E564F" w:rsidRDefault="008E564F" w:rsidP="008E564F">
      <w:pPr>
        <w:spacing w:line="259" w:lineRule="auto"/>
        <w:jc w:val="both"/>
        <w:rPr>
          <w:rFonts w:ascii="Garamond" w:hAnsi="Garamond"/>
          <w:bCs/>
          <w:iCs/>
          <w:sz w:val="20"/>
          <w:szCs w:val="20"/>
        </w:rPr>
      </w:pPr>
      <w:r w:rsidRPr="008E564F">
        <w:rPr>
          <w:rFonts w:ascii="Garamond" w:hAnsi="Garamond"/>
          <w:b/>
          <w:iCs/>
          <w:sz w:val="20"/>
          <w:szCs w:val="20"/>
        </w:rPr>
        <w:t>Table 4.</w:t>
      </w:r>
      <w:r w:rsidRPr="008E564F">
        <w:rPr>
          <w:rFonts w:ascii="Garamond" w:hAnsi="Garamond"/>
          <w:bCs/>
          <w:iCs/>
          <w:sz w:val="20"/>
          <w:szCs w:val="20"/>
        </w:rPr>
        <w:t xml:space="preserve"> Practice of insulin use and hygiene</w:t>
      </w:r>
    </w:p>
    <w:tbl>
      <w:tblPr>
        <w:tblW w:w="9634" w:type="dxa"/>
        <w:tblLook w:val="04A0" w:firstRow="1" w:lastRow="0" w:firstColumn="1" w:lastColumn="0" w:noHBand="0" w:noVBand="1"/>
      </w:tblPr>
      <w:tblGrid>
        <w:gridCol w:w="2835"/>
        <w:gridCol w:w="60"/>
        <w:gridCol w:w="3479"/>
        <w:gridCol w:w="1418"/>
        <w:gridCol w:w="1842"/>
      </w:tblGrid>
      <w:tr w:rsidR="008E564F" w:rsidRPr="008E564F" w14:paraId="4030359C" w14:textId="77777777" w:rsidTr="007E5F99">
        <w:trPr>
          <w:trHeight w:val="20"/>
        </w:trPr>
        <w:tc>
          <w:tcPr>
            <w:tcW w:w="6374" w:type="dxa"/>
            <w:gridSpan w:val="3"/>
            <w:tcBorders>
              <w:top w:val="single" w:sz="4" w:space="0" w:color="auto"/>
              <w:bottom w:val="single" w:sz="4" w:space="0" w:color="auto"/>
            </w:tcBorders>
            <w:hideMark/>
          </w:tcPr>
          <w:p w14:paraId="1619F812" w14:textId="5D9C93E7" w:rsidR="008E564F" w:rsidRPr="008E564F" w:rsidRDefault="008E564F" w:rsidP="007E5F99">
            <w:pPr>
              <w:spacing w:line="259" w:lineRule="auto"/>
              <w:rPr>
                <w:rFonts w:ascii="Garamond" w:hAnsi="Garamond"/>
                <w:b/>
                <w:bCs/>
                <w:iCs/>
                <w:sz w:val="20"/>
                <w:szCs w:val="20"/>
                <w:lang w:val="fr-FR"/>
              </w:rPr>
            </w:pPr>
            <w:r w:rsidRPr="008E564F">
              <w:rPr>
                <w:rFonts w:ascii="Garamond" w:hAnsi="Garamond"/>
                <w:b/>
                <w:bCs/>
                <w:iCs/>
                <w:sz w:val="20"/>
                <w:szCs w:val="20"/>
                <w:lang w:val="fr-FR"/>
              </w:rPr>
              <w:t>Variable</w:t>
            </w:r>
            <w:r w:rsidR="007E5F99">
              <w:rPr>
                <w:rFonts w:ascii="Garamond" w:hAnsi="Garamond"/>
                <w:b/>
                <w:bCs/>
                <w:iCs/>
                <w:sz w:val="20"/>
                <w:szCs w:val="20"/>
                <w:lang w:val="fr-FR"/>
              </w:rPr>
              <w:t xml:space="preserve">                                           </w:t>
            </w:r>
            <w:proofErr w:type="spellStart"/>
            <w:r w:rsidR="007E5F99">
              <w:rPr>
                <w:rFonts w:ascii="Garamond" w:hAnsi="Garamond"/>
                <w:b/>
                <w:bCs/>
                <w:iCs/>
                <w:sz w:val="20"/>
                <w:szCs w:val="20"/>
                <w:lang w:val="fr-FR"/>
              </w:rPr>
              <w:t>Categories</w:t>
            </w:r>
            <w:proofErr w:type="spellEnd"/>
            <w:r w:rsidR="007E5F99">
              <w:rPr>
                <w:rFonts w:ascii="Garamond" w:hAnsi="Garamond"/>
                <w:b/>
                <w:bCs/>
                <w:iCs/>
                <w:sz w:val="20"/>
                <w:szCs w:val="20"/>
                <w:lang w:val="fr-FR"/>
              </w:rPr>
              <w:t xml:space="preserve"> </w:t>
            </w:r>
          </w:p>
        </w:tc>
        <w:tc>
          <w:tcPr>
            <w:tcW w:w="1418" w:type="dxa"/>
            <w:tcBorders>
              <w:top w:val="single" w:sz="4" w:space="0" w:color="auto"/>
              <w:bottom w:val="single" w:sz="4" w:space="0" w:color="auto"/>
            </w:tcBorders>
            <w:hideMark/>
          </w:tcPr>
          <w:p w14:paraId="7D4E8C19"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
                <w:bCs/>
                <w:iCs/>
                <w:sz w:val="20"/>
                <w:szCs w:val="20"/>
              </w:rPr>
              <w:t>Frequency</w:t>
            </w:r>
          </w:p>
        </w:tc>
        <w:tc>
          <w:tcPr>
            <w:tcW w:w="1842" w:type="dxa"/>
            <w:tcBorders>
              <w:top w:val="single" w:sz="4" w:space="0" w:color="auto"/>
              <w:bottom w:val="single" w:sz="4" w:space="0" w:color="auto"/>
            </w:tcBorders>
            <w:hideMark/>
          </w:tcPr>
          <w:p w14:paraId="496198D0"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
                <w:bCs/>
                <w:iCs/>
                <w:sz w:val="20"/>
                <w:szCs w:val="20"/>
              </w:rPr>
              <w:t xml:space="preserve">Percentage </w:t>
            </w:r>
            <w:r w:rsidRPr="008E564F">
              <w:rPr>
                <w:rFonts w:ascii="Garamond" w:hAnsi="Garamond"/>
                <w:b/>
                <w:bCs/>
                <w:iCs/>
                <w:sz w:val="20"/>
                <w:szCs w:val="20"/>
                <w:lang w:val="fr-FR"/>
              </w:rPr>
              <w:t>%</w:t>
            </w:r>
          </w:p>
        </w:tc>
      </w:tr>
      <w:tr w:rsidR="008E564F" w:rsidRPr="008E564F" w14:paraId="1C81A73E" w14:textId="77777777" w:rsidTr="007E5F99">
        <w:trPr>
          <w:trHeight w:val="20"/>
        </w:trPr>
        <w:tc>
          <w:tcPr>
            <w:tcW w:w="2835" w:type="dxa"/>
            <w:vMerge w:val="restart"/>
            <w:tcBorders>
              <w:top w:val="single" w:sz="4" w:space="0" w:color="auto"/>
            </w:tcBorders>
          </w:tcPr>
          <w:p w14:paraId="1485778B" w14:textId="77777777" w:rsidR="008E564F" w:rsidRPr="008E564F" w:rsidRDefault="008E564F" w:rsidP="007E5F99">
            <w:pPr>
              <w:spacing w:line="259" w:lineRule="auto"/>
              <w:rPr>
                <w:rFonts w:ascii="Garamond" w:hAnsi="Garamond"/>
                <w:bCs/>
                <w:iCs/>
                <w:sz w:val="20"/>
                <w:szCs w:val="20"/>
              </w:rPr>
            </w:pPr>
          </w:p>
          <w:p w14:paraId="5F47C91D"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Injection method</w:t>
            </w:r>
          </w:p>
        </w:tc>
        <w:tc>
          <w:tcPr>
            <w:tcW w:w="3539" w:type="dxa"/>
            <w:gridSpan w:val="2"/>
            <w:tcBorders>
              <w:top w:val="single" w:sz="4" w:space="0" w:color="auto"/>
            </w:tcBorders>
            <w:hideMark/>
          </w:tcPr>
          <w:p w14:paraId="5FFB5186"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Subcutaneous</w:t>
            </w:r>
          </w:p>
        </w:tc>
        <w:tc>
          <w:tcPr>
            <w:tcW w:w="1418" w:type="dxa"/>
            <w:tcBorders>
              <w:top w:val="single" w:sz="4" w:space="0" w:color="auto"/>
            </w:tcBorders>
            <w:hideMark/>
          </w:tcPr>
          <w:p w14:paraId="47736269"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70</w:t>
            </w:r>
          </w:p>
        </w:tc>
        <w:tc>
          <w:tcPr>
            <w:tcW w:w="1842" w:type="dxa"/>
            <w:tcBorders>
              <w:top w:val="single" w:sz="4" w:space="0" w:color="auto"/>
            </w:tcBorders>
            <w:hideMark/>
          </w:tcPr>
          <w:p w14:paraId="30934317"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66.0</w:t>
            </w:r>
          </w:p>
        </w:tc>
      </w:tr>
      <w:tr w:rsidR="008E564F" w:rsidRPr="008E564F" w14:paraId="58CC9EFB" w14:textId="77777777" w:rsidTr="007E5F99">
        <w:trPr>
          <w:trHeight w:val="20"/>
        </w:trPr>
        <w:tc>
          <w:tcPr>
            <w:tcW w:w="0" w:type="auto"/>
            <w:vMerge/>
            <w:hideMark/>
          </w:tcPr>
          <w:p w14:paraId="34F9BFDA" w14:textId="77777777" w:rsidR="008E564F" w:rsidRPr="008E564F" w:rsidRDefault="008E564F" w:rsidP="007E5F99">
            <w:pPr>
              <w:spacing w:line="259" w:lineRule="auto"/>
              <w:rPr>
                <w:rFonts w:ascii="Garamond" w:hAnsi="Garamond"/>
                <w:bCs/>
                <w:iCs/>
                <w:sz w:val="20"/>
                <w:szCs w:val="20"/>
                <w:lang w:val="fr-FR"/>
              </w:rPr>
            </w:pPr>
          </w:p>
        </w:tc>
        <w:tc>
          <w:tcPr>
            <w:tcW w:w="3539" w:type="dxa"/>
            <w:gridSpan w:val="2"/>
            <w:hideMark/>
          </w:tcPr>
          <w:p w14:paraId="6C41EF3A"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Intramuscular</w:t>
            </w:r>
          </w:p>
        </w:tc>
        <w:tc>
          <w:tcPr>
            <w:tcW w:w="1418" w:type="dxa"/>
            <w:hideMark/>
          </w:tcPr>
          <w:p w14:paraId="38836687"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30</w:t>
            </w:r>
          </w:p>
        </w:tc>
        <w:tc>
          <w:tcPr>
            <w:tcW w:w="1842" w:type="dxa"/>
            <w:hideMark/>
          </w:tcPr>
          <w:p w14:paraId="24011699"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28.3</w:t>
            </w:r>
          </w:p>
        </w:tc>
      </w:tr>
      <w:tr w:rsidR="008E564F" w:rsidRPr="008E564F" w14:paraId="3E205B93" w14:textId="77777777" w:rsidTr="007E5F99">
        <w:trPr>
          <w:trHeight w:val="20"/>
        </w:trPr>
        <w:tc>
          <w:tcPr>
            <w:tcW w:w="6374" w:type="dxa"/>
            <w:gridSpan w:val="3"/>
            <w:hideMark/>
          </w:tcPr>
          <w:p w14:paraId="3CFBF440"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
                <w:bCs/>
                <w:iCs/>
                <w:sz w:val="20"/>
                <w:szCs w:val="20"/>
                <w:lang w:val="fr-FR"/>
              </w:rPr>
              <w:t>Total</w:t>
            </w:r>
          </w:p>
        </w:tc>
        <w:tc>
          <w:tcPr>
            <w:tcW w:w="1418" w:type="dxa"/>
            <w:hideMark/>
          </w:tcPr>
          <w:p w14:paraId="28D618C3"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100</w:t>
            </w:r>
          </w:p>
        </w:tc>
        <w:tc>
          <w:tcPr>
            <w:tcW w:w="1842" w:type="dxa"/>
            <w:hideMark/>
          </w:tcPr>
          <w:p w14:paraId="3880BEB1"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06462BCE" w14:textId="77777777" w:rsidTr="007E5F99">
        <w:trPr>
          <w:trHeight w:val="20"/>
        </w:trPr>
        <w:tc>
          <w:tcPr>
            <w:tcW w:w="2835" w:type="dxa"/>
            <w:vMerge w:val="restart"/>
          </w:tcPr>
          <w:p w14:paraId="7A65F6FB" w14:textId="77777777" w:rsidR="008E564F" w:rsidRPr="008E564F" w:rsidRDefault="008E564F" w:rsidP="007E5F99">
            <w:pPr>
              <w:spacing w:line="259" w:lineRule="auto"/>
              <w:rPr>
                <w:rFonts w:ascii="Garamond" w:hAnsi="Garamond"/>
                <w:bCs/>
                <w:iCs/>
                <w:sz w:val="20"/>
                <w:szCs w:val="20"/>
              </w:rPr>
            </w:pPr>
          </w:p>
          <w:p w14:paraId="34C1008F" w14:textId="660DB990" w:rsidR="008E564F" w:rsidRPr="008E564F" w:rsidRDefault="008E564F" w:rsidP="007E5F99">
            <w:pPr>
              <w:spacing w:line="259" w:lineRule="auto"/>
              <w:rPr>
                <w:rFonts w:ascii="Garamond" w:hAnsi="Garamond"/>
                <w:b/>
                <w:bCs/>
                <w:iCs/>
                <w:sz w:val="20"/>
                <w:szCs w:val="20"/>
              </w:rPr>
            </w:pPr>
            <w:r w:rsidRPr="008E564F">
              <w:rPr>
                <w:rFonts w:ascii="Garamond" w:hAnsi="Garamond"/>
                <w:bCs/>
                <w:iCs/>
                <w:sz w:val="20"/>
                <w:szCs w:val="20"/>
              </w:rPr>
              <w:t>Variation of injection sites</w:t>
            </w:r>
          </w:p>
        </w:tc>
        <w:tc>
          <w:tcPr>
            <w:tcW w:w="3539" w:type="dxa"/>
            <w:gridSpan w:val="2"/>
            <w:hideMark/>
          </w:tcPr>
          <w:p w14:paraId="6B3F2DB6"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Yes</w:t>
            </w:r>
          </w:p>
        </w:tc>
        <w:tc>
          <w:tcPr>
            <w:tcW w:w="1418" w:type="dxa"/>
            <w:hideMark/>
          </w:tcPr>
          <w:p w14:paraId="71C98F0F"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90</w:t>
            </w:r>
          </w:p>
        </w:tc>
        <w:tc>
          <w:tcPr>
            <w:tcW w:w="1842" w:type="dxa"/>
            <w:hideMark/>
          </w:tcPr>
          <w:p w14:paraId="5C821AAC"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84,9</w:t>
            </w:r>
          </w:p>
        </w:tc>
      </w:tr>
      <w:tr w:rsidR="008E564F" w:rsidRPr="008E564F" w14:paraId="50EABC09" w14:textId="77777777" w:rsidTr="007E5F99">
        <w:trPr>
          <w:trHeight w:val="20"/>
        </w:trPr>
        <w:tc>
          <w:tcPr>
            <w:tcW w:w="0" w:type="auto"/>
            <w:vMerge/>
            <w:hideMark/>
          </w:tcPr>
          <w:p w14:paraId="4D0B1FDA" w14:textId="77777777" w:rsidR="008E564F" w:rsidRPr="008E564F" w:rsidRDefault="008E564F" w:rsidP="007E5F99">
            <w:pPr>
              <w:spacing w:line="259" w:lineRule="auto"/>
              <w:rPr>
                <w:rFonts w:ascii="Garamond" w:hAnsi="Garamond"/>
                <w:b/>
                <w:bCs/>
                <w:iCs/>
                <w:sz w:val="20"/>
                <w:szCs w:val="20"/>
              </w:rPr>
            </w:pPr>
          </w:p>
        </w:tc>
        <w:tc>
          <w:tcPr>
            <w:tcW w:w="3539" w:type="dxa"/>
            <w:gridSpan w:val="2"/>
            <w:hideMark/>
          </w:tcPr>
          <w:p w14:paraId="3ED1D9DE"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No</w:t>
            </w:r>
          </w:p>
        </w:tc>
        <w:tc>
          <w:tcPr>
            <w:tcW w:w="1418" w:type="dxa"/>
            <w:hideMark/>
          </w:tcPr>
          <w:p w14:paraId="139FF42A"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10</w:t>
            </w:r>
          </w:p>
        </w:tc>
        <w:tc>
          <w:tcPr>
            <w:tcW w:w="1842" w:type="dxa"/>
            <w:hideMark/>
          </w:tcPr>
          <w:p w14:paraId="7A66B2EA"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9,4</w:t>
            </w:r>
          </w:p>
        </w:tc>
      </w:tr>
      <w:tr w:rsidR="008E564F" w:rsidRPr="008E564F" w14:paraId="028BC141" w14:textId="77777777" w:rsidTr="007E5F99">
        <w:trPr>
          <w:trHeight w:val="20"/>
        </w:trPr>
        <w:tc>
          <w:tcPr>
            <w:tcW w:w="6374" w:type="dxa"/>
            <w:gridSpan w:val="3"/>
            <w:hideMark/>
          </w:tcPr>
          <w:p w14:paraId="583C7704"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
                <w:bCs/>
                <w:iCs/>
                <w:sz w:val="20"/>
                <w:szCs w:val="20"/>
                <w:lang w:val="fr-FR"/>
              </w:rPr>
              <w:t>Total</w:t>
            </w:r>
          </w:p>
        </w:tc>
        <w:tc>
          <w:tcPr>
            <w:tcW w:w="1418" w:type="dxa"/>
            <w:hideMark/>
          </w:tcPr>
          <w:p w14:paraId="22AEB4D0"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100</w:t>
            </w:r>
          </w:p>
        </w:tc>
        <w:tc>
          <w:tcPr>
            <w:tcW w:w="1842" w:type="dxa"/>
            <w:hideMark/>
          </w:tcPr>
          <w:p w14:paraId="235B59AB"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0A1EF042" w14:textId="77777777" w:rsidTr="007E5F99">
        <w:trPr>
          <w:trHeight w:val="20"/>
        </w:trPr>
        <w:tc>
          <w:tcPr>
            <w:tcW w:w="2835" w:type="dxa"/>
            <w:vMerge w:val="restart"/>
          </w:tcPr>
          <w:p w14:paraId="46817CB5" w14:textId="77777777" w:rsidR="008E564F" w:rsidRPr="008E564F" w:rsidRDefault="008E564F" w:rsidP="007E5F99">
            <w:pPr>
              <w:spacing w:line="259" w:lineRule="auto"/>
              <w:rPr>
                <w:rFonts w:ascii="Garamond" w:hAnsi="Garamond"/>
                <w:bCs/>
                <w:iCs/>
                <w:sz w:val="20"/>
                <w:szCs w:val="20"/>
              </w:rPr>
            </w:pPr>
          </w:p>
          <w:p w14:paraId="7099F808" w14:textId="77777777" w:rsidR="008E564F" w:rsidRPr="008E564F" w:rsidRDefault="008E564F" w:rsidP="007E5F99">
            <w:pPr>
              <w:spacing w:line="259" w:lineRule="auto"/>
              <w:rPr>
                <w:rFonts w:ascii="Garamond" w:hAnsi="Garamond"/>
                <w:b/>
                <w:bCs/>
                <w:iCs/>
                <w:sz w:val="20"/>
                <w:szCs w:val="20"/>
              </w:rPr>
            </w:pPr>
            <w:r w:rsidRPr="008E564F">
              <w:rPr>
                <w:rFonts w:ascii="Garamond" w:hAnsi="Garamond"/>
                <w:bCs/>
                <w:iCs/>
                <w:sz w:val="20"/>
                <w:szCs w:val="20"/>
              </w:rPr>
              <w:t>Use of the same needle</w:t>
            </w:r>
          </w:p>
        </w:tc>
        <w:tc>
          <w:tcPr>
            <w:tcW w:w="3539" w:type="dxa"/>
            <w:gridSpan w:val="2"/>
            <w:hideMark/>
          </w:tcPr>
          <w:p w14:paraId="5DCD384D"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Yes</w:t>
            </w:r>
          </w:p>
        </w:tc>
        <w:tc>
          <w:tcPr>
            <w:tcW w:w="1418" w:type="dxa"/>
            <w:hideMark/>
          </w:tcPr>
          <w:p w14:paraId="24F5C34E"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24</w:t>
            </w:r>
          </w:p>
        </w:tc>
        <w:tc>
          <w:tcPr>
            <w:tcW w:w="1842" w:type="dxa"/>
            <w:hideMark/>
          </w:tcPr>
          <w:p w14:paraId="03525F4E"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22,6</w:t>
            </w:r>
          </w:p>
        </w:tc>
      </w:tr>
      <w:tr w:rsidR="008E564F" w:rsidRPr="008E564F" w14:paraId="3BED8E4B" w14:textId="77777777" w:rsidTr="007E5F99">
        <w:trPr>
          <w:trHeight w:val="20"/>
        </w:trPr>
        <w:tc>
          <w:tcPr>
            <w:tcW w:w="0" w:type="auto"/>
            <w:vMerge/>
            <w:hideMark/>
          </w:tcPr>
          <w:p w14:paraId="5FF3BAF1" w14:textId="77777777" w:rsidR="008E564F" w:rsidRPr="008E564F" w:rsidRDefault="008E564F" w:rsidP="007E5F99">
            <w:pPr>
              <w:spacing w:line="259" w:lineRule="auto"/>
              <w:rPr>
                <w:rFonts w:ascii="Garamond" w:hAnsi="Garamond"/>
                <w:b/>
                <w:bCs/>
                <w:iCs/>
                <w:sz w:val="20"/>
                <w:szCs w:val="20"/>
              </w:rPr>
            </w:pPr>
          </w:p>
        </w:tc>
        <w:tc>
          <w:tcPr>
            <w:tcW w:w="3539" w:type="dxa"/>
            <w:gridSpan w:val="2"/>
            <w:hideMark/>
          </w:tcPr>
          <w:p w14:paraId="24578B68"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No</w:t>
            </w:r>
          </w:p>
        </w:tc>
        <w:tc>
          <w:tcPr>
            <w:tcW w:w="1418" w:type="dxa"/>
            <w:hideMark/>
          </w:tcPr>
          <w:p w14:paraId="4D8BD37F"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76</w:t>
            </w:r>
          </w:p>
        </w:tc>
        <w:tc>
          <w:tcPr>
            <w:tcW w:w="1842" w:type="dxa"/>
            <w:hideMark/>
          </w:tcPr>
          <w:p w14:paraId="083D8A41"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71,7</w:t>
            </w:r>
          </w:p>
        </w:tc>
      </w:tr>
      <w:tr w:rsidR="008E564F" w:rsidRPr="008E564F" w14:paraId="11A1CDDD" w14:textId="77777777" w:rsidTr="007E5F99">
        <w:trPr>
          <w:trHeight w:val="20"/>
        </w:trPr>
        <w:tc>
          <w:tcPr>
            <w:tcW w:w="6374" w:type="dxa"/>
            <w:gridSpan w:val="3"/>
            <w:hideMark/>
          </w:tcPr>
          <w:p w14:paraId="2378B34E"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
                <w:bCs/>
                <w:iCs/>
                <w:sz w:val="20"/>
                <w:szCs w:val="20"/>
                <w:lang w:val="fr-FR"/>
              </w:rPr>
              <w:t>Total</w:t>
            </w:r>
          </w:p>
        </w:tc>
        <w:tc>
          <w:tcPr>
            <w:tcW w:w="1418" w:type="dxa"/>
            <w:hideMark/>
          </w:tcPr>
          <w:p w14:paraId="68838BEE"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100</w:t>
            </w:r>
          </w:p>
        </w:tc>
        <w:tc>
          <w:tcPr>
            <w:tcW w:w="1842" w:type="dxa"/>
            <w:hideMark/>
          </w:tcPr>
          <w:p w14:paraId="199C0613"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6D8533E0" w14:textId="77777777" w:rsidTr="007E5F99">
        <w:trPr>
          <w:trHeight w:val="20"/>
        </w:trPr>
        <w:tc>
          <w:tcPr>
            <w:tcW w:w="2835" w:type="dxa"/>
            <w:vMerge w:val="restart"/>
          </w:tcPr>
          <w:p w14:paraId="07634B4A" w14:textId="77777777" w:rsidR="008E564F" w:rsidRPr="008E564F" w:rsidRDefault="008E564F" w:rsidP="007E5F99">
            <w:pPr>
              <w:spacing w:line="259" w:lineRule="auto"/>
              <w:rPr>
                <w:rFonts w:ascii="Garamond" w:hAnsi="Garamond"/>
                <w:bCs/>
                <w:iCs/>
                <w:sz w:val="20"/>
                <w:szCs w:val="20"/>
              </w:rPr>
            </w:pPr>
          </w:p>
          <w:p w14:paraId="074C0B9C"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Cs/>
                <w:iCs/>
                <w:sz w:val="20"/>
                <w:szCs w:val="20"/>
              </w:rPr>
              <w:t>Purge of air bubbles</w:t>
            </w:r>
          </w:p>
        </w:tc>
        <w:tc>
          <w:tcPr>
            <w:tcW w:w="3539" w:type="dxa"/>
            <w:gridSpan w:val="2"/>
            <w:hideMark/>
          </w:tcPr>
          <w:p w14:paraId="0B661C38"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Yes</w:t>
            </w:r>
          </w:p>
        </w:tc>
        <w:tc>
          <w:tcPr>
            <w:tcW w:w="1418" w:type="dxa"/>
            <w:hideMark/>
          </w:tcPr>
          <w:p w14:paraId="67553AD3"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70</w:t>
            </w:r>
          </w:p>
        </w:tc>
        <w:tc>
          <w:tcPr>
            <w:tcW w:w="1842" w:type="dxa"/>
            <w:hideMark/>
          </w:tcPr>
          <w:p w14:paraId="4BBEB07B"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66.0</w:t>
            </w:r>
          </w:p>
        </w:tc>
      </w:tr>
      <w:tr w:rsidR="008E564F" w:rsidRPr="008E564F" w14:paraId="7F837CDB" w14:textId="77777777" w:rsidTr="007E5F99">
        <w:trPr>
          <w:trHeight w:val="20"/>
        </w:trPr>
        <w:tc>
          <w:tcPr>
            <w:tcW w:w="0" w:type="auto"/>
            <w:vMerge/>
            <w:hideMark/>
          </w:tcPr>
          <w:p w14:paraId="2A24065F" w14:textId="77777777" w:rsidR="008E564F" w:rsidRPr="008E564F" w:rsidRDefault="008E564F" w:rsidP="007E5F99">
            <w:pPr>
              <w:spacing w:line="259" w:lineRule="auto"/>
              <w:rPr>
                <w:rFonts w:ascii="Garamond" w:hAnsi="Garamond"/>
                <w:b/>
                <w:bCs/>
                <w:iCs/>
                <w:sz w:val="20"/>
                <w:szCs w:val="20"/>
                <w:lang w:val="fr-FR"/>
              </w:rPr>
            </w:pPr>
          </w:p>
        </w:tc>
        <w:tc>
          <w:tcPr>
            <w:tcW w:w="3539" w:type="dxa"/>
            <w:gridSpan w:val="2"/>
            <w:hideMark/>
          </w:tcPr>
          <w:p w14:paraId="431536DD"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No</w:t>
            </w:r>
          </w:p>
        </w:tc>
        <w:tc>
          <w:tcPr>
            <w:tcW w:w="1418" w:type="dxa"/>
            <w:hideMark/>
          </w:tcPr>
          <w:p w14:paraId="1FE699A6"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30</w:t>
            </w:r>
          </w:p>
        </w:tc>
        <w:tc>
          <w:tcPr>
            <w:tcW w:w="1842" w:type="dxa"/>
            <w:hideMark/>
          </w:tcPr>
          <w:p w14:paraId="6CA13537"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28.3</w:t>
            </w:r>
          </w:p>
        </w:tc>
      </w:tr>
      <w:tr w:rsidR="008E564F" w:rsidRPr="008E564F" w14:paraId="290A4278" w14:textId="77777777" w:rsidTr="007E5F99">
        <w:trPr>
          <w:trHeight w:val="20"/>
        </w:trPr>
        <w:tc>
          <w:tcPr>
            <w:tcW w:w="6374" w:type="dxa"/>
            <w:gridSpan w:val="3"/>
            <w:hideMark/>
          </w:tcPr>
          <w:p w14:paraId="7259E3C1"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
                <w:bCs/>
                <w:iCs/>
                <w:sz w:val="20"/>
                <w:szCs w:val="20"/>
                <w:lang w:val="fr-FR"/>
              </w:rPr>
              <w:t>Total</w:t>
            </w:r>
          </w:p>
        </w:tc>
        <w:tc>
          <w:tcPr>
            <w:tcW w:w="1418" w:type="dxa"/>
            <w:hideMark/>
          </w:tcPr>
          <w:p w14:paraId="7D83493D"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100</w:t>
            </w:r>
          </w:p>
        </w:tc>
        <w:tc>
          <w:tcPr>
            <w:tcW w:w="1842" w:type="dxa"/>
            <w:hideMark/>
          </w:tcPr>
          <w:p w14:paraId="309D992E"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0D0943E0" w14:textId="77777777" w:rsidTr="007E5F99">
        <w:trPr>
          <w:trHeight w:val="20"/>
        </w:trPr>
        <w:tc>
          <w:tcPr>
            <w:tcW w:w="2835" w:type="dxa"/>
            <w:vMerge w:val="restart"/>
            <w:hideMark/>
          </w:tcPr>
          <w:p w14:paraId="09A4B762"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Cs/>
                <w:iCs/>
                <w:sz w:val="20"/>
                <w:szCs w:val="20"/>
              </w:rPr>
              <w:t>Pinching of the skin</w:t>
            </w:r>
          </w:p>
        </w:tc>
        <w:tc>
          <w:tcPr>
            <w:tcW w:w="3539" w:type="dxa"/>
            <w:gridSpan w:val="2"/>
            <w:hideMark/>
          </w:tcPr>
          <w:p w14:paraId="0F1BF083"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Yes</w:t>
            </w:r>
          </w:p>
        </w:tc>
        <w:tc>
          <w:tcPr>
            <w:tcW w:w="1418" w:type="dxa"/>
            <w:hideMark/>
          </w:tcPr>
          <w:p w14:paraId="3DE69720"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87</w:t>
            </w:r>
          </w:p>
        </w:tc>
        <w:tc>
          <w:tcPr>
            <w:tcW w:w="1842" w:type="dxa"/>
            <w:hideMark/>
          </w:tcPr>
          <w:p w14:paraId="52406FAE"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82.1</w:t>
            </w:r>
          </w:p>
        </w:tc>
      </w:tr>
      <w:tr w:rsidR="008E564F" w:rsidRPr="008E564F" w14:paraId="7C2B2144" w14:textId="77777777" w:rsidTr="007E5F99">
        <w:trPr>
          <w:trHeight w:val="20"/>
        </w:trPr>
        <w:tc>
          <w:tcPr>
            <w:tcW w:w="0" w:type="auto"/>
            <w:vMerge/>
            <w:hideMark/>
          </w:tcPr>
          <w:p w14:paraId="377D9DCD" w14:textId="77777777" w:rsidR="008E564F" w:rsidRPr="008E564F" w:rsidRDefault="008E564F" w:rsidP="007E5F99">
            <w:pPr>
              <w:spacing w:line="259" w:lineRule="auto"/>
              <w:rPr>
                <w:rFonts w:ascii="Garamond" w:hAnsi="Garamond"/>
                <w:b/>
                <w:bCs/>
                <w:iCs/>
                <w:sz w:val="20"/>
                <w:szCs w:val="20"/>
                <w:lang w:val="fr-FR"/>
              </w:rPr>
            </w:pPr>
          </w:p>
        </w:tc>
        <w:tc>
          <w:tcPr>
            <w:tcW w:w="3539" w:type="dxa"/>
            <w:gridSpan w:val="2"/>
            <w:hideMark/>
          </w:tcPr>
          <w:p w14:paraId="691B8881"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No</w:t>
            </w:r>
          </w:p>
        </w:tc>
        <w:tc>
          <w:tcPr>
            <w:tcW w:w="1418" w:type="dxa"/>
            <w:hideMark/>
          </w:tcPr>
          <w:p w14:paraId="60509E32"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13</w:t>
            </w:r>
          </w:p>
        </w:tc>
        <w:tc>
          <w:tcPr>
            <w:tcW w:w="1842" w:type="dxa"/>
            <w:hideMark/>
          </w:tcPr>
          <w:p w14:paraId="0FD1BC22"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12.3</w:t>
            </w:r>
          </w:p>
        </w:tc>
      </w:tr>
      <w:tr w:rsidR="008E564F" w:rsidRPr="008E564F" w14:paraId="5DC30F45" w14:textId="77777777" w:rsidTr="007E5F99">
        <w:trPr>
          <w:trHeight w:val="20"/>
        </w:trPr>
        <w:tc>
          <w:tcPr>
            <w:tcW w:w="6374" w:type="dxa"/>
            <w:gridSpan w:val="3"/>
            <w:hideMark/>
          </w:tcPr>
          <w:p w14:paraId="1DA82165"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
                <w:bCs/>
                <w:iCs/>
                <w:sz w:val="20"/>
                <w:szCs w:val="20"/>
                <w:lang w:val="fr-FR"/>
              </w:rPr>
              <w:t>Total</w:t>
            </w:r>
          </w:p>
        </w:tc>
        <w:tc>
          <w:tcPr>
            <w:tcW w:w="1418" w:type="dxa"/>
            <w:hideMark/>
          </w:tcPr>
          <w:p w14:paraId="5615E48D"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100</w:t>
            </w:r>
          </w:p>
        </w:tc>
        <w:tc>
          <w:tcPr>
            <w:tcW w:w="1842" w:type="dxa"/>
            <w:hideMark/>
          </w:tcPr>
          <w:p w14:paraId="20EDCC4B"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2F141B91" w14:textId="77777777" w:rsidTr="007E5F99">
        <w:trPr>
          <w:trHeight w:val="20"/>
        </w:trPr>
        <w:tc>
          <w:tcPr>
            <w:tcW w:w="2835" w:type="dxa"/>
            <w:vMerge w:val="restart"/>
          </w:tcPr>
          <w:p w14:paraId="1F2DA27C" w14:textId="77777777" w:rsidR="008E564F" w:rsidRPr="008E564F" w:rsidRDefault="008E564F" w:rsidP="007E5F99">
            <w:pPr>
              <w:spacing w:line="259" w:lineRule="auto"/>
              <w:rPr>
                <w:rFonts w:ascii="Garamond" w:hAnsi="Garamond"/>
                <w:bCs/>
                <w:iCs/>
                <w:sz w:val="20"/>
                <w:szCs w:val="20"/>
              </w:rPr>
            </w:pPr>
          </w:p>
          <w:p w14:paraId="34BF2F69"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Site cleaning</w:t>
            </w:r>
          </w:p>
        </w:tc>
        <w:tc>
          <w:tcPr>
            <w:tcW w:w="3539" w:type="dxa"/>
            <w:gridSpan w:val="2"/>
            <w:hideMark/>
          </w:tcPr>
          <w:p w14:paraId="258AAA1C"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Occasionally</w:t>
            </w:r>
          </w:p>
        </w:tc>
        <w:tc>
          <w:tcPr>
            <w:tcW w:w="1418" w:type="dxa"/>
            <w:hideMark/>
          </w:tcPr>
          <w:p w14:paraId="53ACBB47"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73</w:t>
            </w:r>
          </w:p>
        </w:tc>
        <w:tc>
          <w:tcPr>
            <w:tcW w:w="1842" w:type="dxa"/>
            <w:hideMark/>
          </w:tcPr>
          <w:p w14:paraId="24997B18"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68.9</w:t>
            </w:r>
          </w:p>
        </w:tc>
      </w:tr>
      <w:tr w:rsidR="008E564F" w:rsidRPr="008E564F" w14:paraId="39E121E0" w14:textId="77777777" w:rsidTr="007E5F99">
        <w:trPr>
          <w:trHeight w:val="20"/>
        </w:trPr>
        <w:tc>
          <w:tcPr>
            <w:tcW w:w="0" w:type="auto"/>
            <w:vMerge/>
            <w:hideMark/>
          </w:tcPr>
          <w:p w14:paraId="317246F8" w14:textId="77777777" w:rsidR="008E564F" w:rsidRPr="008E564F" w:rsidRDefault="008E564F" w:rsidP="007E5F99">
            <w:pPr>
              <w:spacing w:line="259" w:lineRule="auto"/>
              <w:rPr>
                <w:rFonts w:ascii="Garamond" w:hAnsi="Garamond"/>
                <w:bCs/>
                <w:iCs/>
                <w:sz w:val="20"/>
                <w:szCs w:val="20"/>
                <w:lang w:val="fr-FR"/>
              </w:rPr>
            </w:pPr>
          </w:p>
        </w:tc>
        <w:tc>
          <w:tcPr>
            <w:tcW w:w="3539" w:type="dxa"/>
            <w:gridSpan w:val="2"/>
            <w:hideMark/>
          </w:tcPr>
          <w:p w14:paraId="081961E7"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Always</w:t>
            </w:r>
          </w:p>
        </w:tc>
        <w:tc>
          <w:tcPr>
            <w:tcW w:w="1418" w:type="dxa"/>
            <w:hideMark/>
          </w:tcPr>
          <w:p w14:paraId="50CD8B2C"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27</w:t>
            </w:r>
          </w:p>
        </w:tc>
        <w:tc>
          <w:tcPr>
            <w:tcW w:w="1842" w:type="dxa"/>
            <w:hideMark/>
          </w:tcPr>
          <w:p w14:paraId="7860EFEC"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25.5</w:t>
            </w:r>
          </w:p>
        </w:tc>
      </w:tr>
      <w:tr w:rsidR="008E564F" w:rsidRPr="008E564F" w14:paraId="642D59DF" w14:textId="77777777" w:rsidTr="007E5F99">
        <w:trPr>
          <w:trHeight w:val="20"/>
        </w:trPr>
        <w:tc>
          <w:tcPr>
            <w:tcW w:w="6374" w:type="dxa"/>
            <w:gridSpan w:val="3"/>
            <w:hideMark/>
          </w:tcPr>
          <w:p w14:paraId="0CDD7302"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
                <w:bCs/>
                <w:iCs/>
                <w:sz w:val="20"/>
                <w:szCs w:val="20"/>
                <w:lang w:val="fr-FR"/>
              </w:rPr>
              <w:t>Total</w:t>
            </w:r>
          </w:p>
        </w:tc>
        <w:tc>
          <w:tcPr>
            <w:tcW w:w="1418" w:type="dxa"/>
            <w:hideMark/>
          </w:tcPr>
          <w:p w14:paraId="2691C508"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100</w:t>
            </w:r>
          </w:p>
        </w:tc>
        <w:tc>
          <w:tcPr>
            <w:tcW w:w="1842" w:type="dxa"/>
            <w:hideMark/>
          </w:tcPr>
          <w:p w14:paraId="41408B50"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7A5AE3FD" w14:textId="77777777" w:rsidTr="007E5F99">
        <w:trPr>
          <w:trHeight w:val="20"/>
        </w:trPr>
        <w:tc>
          <w:tcPr>
            <w:tcW w:w="2895" w:type="dxa"/>
            <w:gridSpan w:val="2"/>
            <w:vMerge w:val="restart"/>
          </w:tcPr>
          <w:p w14:paraId="3ADDA9BC" w14:textId="77777777" w:rsidR="008E564F" w:rsidRPr="008E564F" w:rsidRDefault="008E564F" w:rsidP="007E5F99">
            <w:pPr>
              <w:spacing w:line="259" w:lineRule="auto"/>
              <w:rPr>
                <w:rFonts w:ascii="Garamond" w:hAnsi="Garamond"/>
                <w:bCs/>
                <w:iCs/>
                <w:sz w:val="20"/>
                <w:szCs w:val="20"/>
              </w:rPr>
            </w:pPr>
          </w:p>
          <w:p w14:paraId="64C57673"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Cs/>
                <w:iCs/>
                <w:sz w:val="20"/>
                <w:szCs w:val="20"/>
              </w:rPr>
              <w:t>Hand washing</w:t>
            </w:r>
          </w:p>
        </w:tc>
        <w:tc>
          <w:tcPr>
            <w:tcW w:w="3479" w:type="dxa"/>
            <w:hideMark/>
          </w:tcPr>
          <w:p w14:paraId="065DFBDD"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Yes</w:t>
            </w:r>
          </w:p>
        </w:tc>
        <w:tc>
          <w:tcPr>
            <w:tcW w:w="1418" w:type="dxa"/>
            <w:hideMark/>
          </w:tcPr>
          <w:p w14:paraId="5E93F7D8"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86</w:t>
            </w:r>
          </w:p>
        </w:tc>
        <w:tc>
          <w:tcPr>
            <w:tcW w:w="1842" w:type="dxa"/>
            <w:hideMark/>
          </w:tcPr>
          <w:p w14:paraId="6D97F9E6"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81.1</w:t>
            </w:r>
          </w:p>
        </w:tc>
      </w:tr>
      <w:tr w:rsidR="008E564F" w:rsidRPr="008E564F" w14:paraId="1115077F" w14:textId="77777777" w:rsidTr="007E5F99">
        <w:trPr>
          <w:trHeight w:val="20"/>
        </w:trPr>
        <w:tc>
          <w:tcPr>
            <w:tcW w:w="0" w:type="auto"/>
            <w:gridSpan w:val="2"/>
            <w:vMerge/>
            <w:hideMark/>
          </w:tcPr>
          <w:p w14:paraId="0BE94F6F" w14:textId="77777777" w:rsidR="008E564F" w:rsidRPr="008E564F" w:rsidRDefault="008E564F" w:rsidP="007E5F99">
            <w:pPr>
              <w:spacing w:line="259" w:lineRule="auto"/>
              <w:rPr>
                <w:rFonts w:ascii="Garamond" w:hAnsi="Garamond"/>
                <w:b/>
                <w:bCs/>
                <w:iCs/>
                <w:sz w:val="20"/>
                <w:szCs w:val="20"/>
                <w:lang w:val="fr-FR"/>
              </w:rPr>
            </w:pPr>
          </w:p>
        </w:tc>
        <w:tc>
          <w:tcPr>
            <w:tcW w:w="3479" w:type="dxa"/>
            <w:hideMark/>
          </w:tcPr>
          <w:p w14:paraId="109905CE"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Rarely</w:t>
            </w:r>
          </w:p>
        </w:tc>
        <w:tc>
          <w:tcPr>
            <w:tcW w:w="1418" w:type="dxa"/>
            <w:hideMark/>
          </w:tcPr>
          <w:p w14:paraId="59807751"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14</w:t>
            </w:r>
          </w:p>
        </w:tc>
        <w:tc>
          <w:tcPr>
            <w:tcW w:w="1842" w:type="dxa"/>
            <w:hideMark/>
          </w:tcPr>
          <w:p w14:paraId="306E4335"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13.2</w:t>
            </w:r>
          </w:p>
        </w:tc>
      </w:tr>
      <w:tr w:rsidR="008E564F" w:rsidRPr="008E564F" w14:paraId="7147E409" w14:textId="77777777" w:rsidTr="007E5F99">
        <w:trPr>
          <w:trHeight w:val="20"/>
        </w:trPr>
        <w:tc>
          <w:tcPr>
            <w:tcW w:w="6374" w:type="dxa"/>
            <w:gridSpan w:val="3"/>
            <w:hideMark/>
          </w:tcPr>
          <w:p w14:paraId="6ECD524C"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
                <w:bCs/>
                <w:iCs/>
                <w:sz w:val="20"/>
                <w:szCs w:val="20"/>
                <w:lang w:val="fr-FR"/>
              </w:rPr>
              <w:t>Total</w:t>
            </w:r>
          </w:p>
        </w:tc>
        <w:tc>
          <w:tcPr>
            <w:tcW w:w="1418" w:type="dxa"/>
            <w:hideMark/>
          </w:tcPr>
          <w:p w14:paraId="55DB3288"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100</w:t>
            </w:r>
          </w:p>
        </w:tc>
        <w:tc>
          <w:tcPr>
            <w:tcW w:w="1842" w:type="dxa"/>
            <w:hideMark/>
          </w:tcPr>
          <w:p w14:paraId="552E6E3C"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17C322FF" w14:textId="77777777" w:rsidTr="007E5F99">
        <w:trPr>
          <w:trHeight w:val="20"/>
        </w:trPr>
        <w:tc>
          <w:tcPr>
            <w:tcW w:w="2835" w:type="dxa"/>
            <w:vMerge w:val="restart"/>
          </w:tcPr>
          <w:p w14:paraId="6E043137" w14:textId="77777777" w:rsidR="008E564F" w:rsidRPr="008E564F" w:rsidRDefault="008E564F" w:rsidP="007E5F99">
            <w:pPr>
              <w:spacing w:line="259" w:lineRule="auto"/>
              <w:rPr>
                <w:rFonts w:ascii="Garamond" w:hAnsi="Garamond"/>
                <w:bCs/>
                <w:iCs/>
                <w:sz w:val="20"/>
                <w:szCs w:val="20"/>
              </w:rPr>
            </w:pPr>
          </w:p>
          <w:p w14:paraId="31E1063D" w14:textId="77777777" w:rsidR="008E564F" w:rsidRPr="008E564F" w:rsidRDefault="008E564F" w:rsidP="007E5F99">
            <w:pPr>
              <w:spacing w:line="259" w:lineRule="auto"/>
              <w:rPr>
                <w:rFonts w:ascii="Garamond" w:hAnsi="Garamond"/>
                <w:b/>
                <w:bCs/>
                <w:iCs/>
                <w:sz w:val="20"/>
                <w:szCs w:val="20"/>
              </w:rPr>
            </w:pPr>
            <w:r w:rsidRPr="008E564F">
              <w:rPr>
                <w:rFonts w:ascii="Garamond" w:hAnsi="Garamond"/>
                <w:bCs/>
                <w:iCs/>
                <w:sz w:val="20"/>
                <w:szCs w:val="20"/>
              </w:rPr>
              <w:t>Adjustment of insulin dose according to meals</w:t>
            </w:r>
          </w:p>
        </w:tc>
        <w:tc>
          <w:tcPr>
            <w:tcW w:w="3539" w:type="dxa"/>
            <w:gridSpan w:val="2"/>
            <w:hideMark/>
          </w:tcPr>
          <w:p w14:paraId="20B9245C"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Yes</w:t>
            </w:r>
          </w:p>
        </w:tc>
        <w:tc>
          <w:tcPr>
            <w:tcW w:w="1418" w:type="dxa"/>
            <w:hideMark/>
          </w:tcPr>
          <w:p w14:paraId="79B49ADC"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6</w:t>
            </w:r>
          </w:p>
        </w:tc>
        <w:tc>
          <w:tcPr>
            <w:tcW w:w="1842" w:type="dxa"/>
            <w:hideMark/>
          </w:tcPr>
          <w:p w14:paraId="20A5E807"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5.7</w:t>
            </w:r>
          </w:p>
        </w:tc>
      </w:tr>
      <w:tr w:rsidR="008E564F" w:rsidRPr="008E564F" w14:paraId="1F0223F4" w14:textId="77777777" w:rsidTr="007E5F99">
        <w:trPr>
          <w:trHeight w:val="20"/>
        </w:trPr>
        <w:tc>
          <w:tcPr>
            <w:tcW w:w="0" w:type="auto"/>
            <w:vMerge/>
            <w:hideMark/>
          </w:tcPr>
          <w:p w14:paraId="34224AEF" w14:textId="77777777" w:rsidR="008E564F" w:rsidRPr="008E564F" w:rsidRDefault="008E564F" w:rsidP="007E5F99">
            <w:pPr>
              <w:spacing w:line="259" w:lineRule="auto"/>
              <w:rPr>
                <w:rFonts w:ascii="Garamond" w:hAnsi="Garamond"/>
                <w:b/>
                <w:bCs/>
                <w:iCs/>
                <w:sz w:val="20"/>
                <w:szCs w:val="20"/>
              </w:rPr>
            </w:pPr>
          </w:p>
        </w:tc>
        <w:tc>
          <w:tcPr>
            <w:tcW w:w="3539" w:type="dxa"/>
            <w:gridSpan w:val="2"/>
            <w:hideMark/>
          </w:tcPr>
          <w:p w14:paraId="22A17271"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No</w:t>
            </w:r>
          </w:p>
        </w:tc>
        <w:tc>
          <w:tcPr>
            <w:tcW w:w="1418" w:type="dxa"/>
            <w:hideMark/>
          </w:tcPr>
          <w:p w14:paraId="26B014B2"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65</w:t>
            </w:r>
          </w:p>
        </w:tc>
        <w:tc>
          <w:tcPr>
            <w:tcW w:w="1842" w:type="dxa"/>
            <w:hideMark/>
          </w:tcPr>
          <w:p w14:paraId="4C16BA9E"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61.3</w:t>
            </w:r>
          </w:p>
        </w:tc>
      </w:tr>
      <w:tr w:rsidR="008E564F" w:rsidRPr="008E564F" w14:paraId="326B7E19" w14:textId="77777777" w:rsidTr="007E5F99">
        <w:trPr>
          <w:trHeight w:val="20"/>
        </w:trPr>
        <w:tc>
          <w:tcPr>
            <w:tcW w:w="0" w:type="auto"/>
            <w:vMerge/>
            <w:hideMark/>
          </w:tcPr>
          <w:p w14:paraId="302A1857" w14:textId="77777777" w:rsidR="008E564F" w:rsidRPr="008E564F" w:rsidRDefault="008E564F" w:rsidP="007E5F99">
            <w:pPr>
              <w:spacing w:line="259" w:lineRule="auto"/>
              <w:rPr>
                <w:rFonts w:ascii="Garamond" w:hAnsi="Garamond"/>
                <w:b/>
                <w:bCs/>
                <w:iCs/>
                <w:sz w:val="20"/>
                <w:szCs w:val="20"/>
              </w:rPr>
            </w:pPr>
          </w:p>
        </w:tc>
        <w:tc>
          <w:tcPr>
            <w:tcW w:w="3539" w:type="dxa"/>
            <w:gridSpan w:val="2"/>
            <w:hideMark/>
          </w:tcPr>
          <w:p w14:paraId="59F48D22"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Rarely</w:t>
            </w:r>
          </w:p>
        </w:tc>
        <w:tc>
          <w:tcPr>
            <w:tcW w:w="1418" w:type="dxa"/>
            <w:hideMark/>
          </w:tcPr>
          <w:p w14:paraId="15D72ECA"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29</w:t>
            </w:r>
          </w:p>
        </w:tc>
        <w:tc>
          <w:tcPr>
            <w:tcW w:w="1842" w:type="dxa"/>
            <w:hideMark/>
          </w:tcPr>
          <w:p w14:paraId="7B2AC243"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27.4</w:t>
            </w:r>
          </w:p>
        </w:tc>
      </w:tr>
      <w:tr w:rsidR="008E564F" w:rsidRPr="008E564F" w14:paraId="349367A6" w14:textId="77777777" w:rsidTr="007E5F99">
        <w:trPr>
          <w:trHeight w:val="20"/>
        </w:trPr>
        <w:tc>
          <w:tcPr>
            <w:tcW w:w="6374" w:type="dxa"/>
            <w:gridSpan w:val="3"/>
            <w:hideMark/>
          </w:tcPr>
          <w:p w14:paraId="60D1655D"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
                <w:bCs/>
                <w:iCs/>
                <w:sz w:val="20"/>
                <w:szCs w:val="20"/>
                <w:lang w:val="fr-FR"/>
              </w:rPr>
              <w:t>Total</w:t>
            </w:r>
          </w:p>
        </w:tc>
        <w:tc>
          <w:tcPr>
            <w:tcW w:w="1418" w:type="dxa"/>
            <w:hideMark/>
          </w:tcPr>
          <w:p w14:paraId="5C2A8A48"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100</w:t>
            </w:r>
          </w:p>
        </w:tc>
        <w:tc>
          <w:tcPr>
            <w:tcW w:w="1842" w:type="dxa"/>
            <w:hideMark/>
          </w:tcPr>
          <w:p w14:paraId="6707E2C4"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3D0FC99C" w14:textId="77777777" w:rsidTr="007E5F99">
        <w:trPr>
          <w:trHeight w:val="20"/>
        </w:trPr>
        <w:tc>
          <w:tcPr>
            <w:tcW w:w="2835" w:type="dxa"/>
            <w:vMerge w:val="restart"/>
            <w:hideMark/>
          </w:tcPr>
          <w:p w14:paraId="15FC1B1B" w14:textId="77777777" w:rsidR="008E564F" w:rsidRPr="008E564F" w:rsidRDefault="008E564F" w:rsidP="007E5F99">
            <w:pPr>
              <w:spacing w:line="259" w:lineRule="auto"/>
              <w:rPr>
                <w:rFonts w:ascii="Garamond" w:hAnsi="Garamond"/>
                <w:b/>
                <w:bCs/>
                <w:iCs/>
                <w:sz w:val="20"/>
                <w:szCs w:val="20"/>
              </w:rPr>
            </w:pPr>
            <w:r w:rsidRPr="008E564F">
              <w:rPr>
                <w:rFonts w:ascii="Garamond" w:hAnsi="Garamond"/>
                <w:bCs/>
                <w:iCs/>
                <w:sz w:val="20"/>
                <w:szCs w:val="20"/>
              </w:rPr>
              <w:t>checking the expiration date of the insulin</w:t>
            </w:r>
          </w:p>
        </w:tc>
        <w:tc>
          <w:tcPr>
            <w:tcW w:w="3539" w:type="dxa"/>
            <w:gridSpan w:val="2"/>
            <w:hideMark/>
          </w:tcPr>
          <w:p w14:paraId="03A89F72"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Cs/>
                <w:iCs/>
                <w:sz w:val="20"/>
                <w:szCs w:val="20"/>
              </w:rPr>
              <w:t>Yes</w:t>
            </w:r>
          </w:p>
        </w:tc>
        <w:tc>
          <w:tcPr>
            <w:tcW w:w="1418" w:type="dxa"/>
            <w:hideMark/>
          </w:tcPr>
          <w:p w14:paraId="76F99A93"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83</w:t>
            </w:r>
          </w:p>
        </w:tc>
        <w:tc>
          <w:tcPr>
            <w:tcW w:w="1842" w:type="dxa"/>
            <w:hideMark/>
          </w:tcPr>
          <w:p w14:paraId="60ABE227"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78.3</w:t>
            </w:r>
          </w:p>
        </w:tc>
      </w:tr>
      <w:tr w:rsidR="008E564F" w:rsidRPr="008E564F" w14:paraId="1D60EDDA" w14:textId="77777777" w:rsidTr="007E5F99">
        <w:trPr>
          <w:trHeight w:val="20"/>
        </w:trPr>
        <w:tc>
          <w:tcPr>
            <w:tcW w:w="0" w:type="auto"/>
            <w:vMerge/>
            <w:hideMark/>
          </w:tcPr>
          <w:p w14:paraId="21B63E8A" w14:textId="77777777" w:rsidR="008E564F" w:rsidRPr="008E564F" w:rsidRDefault="008E564F" w:rsidP="007E5F99">
            <w:pPr>
              <w:spacing w:line="259" w:lineRule="auto"/>
              <w:rPr>
                <w:rFonts w:ascii="Garamond" w:hAnsi="Garamond"/>
                <w:b/>
                <w:bCs/>
                <w:iCs/>
                <w:sz w:val="20"/>
                <w:szCs w:val="20"/>
              </w:rPr>
            </w:pPr>
          </w:p>
        </w:tc>
        <w:tc>
          <w:tcPr>
            <w:tcW w:w="3539" w:type="dxa"/>
            <w:gridSpan w:val="2"/>
            <w:hideMark/>
          </w:tcPr>
          <w:p w14:paraId="6789F7F1"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No</w:t>
            </w:r>
          </w:p>
        </w:tc>
        <w:tc>
          <w:tcPr>
            <w:tcW w:w="1418" w:type="dxa"/>
            <w:hideMark/>
          </w:tcPr>
          <w:p w14:paraId="32F9C127"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17</w:t>
            </w:r>
          </w:p>
        </w:tc>
        <w:tc>
          <w:tcPr>
            <w:tcW w:w="1842" w:type="dxa"/>
            <w:hideMark/>
          </w:tcPr>
          <w:p w14:paraId="3273BE86"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16.0</w:t>
            </w:r>
          </w:p>
        </w:tc>
      </w:tr>
      <w:tr w:rsidR="008E564F" w:rsidRPr="008E564F" w14:paraId="1C129271" w14:textId="77777777" w:rsidTr="007E5F99">
        <w:trPr>
          <w:trHeight w:val="20"/>
        </w:trPr>
        <w:tc>
          <w:tcPr>
            <w:tcW w:w="6374" w:type="dxa"/>
            <w:gridSpan w:val="3"/>
            <w:hideMark/>
          </w:tcPr>
          <w:p w14:paraId="2A918F80"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
                <w:bCs/>
                <w:iCs/>
                <w:sz w:val="20"/>
                <w:szCs w:val="20"/>
                <w:lang w:val="fr-FR"/>
              </w:rPr>
              <w:t>Total</w:t>
            </w:r>
          </w:p>
        </w:tc>
        <w:tc>
          <w:tcPr>
            <w:tcW w:w="1418" w:type="dxa"/>
            <w:hideMark/>
          </w:tcPr>
          <w:p w14:paraId="2D3AEA08"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100</w:t>
            </w:r>
          </w:p>
        </w:tc>
        <w:tc>
          <w:tcPr>
            <w:tcW w:w="1842" w:type="dxa"/>
            <w:hideMark/>
          </w:tcPr>
          <w:p w14:paraId="48310827"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94.3</w:t>
            </w:r>
          </w:p>
        </w:tc>
      </w:tr>
      <w:tr w:rsidR="008E564F" w:rsidRPr="008E564F" w14:paraId="129FE2D8" w14:textId="77777777" w:rsidTr="007E5F99">
        <w:trPr>
          <w:trHeight w:val="20"/>
        </w:trPr>
        <w:tc>
          <w:tcPr>
            <w:tcW w:w="2835" w:type="dxa"/>
            <w:vMerge w:val="restart"/>
          </w:tcPr>
          <w:p w14:paraId="0F88BD77" w14:textId="77777777" w:rsidR="008E564F" w:rsidRPr="008E564F" w:rsidRDefault="008E564F" w:rsidP="007E5F99">
            <w:pPr>
              <w:spacing w:line="259" w:lineRule="auto"/>
              <w:rPr>
                <w:rFonts w:ascii="Garamond" w:hAnsi="Garamond"/>
                <w:bCs/>
                <w:iCs/>
                <w:sz w:val="20"/>
                <w:szCs w:val="20"/>
              </w:rPr>
            </w:pPr>
          </w:p>
          <w:p w14:paraId="0BD92B7E" w14:textId="3794B67C" w:rsidR="008E564F" w:rsidRPr="008E564F" w:rsidRDefault="008E564F" w:rsidP="007E5F99">
            <w:pPr>
              <w:spacing w:line="259" w:lineRule="auto"/>
              <w:rPr>
                <w:rFonts w:ascii="Garamond" w:hAnsi="Garamond"/>
                <w:b/>
                <w:bCs/>
                <w:iCs/>
                <w:sz w:val="20"/>
                <w:szCs w:val="20"/>
              </w:rPr>
            </w:pPr>
            <w:r w:rsidRPr="008E564F">
              <w:rPr>
                <w:rFonts w:ascii="Garamond" w:hAnsi="Garamond"/>
                <w:bCs/>
                <w:iCs/>
                <w:sz w:val="20"/>
                <w:szCs w:val="20"/>
              </w:rPr>
              <w:t>Injection through clothing</w:t>
            </w:r>
          </w:p>
        </w:tc>
        <w:tc>
          <w:tcPr>
            <w:tcW w:w="3539" w:type="dxa"/>
            <w:gridSpan w:val="2"/>
            <w:hideMark/>
          </w:tcPr>
          <w:p w14:paraId="25662929"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No</w:t>
            </w:r>
          </w:p>
        </w:tc>
        <w:tc>
          <w:tcPr>
            <w:tcW w:w="1418" w:type="dxa"/>
            <w:hideMark/>
          </w:tcPr>
          <w:p w14:paraId="5B45E010"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93</w:t>
            </w:r>
          </w:p>
        </w:tc>
        <w:tc>
          <w:tcPr>
            <w:tcW w:w="1842" w:type="dxa"/>
            <w:hideMark/>
          </w:tcPr>
          <w:p w14:paraId="22B19B4F"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87.7</w:t>
            </w:r>
          </w:p>
        </w:tc>
      </w:tr>
      <w:tr w:rsidR="008E564F" w:rsidRPr="008E564F" w14:paraId="03F5A678" w14:textId="77777777" w:rsidTr="007E5F99">
        <w:trPr>
          <w:trHeight w:val="20"/>
        </w:trPr>
        <w:tc>
          <w:tcPr>
            <w:tcW w:w="0" w:type="auto"/>
            <w:vMerge/>
            <w:hideMark/>
          </w:tcPr>
          <w:p w14:paraId="1ACE3457" w14:textId="77777777" w:rsidR="008E564F" w:rsidRPr="008E564F" w:rsidRDefault="008E564F" w:rsidP="007E5F99">
            <w:pPr>
              <w:spacing w:line="259" w:lineRule="auto"/>
              <w:rPr>
                <w:rFonts w:ascii="Garamond" w:hAnsi="Garamond"/>
                <w:b/>
                <w:bCs/>
                <w:iCs/>
                <w:sz w:val="20"/>
                <w:szCs w:val="20"/>
              </w:rPr>
            </w:pPr>
          </w:p>
        </w:tc>
        <w:tc>
          <w:tcPr>
            <w:tcW w:w="3539" w:type="dxa"/>
            <w:gridSpan w:val="2"/>
            <w:hideMark/>
          </w:tcPr>
          <w:p w14:paraId="73BAA619"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rPr>
              <w:t>Rarely</w:t>
            </w:r>
          </w:p>
        </w:tc>
        <w:tc>
          <w:tcPr>
            <w:tcW w:w="1418" w:type="dxa"/>
            <w:hideMark/>
          </w:tcPr>
          <w:p w14:paraId="5A830BA2"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7</w:t>
            </w:r>
          </w:p>
        </w:tc>
        <w:tc>
          <w:tcPr>
            <w:tcW w:w="1842" w:type="dxa"/>
            <w:hideMark/>
          </w:tcPr>
          <w:p w14:paraId="70623E1C"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6.6</w:t>
            </w:r>
          </w:p>
        </w:tc>
      </w:tr>
      <w:tr w:rsidR="008E564F" w:rsidRPr="008E564F" w14:paraId="44F57AE3" w14:textId="77777777" w:rsidTr="007E5F99">
        <w:trPr>
          <w:trHeight w:val="20"/>
        </w:trPr>
        <w:tc>
          <w:tcPr>
            <w:tcW w:w="6374" w:type="dxa"/>
            <w:gridSpan w:val="3"/>
            <w:tcBorders>
              <w:bottom w:val="single" w:sz="4" w:space="0" w:color="auto"/>
            </w:tcBorders>
            <w:hideMark/>
          </w:tcPr>
          <w:p w14:paraId="02000B76" w14:textId="77777777" w:rsidR="008E564F" w:rsidRPr="008E564F" w:rsidRDefault="008E564F" w:rsidP="007E5F99">
            <w:pPr>
              <w:spacing w:line="259" w:lineRule="auto"/>
              <w:rPr>
                <w:rFonts w:ascii="Garamond" w:hAnsi="Garamond"/>
                <w:b/>
                <w:bCs/>
                <w:iCs/>
                <w:sz w:val="20"/>
                <w:szCs w:val="20"/>
                <w:lang w:val="fr-FR"/>
              </w:rPr>
            </w:pPr>
            <w:r w:rsidRPr="008E564F">
              <w:rPr>
                <w:rFonts w:ascii="Garamond" w:hAnsi="Garamond"/>
                <w:b/>
                <w:bCs/>
                <w:iCs/>
                <w:sz w:val="20"/>
                <w:szCs w:val="20"/>
                <w:lang w:val="fr-FR"/>
              </w:rPr>
              <w:t>Total</w:t>
            </w:r>
          </w:p>
        </w:tc>
        <w:tc>
          <w:tcPr>
            <w:tcW w:w="1418" w:type="dxa"/>
            <w:tcBorders>
              <w:bottom w:val="single" w:sz="4" w:space="0" w:color="auto"/>
            </w:tcBorders>
            <w:hideMark/>
          </w:tcPr>
          <w:p w14:paraId="56C45461"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100</w:t>
            </w:r>
          </w:p>
        </w:tc>
        <w:tc>
          <w:tcPr>
            <w:tcW w:w="1842" w:type="dxa"/>
            <w:tcBorders>
              <w:bottom w:val="single" w:sz="4" w:space="0" w:color="auto"/>
            </w:tcBorders>
            <w:hideMark/>
          </w:tcPr>
          <w:p w14:paraId="44E5F504" w14:textId="77777777" w:rsidR="008E564F" w:rsidRPr="008E564F" w:rsidRDefault="008E564F" w:rsidP="007E5F99">
            <w:pPr>
              <w:spacing w:line="259" w:lineRule="auto"/>
              <w:rPr>
                <w:rFonts w:ascii="Garamond" w:hAnsi="Garamond"/>
                <w:bCs/>
                <w:iCs/>
                <w:sz w:val="20"/>
                <w:szCs w:val="20"/>
                <w:lang w:val="fr-FR"/>
              </w:rPr>
            </w:pPr>
            <w:r w:rsidRPr="008E564F">
              <w:rPr>
                <w:rFonts w:ascii="Garamond" w:hAnsi="Garamond"/>
                <w:bCs/>
                <w:iCs/>
                <w:sz w:val="20"/>
                <w:szCs w:val="20"/>
                <w:lang w:val="fr-FR"/>
              </w:rPr>
              <w:t>94.3</w:t>
            </w:r>
          </w:p>
        </w:tc>
      </w:tr>
    </w:tbl>
    <w:p w14:paraId="1878278A" w14:textId="77777777" w:rsidR="008E564F" w:rsidRPr="008E564F" w:rsidRDefault="008E564F" w:rsidP="008E564F">
      <w:pPr>
        <w:spacing w:line="259" w:lineRule="auto"/>
        <w:jc w:val="both"/>
        <w:rPr>
          <w:rFonts w:ascii="Garamond" w:hAnsi="Garamond"/>
          <w:bCs/>
          <w:iCs/>
          <w:sz w:val="20"/>
          <w:szCs w:val="20"/>
        </w:rPr>
      </w:pPr>
    </w:p>
    <w:p w14:paraId="5491A123" w14:textId="77777777" w:rsidR="008E564F" w:rsidRPr="008E564F" w:rsidRDefault="008E564F" w:rsidP="008E564F">
      <w:pPr>
        <w:spacing w:line="259" w:lineRule="auto"/>
        <w:jc w:val="both"/>
        <w:rPr>
          <w:rFonts w:ascii="Garamond" w:hAnsi="Garamond"/>
          <w:bCs/>
          <w:iCs/>
          <w:sz w:val="20"/>
          <w:szCs w:val="20"/>
        </w:rPr>
      </w:pPr>
      <w:r w:rsidRPr="008E564F">
        <w:rPr>
          <w:rFonts w:ascii="Garamond" w:hAnsi="Garamond"/>
          <w:bCs/>
          <w:iCs/>
          <w:sz w:val="20"/>
          <w:szCs w:val="20"/>
        </w:rPr>
        <w:t>Table 4 summarizes the participants' responses. It is noted that 66.0% (n=70) report that insulin injection is done subcutaneously. Additionally, 84.9% (n=90) varied the injection sites. Furthermore, 71.7% (n=76) state that they do not use the same needle. Moreover, 66.0% of participant’s report that they purge air bubbles, and 82.1% of participants pinch their skin during insulin injection.</w:t>
      </w:r>
    </w:p>
    <w:p w14:paraId="71DFAAE8" w14:textId="77777777" w:rsidR="008E564F" w:rsidRPr="008E564F" w:rsidRDefault="008E564F" w:rsidP="008E564F">
      <w:pPr>
        <w:spacing w:line="259" w:lineRule="auto"/>
        <w:jc w:val="both"/>
        <w:rPr>
          <w:rFonts w:ascii="Garamond" w:hAnsi="Garamond"/>
          <w:bCs/>
          <w:iCs/>
          <w:sz w:val="20"/>
          <w:szCs w:val="20"/>
        </w:rPr>
      </w:pPr>
      <w:r w:rsidRPr="008E564F">
        <w:rPr>
          <w:rFonts w:ascii="Garamond" w:hAnsi="Garamond"/>
          <w:bCs/>
          <w:iCs/>
          <w:sz w:val="20"/>
          <w:szCs w:val="20"/>
        </w:rPr>
        <w:t>As for the cleaning of the insulin injection site, only 25.5% of participant’s report that they always do it, compared to 68.9% who do it rarely. Regarding hand washing before insulin injection, 81.1% of participants reported that they do it.</w:t>
      </w:r>
    </w:p>
    <w:p w14:paraId="2CAC7567" w14:textId="77777777" w:rsidR="008E564F" w:rsidRPr="008E564F" w:rsidRDefault="008E564F" w:rsidP="008E564F">
      <w:pPr>
        <w:spacing w:line="259" w:lineRule="auto"/>
        <w:jc w:val="both"/>
        <w:rPr>
          <w:rFonts w:ascii="Garamond" w:hAnsi="Garamond"/>
          <w:bCs/>
          <w:iCs/>
          <w:sz w:val="20"/>
          <w:szCs w:val="20"/>
        </w:rPr>
      </w:pPr>
      <w:r w:rsidRPr="008E564F">
        <w:rPr>
          <w:rFonts w:ascii="Garamond" w:hAnsi="Garamond"/>
          <w:bCs/>
          <w:iCs/>
          <w:sz w:val="20"/>
          <w:szCs w:val="20"/>
        </w:rPr>
        <w:t xml:space="preserve">Regarding the adjustment of insulin dosage according to meals, 61.3% report that they do not adhere to the insulin dosage according to meals, while 27.4% say they do so rarely. The remaining 5.7% adjust the insulin dosage according to meals. As for injecting through clothing, the majority of participants, 87.7%, state that they do not use this method, compared to 6.6% who report that they do so as </w:t>
      </w:r>
      <w:proofErr w:type="gramStart"/>
      <w:r w:rsidRPr="008E564F">
        <w:rPr>
          <w:rFonts w:ascii="Garamond" w:hAnsi="Garamond"/>
          <w:bCs/>
          <w:iCs/>
          <w:sz w:val="20"/>
          <w:szCs w:val="20"/>
        </w:rPr>
        <w:t>needed</w:t>
      </w:r>
      <w:proofErr w:type="gramEnd"/>
      <w:r w:rsidRPr="008E564F">
        <w:rPr>
          <w:rFonts w:ascii="Garamond" w:hAnsi="Garamond"/>
          <w:bCs/>
          <w:iCs/>
          <w:sz w:val="20"/>
          <w:szCs w:val="20"/>
        </w:rPr>
        <w:t>.</w:t>
      </w:r>
    </w:p>
    <w:p w14:paraId="6F20B247" w14:textId="77777777" w:rsidR="008E564F" w:rsidRPr="008E564F" w:rsidRDefault="008E564F" w:rsidP="008E564F">
      <w:pPr>
        <w:spacing w:line="259" w:lineRule="auto"/>
        <w:jc w:val="both"/>
        <w:rPr>
          <w:rFonts w:ascii="Garamond" w:hAnsi="Garamond"/>
          <w:bCs/>
          <w:iCs/>
          <w:sz w:val="20"/>
          <w:szCs w:val="20"/>
        </w:rPr>
      </w:pPr>
    </w:p>
    <w:p w14:paraId="54644108" w14:textId="77777777" w:rsidR="008E564F" w:rsidRPr="008E564F" w:rsidRDefault="008E564F" w:rsidP="007E5F99">
      <w:pPr>
        <w:spacing w:line="259" w:lineRule="auto"/>
        <w:jc w:val="center"/>
        <w:rPr>
          <w:rFonts w:ascii="Garamond" w:hAnsi="Garamond"/>
          <w:bCs/>
          <w:iCs/>
          <w:sz w:val="20"/>
          <w:szCs w:val="20"/>
        </w:rPr>
      </w:pPr>
      <w:r w:rsidRPr="008E564F">
        <w:rPr>
          <w:rFonts w:ascii="Garamond" w:hAnsi="Garamond"/>
          <w:bCs/>
          <w:iCs/>
          <w:noProof/>
          <w:sz w:val="20"/>
          <w:szCs w:val="20"/>
        </w:rPr>
        <w:drawing>
          <wp:inline distT="0" distB="0" distL="0" distR="0" wp14:anchorId="14E0AA74" wp14:editId="18B61C34">
            <wp:extent cx="4084320" cy="2283565"/>
            <wp:effectExtent l="0" t="0" r="5080" b="254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63770" cy="2327986"/>
                    </a:xfrm>
                    <a:prstGeom prst="rect">
                      <a:avLst/>
                    </a:prstGeom>
                    <a:noFill/>
                    <a:ln>
                      <a:noFill/>
                    </a:ln>
                  </pic:spPr>
                </pic:pic>
              </a:graphicData>
            </a:graphic>
          </wp:inline>
        </w:drawing>
      </w:r>
    </w:p>
    <w:p w14:paraId="251FB7D5" w14:textId="22211D96" w:rsidR="008E564F" w:rsidRPr="008E564F" w:rsidRDefault="008E564F" w:rsidP="008E564F">
      <w:pPr>
        <w:spacing w:line="259" w:lineRule="auto"/>
        <w:jc w:val="both"/>
        <w:rPr>
          <w:rFonts w:ascii="Garamond" w:hAnsi="Garamond"/>
          <w:bCs/>
          <w:iCs/>
          <w:sz w:val="20"/>
          <w:szCs w:val="20"/>
        </w:rPr>
      </w:pPr>
      <w:r w:rsidRPr="008E564F">
        <w:rPr>
          <w:rFonts w:ascii="Garamond" w:hAnsi="Garamond"/>
          <w:bCs/>
          <w:iCs/>
          <w:sz w:val="20"/>
          <w:szCs w:val="20"/>
        </w:rPr>
        <w:tab/>
      </w:r>
      <w:r w:rsidR="007E5F99">
        <w:rPr>
          <w:rFonts w:ascii="Garamond" w:hAnsi="Garamond"/>
          <w:bCs/>
          <w:iCs/>
          <w:sz w:val="20"/>
          <w:szCs w:val="20"/>
        </w:rPr>
        <w:t xml:space="preserve">                             </w:t>
      </w:r>
      <w:r w:rsidRPr="008E564F">
        <w:rPr>
          <w:rFonts w:ascii="Garamond" w:hAnsi="Garamond"/>
          <w:bCs/>
          <w:iCs/>
          <w:sz w:val="20"/>
          <w:szCs w:val="20"/>
        </w:rPr>
        <w:t xml:space="preserve">Figure 1. Results of the discrimination </w:t>
      </w:r>
    </w:p>
    <w:p w14:paraId="4CDC3DBF" w14:textId="77777777" w:rsidR="008E564F" w:rsidRPr="008E564F" w:rsidRDefault="008E564F" w:rsidP="008E564F">
      <w:pPr>
        <w:spacing w:line="259" w:lineRule="auto"/>
        <w:jc w:val="both"/>
        <w:rPr>
          <w:rFonts w:ascii="Garamond" w:hAnsi="Garamond"/>
          <w:bCs/>
          <w:iCs/>
          <w:sz w:val="20"/>
          <w:szCs w:val="20"/>
        </w:rPr>
      </w:pPr>
    </w:p>
    <w:p w14:paraId="0F75E385" w14:textId="38399A49" w:rsidR="008E564F" w:rsidRDefault="008E564F" w:rsidP="008E564F">
      <w:pPr>
        <w:spacing w:line="259" w:lineRule="auto"/>
        <w:jc w:val="both"/>
        <w:rPr>
          <w:rFonts w:ascii="Garamond" w:hAnsi="Garamond"/>
          <w:bCs/>
          <w:iCs/>
          <w:sz w:val="20"/>
          <w:szCs w:val="20"/>
        </w:rPr>
      </w:pPr>
      <w:r w:rsidRPr="008E564F">
        <w:rPr>
          <w:rFonts w:ascii="Garamond" w:hAnsi="Garamond"/>
          <w:bCs/>
          <w:iCs/>
          <w:sz w:val="20"/>
          <w:szCs w:val="20"/>
        </w:rPr>
        <w:t>Figure 1 shows the results of the discrimination measurements; indeed, the variables furthest from the center are the most significant. These include the adaptation of the dose and the variation of injection sites on one hand, and the reaction to missed injections and the mode of insulin injection on the other hand. On the other hand, the other variables do not play a significant role</w:t>
      </w:r>
    </w:p>
    <w:p w14:paraId="7936686D" w14:textId="77777777" w:rsidR="00BE3D43" w:rsidRDefault="00BE3D43" w:rsidP="008E564F">
      <w:pPr>
        <w:spacing w:line="259" w:lineRule="auto"/>
        <w:jc w:val="both"/>
        <w:rPr>
          <w:rFonts w:ascii="Garamond" w:hAnsi="Garamond"/>
          <w:bCs/>
          <w:iCs/>
          <w:sz w:val="20"/>
          <w:szCs w:val="20"/>
        </w:rPr>
        <w:sectPr w:rsidR="00BE3D43" w:rsidSect="008E564F">
          <w:pgSz w:w="12240" w:h="15840"/>
          <w:pgMar w:top="1440" w:right="1440" w:bottom="1440" w:left="1440" w:header="720" w:footer="720" w:gutter="0"/>
          <w:cols w:space="720"/>
          <w:titlePg/>
          <w:docGrid w:linePitch="360"/>
        </w:sectPr>
      </w:pPr>
    </w:p>
    <w:p w14:paraId="6CD4B44F" w14:textId="77777777" w:rsidR="007E5F99" w:rsidRDefault="007E5F99" w:rsidP="007E5F99">
      <w:pPr>
        <w:spacing w:line="259" w:lineRule="auto"/>
        <w:jc w:val="both"/>
        <w:rPr>
          <w:rFonts w:ascii="Garamond" w:hAnsi="Garamond"/>
          <w:bCs/>
          <w:iCs/>
          <w:sz w:val="20"/>
          <w:szCs w:val="20"/>
        </w:rPr>
      </w:pPr>
    </w:p>
    <w:p w14:paraId="26392B05" w14:textId="6621783D" w:rsidR="00BE3D43" w:rsidRPr="007E5F99" w:rsidRDefault="007E5F99" w:rsidP="007E5F99">
      <w:pPr>
        <w:spacing w:line="259" w:lineRule="auto"/>
        <w:jc w:val="both"/>
        <w:rPr>
          <w:rFonts w:ascii="Garamond" w:hAnsi="Garamond"/>
          <w:b/>
          <w:iCs/>
          <w:sz w:val="22"/>
          <w:szCs w:val="22"/>
        </w:rPr>
      </w:pPr>
      <w:r w:rsidRPr="007E5F99">
        <w:rPr>
          <w:rFonts w:ascii="Garamond" w:hAnsi="Garamond"/>
          <w:b/>
          <w:iCs/>
          <w:sz w:val="22"/>
          <w:szCs w:val="22"/>
        </w:rPr>
        <w:t>DISCUSSION</w:t>
      </w:r>
    </w:p>
    <w:p w14:paraId="7A3423AC" w14:textId="77777777" w:rsidR="00BE3D43" w:rsidRP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t xml:space="preserve">The study we conducted focused on a sample of 100 respondents. Among these participants, 70.8% were type 2 diabetic patients, compared to 23.6% who had type 1. Furthermore, 66% (n=70) were female, results comparable to those of the study conducted by </w:t>
      </w:r>
      <w:proofErr w:type="spellStart"/>
      <w:r w:rsidRPr="00BE3D43">
        <w:rPr>
          <w:rFonts w:ascii="Garamond" w:hAnsi="Garamond"/>
          <w:bCs/>
          <w:iCs/>
          <w:sz w:val="20"/>
          <w:szCs w:val="20"/>
        </w:rPr>
        <w:t>Dankoly</w:t>
      </w:r>
      <w:proofErr w:type="spellEnd"/>
      <w:r w:rsidRPr="00BE3D43">
        <w:rPr>
          <w:rFonts w:ascii="Garamond" w:hAnsi="Garamond"/>
          <w:bCs/>
          <w:iCs/>
          <w:sz w:val="20"/>
          <w:szCs w:val="20"/>
        </w:rPr>
        <w:t xml:space="preserve"> et al. (2023)</w:t>
      </w:r>
      <w:r w:rsidRPr="00BE3D43">
        <w:rPr>
          <w:rFonts w:ascii="Garamond" w:hAnsi="Garamond"/>
          <w:bCs/>
          <w:iCs/>
          <w:sz w:val="20"/>
          <w:szCs w:val="20"/>
          <w:vertAlign w:val="superscript"/>
        </w:rPr>
        <w:t>7</w:t>
      </w:r>
      <w:r w:rsidRPr="00BE3D43">
        <w:rPr>
          <w:rFonts w:ascii="Garamond" w:hAnsi="Garamond"/>
          <w:bCs/>
          <w:iCs/>
          <w:sz w:val="20"/>
          <w:szCs w:val="20"/>
        </w:rPr>
        <w:t xml:space="preserve"> in the Oujda region. Additionally, 37.7% (n=40) were over 60 years old, while 9.4% (n=10) were under 20 years old.</w:t>
      </w:r>
    </w:p>
    <w:p w14:paraId="648EBA2D" w14:textId="51C48156" w:rsidR="007E5F99" w:rsidRDefault="00BE3D43" w:rsidP="007E5F99">
      <w:pPr>
        <w:spacing w:line="259" w:lineRule="auto"/>
        <w:jc w:val="both"/>
        <w:rPr>
          <w:rFonts w:ascii="Garamond" w:hAnsi="Garamond"/>
          <w:bCs/>
          <w:iCs/>
          <w:sz w:val="20"/>
          <w:szCs w:val="20"/>
        </w:rPr>
      </w:pPr>
      <w:r w:rsidRPr="00BE3D43">
        <w:rPr>
          <w:rFonts w:ascii="Garamond" w:hAnsi="Garamond"/>
          <w:bCs/>
          <w:iCs/>
          <w:sz w:val="20"/>
          <w:szCs w:val="20"/>
        </w:rPr>
        <w:t>As for the duration of insulin use, we found that the duration of insulin use is almost equal at 27.4%, 26.4%, and 26.4% for durations of less than 5 years, between 5 and 10 years, and from 10 to 20 years, respectively. Furthermore, only 14.2% of participant’s report that the duration of insulin use exceeds 20 years.</w:t>
      </w:r>
    </w:p>
    <w:p w14:paraId="7C7B9DD8" w14:textId="4343EA24" w:rsidR="00BE3D43" w:rsidRPr="00BE3D43" w:rsidRDefault="00BE3D43" w:rsidP="00BE3D43">
      <w:pPr>
        <w:spacing w:line="259" w:lineRule="auto"/>
        <w:jc w:val="both"/>
        <w:rPr>
          <w:rFonts w:ascii="Garamond" w:hAnsi="Garamond"/>
          <w:bCs/>
          <w:iCs/>
          <w:sz w:val="20"/>
          <w:szCs w:val="20"/>
        </w:rPr>
      </w:pPr>
      <w:r w:rsidRPr="007E5F99">
        <w:rPr>
          <w:rFonts w:ascii="Garamond" w:hAnsi="Garamond"/>
          <w:b/>
          <w:i/>
          <w:sz w:val="20"/>
          <w:szCs w:val="20"/>
        </w:rPr>
        <w:t>Understanding diabetes and its management</w:t>
      </w:r>
      <w:r w:rsidR="00387D94">
        <w:rPr>
          <w:rFonts w:ascii="Garamond" w:hAnsi="Garamond"/>
          <w:b/>
          <w:i/>
          <w:sz w:val="20"/>
          <w:szCs w:val="20"/>
        </w:rPr>
        <w:t xml:space="preserve">: </w:t>
      </w:r>
      <w:r w:rsidRPr="00BE3D43">
        <w:rPr>
          <w:rFonts w:ascii="Garamond" w:hAnsi="Garamond"/>
          <w:bCs/>
          <w:iCs/>
          <w:sz w:val="20"/>
          <w:szCs w:val="20"/>
        </w:rPr>
        <w:t>Numerous research studies, including those by Noor et al. (2017)</w:t>
      </w:r>
      <w:r w:rsidRPr="00BE3D43">
        <w:rPr>
          <w:rFonts w:ascii="Garamond" w:hAnsi="Garamond"/>
          <w:bCs/>
          <w:iCs/>
          <w:sz w:val="20"/>
          <w:szCs w:val="20"/>
          <w:vertAlign w:val="superscript"/>
        </w:rPr>
        <w:t>8</w:t>
      </w:r>
      <w:r w:rsidRPr="00BE3D43">
        <w:rPr>
          <w:rFonts w:ascii="Garamond" w:hAnsi="Garamond"/>
          <w:bCs/>
          <w:iCs/>
          <w:sz w:val="20"/>
          <w:szCs w:val="20"/>
        </w:rPr>
        <w:t>, show that understanding diabetes and knowledge of its management are two fundamental elements in diabetes therapeutic education. Indeed, type 1 diabetes results from the autoimmune destruction of pancreatic beta cells, leading to an absolute insulin deficiency, and generally manifests during childhood or adolescence.</w:t>
      </w:r>
      <w:r w:rsidRPr="00BE3D43">
        <w:rPr>
          <w:rFonts w:ascii="Garamond" w:hAnsi="Garamond"/>
          <w:bCs/>
          <w:iCs/>
          <w:sz w:val="20"/>
          <w:szCs w:val="20"/>
          <w:vertAlign w:val="superscript"/>
        </w:rPr>
        <w:t>9</w:t>
      </w:r>
      <w:r w:rsidRPr="00BE3D43">
        <w:rPr>
          <w:rFonts w:ascii="Garamond" w:hAnsi="Garamond"/>
          <w:bCs/>
          <w:iCs/>
          <w:sz w:val="20"/>
          <w:szCs w:val="20"/>
        </w:rPr>
        <w:t xml:space="preserve"> On the other hand, type 2 diabetes is defined by insulin resistance, dysfunction of pancreatic β cells, and persistent hyperglycemia.</w:t>
      </w:r>
      <w:r w:rsidRPr="00BE3D43">
        <w:rPr>
          <w:rFonts w:ascii="Garamond" w:hAnsi="Garamond"/>
          <w:bCs/>
          <w:iCs/>
          <w:sz w:val="20"/>
          <w:szCs w:val="20"/>
          <w:vertAlign w:val="superscript"/>
        </w:rPr>
        <w:t>10</w:t>
      </w:r>
      <w:r w:rsidRPr="00BE3D43">
        <w:rPr>
          <w:rFonts w:ascii="Garamond" w:hAnsi="Garamond"/>
          <w:bCs/>
          <w:iCs/>
          <w:sz w:val="20"/>
          <w:szCs w:val="20"/>
        </w:rPr>
        <w:t xml:space="preserve"> It is a widespread persistent metabolic complication, associated with a multifactorial origin, that has reached a global health crisis, affecting millions of people worldwide.</w:t>
      </w:r>
      <w:r w:rsidRPr="00BE3D43">
        <w:rPr>
          <w:rFonts w:ascii="Garamond" w:hAnsi="Garamond"/>
          <w:bCs/>
          <w:iCs/>
          <w:sz w:val="20"/>
          <w:szCs w:val="20"/>
          <w:vertAlign w:val="superscript"/>
        </w:rPr>
        <w:t>11</w:t>
      </w:r>
    </w:p>
    <w:p w14:paraId="2D636C51" w14:textId="77777777" w:rsidR="00BE3D43" w:rsidRP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t>On the pathophysiological level, numerous studies including those by Stehouwer (2018)</w:t>
      </w:r>
      <w:r w:rsidRPr="00BE3D43">
        <w:rPr>
          <w:rFonts w:ascii="Garamond" w:hAnsi="Garamond"/>
          <w:bCs/>
          <w:iCs/>
          <w:sz w:val="20"/>
          <w:szCs w:val="20"/>
          <w:vertAlign w:val="superscript"/>
        </w:rPr>
        <w:t>12</w:t>
      </w:r>
      <w:r w:rsidRPr="00BE3D43">
        <w:rPr>
          <w:rFonts w:ascii="Garamond" w:hAnsi="Garamond"/>
          <w:bCs/>
          <w:iCs/>
          <w:sz w:val="20"/>
          <w:szCs w:val="20"/>
        </w:rPr>
        <w:t xml:space="preserve"> and González et al. (2023)</w:t>
      </w:r>
      <w:r w:rsidRPr="00BE3D43">
        <w:rPr>
          <w:rFonts w:ascii="Garamond" w:hAnsi="Garamond"/>
          <w:bCs/>
          <w:iCs/>
          <w:sz w:val="20"/>
          <w:szCs w:val="20"/>
          <w:vertAlign w:val="superscript"/>
        </w:rPr>
        <w:t>13</w:t>
      </w:r>
      <w:r w:rsidRPr="00BE3D43">
        <w:rPr>
          <w:rFonts w:ascii="Garamond" w:hAnsi="Garamond"/>
          <w:bCs/>
          <w:iCs/>
          <w:sz w:val="20"/>
          <w:szCs w:val="20"/>
        </w:rPr>
        <w:t xml:space="preserve"> show that hyperglycemia triggers a series of metabolic imbalances and vascular injuries. Indeed, persistently high glucose levels can lead to microvascular complications such as retinopathy, nephropathy, and neuropathy, as well as macrovascular effects such as cardiovascular conditions.</w:t>
      </w:r>
      <w:r w:rsidRPr="00BE3D43">
        <w:rPr>
          <w:rFonts w:ascii="Garamond" w:hAnsi="Garamond"/>
          <w:bCs/>
          <w:iCs/>
          <w:sz w:val="20"/>
          <w:szCs w:val="20"/>
          <w:vertAlign w:val="superscript"/>
        </w:rPr>
        <w:t>14-15</w:t>
      </w:r>
      <w:r w:rsidRPr="00BE3D43">
        <w:rPr>
          <w:rFonts w:ascii="Garamond" w:hAnsi="Garamond"/>
          <w:bCs/>
          <w:iCs/>
          <w:sz w:val="20"/>
          <w:szCs w:val="20"/>
        </w:rPr>
        <w:t xml:space="preserve"> These complications cause morbidity and mortality among diabetic populations, highlighting the crucial need for adequate blood glucose control and management of risk factors.</w:t>
      </w:r>
      <w:r w:rsidRPr="00BE3D43">
        <w:rPr>
          <w:rFonts w:ascii="Garamond" w:hAnsi="Garamond"/>
          <w:bCs/>
          <w:iCs/>
          <w:sz w:val="20"/>
          <w:szCs w:val="20"/>
          <w:vertAlign w:val="superscript"/>
        </w:rPr>
        <w:t>16-17</w:t>
      </w:r>
    </w:p>
    <w:p w14:paraId="181E6D76" w14:textId="2D088C5A" w:rsidR="00D26169" w:rsidRPr="00387D94" w:rsidRDefault="00BE3D43" w:rsidP="007E5F99">
      <w:pPr>
        <w:spacing w:line="259" w:lineRule="auto"/>
        <w:jc w:val="both"/>
        <w:rPr>
          <w:rFonts w:ascii="Garamond" w:hAnsi="Garamond"/>
          <w:bCs/>
          <w:iCs/>
          <w:sz w:val="20"/>
          <w:szCs w:val="20"/>
        </w:rPr>
      </w:pPr>
      <w:r w:rsidRPr="00BE3D43">
        <w:rPr>
          <w:rFonts w:ascii="Garamond" w:hAnsi="Garamond"/>
          <w:bCs/>
          <w:iCs/>
          <w:sz w:val="20"/>
          <w:szCs w:val="20"/>
        </w:rPr>
        <w:t xml:space="preserve">Conventional diabetes management encompasses a multidimensional strategy aimed at regulating blood </w:t>
      </w:r>
      <w:r w:rsidRPr="00BE3D43">
        <w:rPr>
          <w:rFonts w:ascii="Garamond" w:hAnsi="Garamond"/>
          <w:bCs/>
          <w:iCs/>
          <w:sz w:val="20"/>
          <w:szCs w:val="20"/>
        </w:rPr>
        <w:t>sugar levels, lipid profiles, and blood pressure.</w:t>
      </w:r>
      <w:r w:rsidRPr="00BE3D43">
        <w:rPr>
          <w:rFonts w:ascii="Garamond" w:hAnsi="Garamond"/>
          <w:bCs/>
          <w:iCs/>
          <w:sz w:val="20"/>
          <w:szCs w:val="20"/>
          <w:vertAlign w:val="superscript"/>
        </w:rPr>
        <w:t>18,19</w:t>
      </w:r>
      <w:r w:rsidRPr="00BE3D43">
        <w:rPr>
          <w:rFonts w:ascii="Garamond" w:hAnsi="Garamond"/>
          <w:bCs/>
          <w:iCs/>
          <w:sz w:val="20"/>
          <w:szCs w:val="20"/>
        </w:rPr>
        <w:t xml:space="preserve"> In general, therapy combines medication treatments, such as insulin and oral hypoglycemic agents, with lifestyle changes including nutrition, physical exercise, and weight management.</w:t>
      </w:r>
      <w:r w:rsidRPr="00BE3D43">
        <w:rPr>
          <w:rFonts w:ascii="Garamond" w:hAnsi="Garamond"/>
          <w:bCs/>
          <w:iCs/>
          <w:sz w:val="20"/>
          <w:szCs w:val="20"/>
          <w:vertAlign w:val="superscript"/>
        </w:rPr>
        <w:t>20,21</w:t>
      </w:r>
      <w:r w:rsidRPr="00BE3D43">
        <w:rPr>
          <w:rFonts w:ascii="Garamond" w:hAnsi="Garamond"/>
          <w:bCs/>
          <w:iCs/>
          <w:sz w:val="20"/>
          <w:szCs w:val="20"/>
        </w:rPr>
        <w:t xml:space="preserve"> Monitoring blood glucose levels and glycated hemoglobin through self-measurement is a crucial aspect of clinical follow-up.</w:t>
      </w:r>
      <w:r w:rsidRPr="00BE3D43">
        <w:rPr>
          <w:rFonts w:ascii="Garamond" w:hAnsi="Garamond"/>
          <w:bCs/>
          <w:iCs/>
          <w:sz w:val="20"/>
          <w:szCs w:val="20"/>
          <w:vertAlign w:val="superscript"/>
        </w:rPr>
        <w:t>22</w:t>
      </w:r>
      <w:r w:rsidRPr="00BE3D43">
        <w:rPr>
          <w:rFonts w:ascii="Garamond" w:hAnsi="Garamond"/>
          <w:bCs/>
          <w:iCs/>
          <w:sz w:val="20"/>
          <w:szCs w:val="20"/>
        </w:rPr>
        <w:t xml:space="preserve"> Despite advancements, the traditional approach is often inadequate to meet the overall needs of patients, especially in terms of sustaining behavioral changes in the long term.</w:t>
      </w:r>
    </w:p>
    <w:p w14:paraId="24C3752B" w14:textId="0C9C2FD2" w:rsidR="00BE3D43" w:rsidRDefault="00BE3D43" w:rsidP="00BE3D43">
      <w:pPr>
        <w:spacing w:line="259" w:lineRule="auto"/>
        <w:jc w:val="both"/>
        <w:rPr>
          <w:rFonts w:ascii="Garamond" w:hAnsi="Garamond"/>
          <w:bCs/>
          <w:iCs/>
          <w:sz w:val="20"/>
          <w:szCs w:val="20"/>
        </w:rPr>
      </w:pPr>
      <w:r w:rsidRPr="007E5F99">
        <w:rPr>
          <w:rFonts w:ascii="Garamond" w:hAnsi="Garamond"/>
          <w:b/>
          <w:i/>
          <w:sz w:val="20"/>
          <w:szCs w:val="20"/>
        </w:rPr>
        <w:t>Therapeutic Education</w:t>
      </w:r>
      <w:r w:rsidR="00387D94">
        <w:rPr>
          <w:rFonts w:ascii="Garamond" w:hAnsi="Garamond"/>
          <w:b/>
          <w:i/>
          <w:sz w:val="20"/>
          <w:szCs w:val="20"/>
        </w:rPr>
        <w:t xml:space="preserve">: </w:t>
      </w:r>
      <w:r w:rsidRPr="00BE3D43">
        <w:rPr>
          <w:rFonts w:ascii="Garamond" w:hAnsi="Garamond"/>
          <w:bCs/>
          <w:iCs/>
          <w:sz w:val="20"/>
          <w:szCs w:val="20"/>
        </w:rPr>
        <w:t>Therapeutic education is a structured and ongoing approach aimed at providing patients suffering from chronic diseases such as diabetes with the knowledge, skills, and behaviors necessary for effective self-management.</w:t>
      </w:r>
      <w:r w:rsidRPr="00BE3D43">
        <w:rPr>
          <w:rFonts w:ascii="Garamond" w:hAnsi="Garamond"/>
          <w:bCs/>
          <w:iCs/>
          <w:sz w:val="20"/>
          <w:szCs w:val="20"/>
          <w:vertAlign w:val="superscript"/>
        </w:rPr>
        <w:t>23,24</w:t>
      </w:r>
      <w:r w:rsidRPr="00BE3D43">
        <w:rPr>
          <w:rFonts w:ascii="Garamond" w:hAnsi="Garamond"/>
          <w:bCs/>
          <w:iCs/>
          <w:sz w:val="20"/>
          <w:szCs w:val="20"/>
        </w:rPr>
        <w:t xml:space="preserve"> It is not limited to the simple transmission of data, but incorporates theories on behavior change and psychological structures to encourage patient empowerment, independence, and commitment to complex treatments.</w:t>
      </w:r>
      <w:r w:rsidRPr="00BE3D43">
        <w:rPr>
          <w:rFonts w:ascii="Garamond" w:hAnsi="Garamond"/>
          <w:bCs/>
          <w:iCs/>
          <w:sz w:val="20"/>
          <w:szCs w:val="20"/>
          <w:vertAlign w:val="superscript"/>
        </w:rPr>
        <w:t>25</w:t>
      </w:r>
      <w:r w:rsidRPr="00BE3D43">
        <w:rPr>
          <w:rFonts w:ascii="Garamond" w:hAnsi="Garamond"/>
          <w:bCs/>
          <w:iCs/>
          <w:sz w:val="20"/>
          <w:szCs w:val="20"/>
        </w:rPr>
        <w:t xml:space="preserve"> Moreover, as several research works have pointed out, including those of Ramsamy et al. (2024)</w:t>
      </w:r>
      <w:r w:rsidRPr="00BE3D43">
        <w:rPr>
          <w:rFonts w:ascii="Garamond" w:hAnsi="Garamond"/>
          <w:bCs/>
          <w:iCs/>
          <w:sz w:val="20"/>
          <w:szCs w:val="20"/>
          <w:vertAlign w:val="superscript"/>
        </w:rPr>
        <w:t>26</w:t>
      </w:r>
      <w:r w:rsidRPr="00BE3D43">
        <w:rPr>
          <w:rFonts w:ascii="Garamond" w:hAnsi="Garamond"/>
          <w:bCs/>
          <w:iCs/>
          <w:sz w:val="20"/>
          <w:szCs w:val="20"/>
        </w:rPr>
        <w:t>, therapeutic education focuses on the active engagement of patients, the formulation of tailored objectives, and the adjustment to specific sociocultural contexts. This approach considers patients as allies in managing their health, capable of guiding their health journey through informed choices and self-care skills.</w:t>
      </w:r>
      <w:r w:rsidRPr="00BE3D43">
        <w:rPr>
          <w:rFonts w:ascii="Garamond" w:hAnsi="Garamond"/>
          <w:bCs/>
          <w:iCs/>
          <w:sz w:val="20"/>
          <w:szCs w:val="20"/>
          <w:vertAlign w:val="superscript"/>
        </w:rPr>
        <w:t>27</w:t>
      </w:r>
    </w:p>
    <w:p w14:paraId="36F29F33" w14:textId="6BFB5A48" w:rsidR="00BE3D43" w:rsidRP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t>Our research highlights that the prevalence of type 2 diabetes is significant within the examined population. Several risk factors may be involved, such as aging associated with a lack of physical activity, as well as an unbalanced diet high in saturated fats and sugars.</w:t>
      </w:r>
      <w:r w:rsidRPr="00BE3D43">
        <w:rPr>
          <w:rFonts w:ascii="Garamond" w:hAnsi="Garamond"/>
          <w:bCs/>
          <w:iCs/>
          <w:sz w:val="20"/>
          <w:szCs w:val="20"/>
          <w:vertAlign w:val="superscript"/>
        </w:rPr>
        <w:t>28</w:t>
      </w:r>
      <w:r w:rsidRPr="00BE3D43">
        <w:rPr>
          <w:rFonts w:ascii="Garamond" w:hAnsi="Garamond"/>
          <w:bCs/>
          <w:iCs/>
          <w:sz w:val="20"/>
          <w:szCs w:val="20"/>
        </w:rPr>
        <w:t xml:space="preserve"> This situation results from the gradual shift of the population towards a transformed dietary lifestyle over the past few decades. Our results corroborate those of a cross-sectional analytical study on the predictive factors of knowledge level, attitudes, and quality of life of type 1 and type 2 diabetic patients in Tunisia, which highlights a predominance of type 2 diabetes with a rate of 81.5%, compared to 18.5% for diagnosed cases of type 1 diabetes.</w:t>
      </w:r>
      <w:r w:rsidRPr="00BE3D43">
        <w:rPr>
          <w:rFonts w:ascii="Garamond" w:hAnsi="Garamond"/>
          <w:bCs/>
          <w:iCs/>
          <w:sz w:val="20"/>
          <w:szCs w:val="20"/>
          <w:vertAlign w:val="superscript"/>
        </w:rPr>
        <w:t>29</w:t>
      </w:r>
    </w:p>
    <w:p w14:paraId="14D24ACF" w14:textId="5282CB52" w:rsidR="00BE3D43" w:rsidRPr="007E5F99" w:rsidRDefault="00BE3D43" w:rsidP="00BE3D43">
      <w:pPr>
        <w:spacing w:line="259" w:lineRule="auto"/>
        <w:jc w:val="both"/>
        <w:rPr>
          <w:rFonts w:ascii="Garamond" w:hAnsi="Garamond"/>
          <w:b/>
          <w:i/>
          <w:sz w:val="20"/>
          <w:szCs w:val="20"/>
        </w:rPr>
      </w:pPr>
      <w:r w:rsidRPr="007E5F99">
        <w:rPr>
          <w:rFonts w:ascii="Garamond" w:hAnsi="Garamond"/>
          <w:b/>
          <w:i/>
          <w:sz w:val="20"/>
          <w:szCs w:val="20"/>
        </w:rPr>
        <w:t>Effects of therapeutic education on diabetes-related outcomes</w:t>
      </w:r>
    </w:p>
    <w:p w14:paraId="2AF7C1B7" w14:textId="5EE3491A" w:rsid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lastRenderedPageBreak/>
        <w:t>Therapeutic education has a major impact on the experience of people with diabetes,</w:t>
      </w:r>
      <w:r w:rsidRPr="00BE3D43">
        <w:rPr>
          <w:rFonts w:ascii="Garamond" w:hAnsi="Garamond"/>
          <w:bCs/>
          <w:iCs/>
          <w:sz w:val="20"/>
          <w:szCs w:val="20"/>
          <w:vertAlign w:val="superscript"/>
        </w:rPr>
        <w:t>30,31,32</w:t>
      </w:r>
      <w:r w:rsidRPr="00BE3D43">
        <w:rPr>
          <w:rFonts w:ascii="Garamond" w:hAnsi="Garamond"/>
          <w:bCs/>
          <w:iCs/>
          <w:sz w:val="20"/>
          <w:szCs w:val="20"/>
        </w:rPr>
        <w:t xml:space="preserve"> producing measurable outcomes on clinical indicators, mental health, and the burden on the healthcare system.</w:t>
      </w:r>
      <w:r w:rsidRPr="00BE3D43">
        <w:rPr>
          <w:rFonts w:ascii="Garamond" w:hAnsi="Garamond"/>
          <w:bCs/>
          <w:iCs/>
          <w:sz w:val="20"/>
          <w:szCs w:val="20"/>
          <w:vertAlign w:val="superscript"/>
        </w:rPr>
        <w:t>33-34-35</w:t>
      </w:r>
      <w:r w:rsidRPr="00BE3D43">
        <w:rPr>
          <w:rFonts w:ascii="Garamond" w:hAnsi="Garamond"/>
          <w:bCs/>
          <w:iCs/>
          <w:sz w:val="20"/>
          <w:szCs w:val="20"/>
        </w:rPr>
        <w:t xml:space="preserve"> These multiple advantages strengthen its integration into the overall management of diabetes.</w:t>
      </w:r>
      <w:r w:rsidRPr="00BE3D43">
        <w:rPr>
          <w:rFonts w:ascii="Garamond" w:hAnsi="Garamond"/>
          <w:bCs/>
          <w:iCs/>
          <w:sz w:val="20"/>
          <w:szCs w:val="20"/>
          <w:vertAlign w:val="superscript"/>
        </w:rPr>
        <w:t>36-37-38</w:t>
      </w:r>
      <w:r w:rsidRPr="00BE3D43">
        <w:rPr>
          <w:rFonts w:ascii="Garamond" w:hAnsi="Garamond"/>
          <w:bCs/>
          <w:iCs/>
          <w:sz w:val="20"/>
          <w:szCs w:val="20"/>
        </w:rPr>
        <w:t xml:space="preserve"> Indeed, studies involving patients with diabetes have reported serum HbA1c levels as the primary outcome.</w:t>
      </w:r>
      <w:r w:rsidRPr="00BE3D43">
        <w:rPr>
          <w:rFonts w:ascii="Garamond" w:hAnsi="Garamond"/>
          <w:bCs/>
          <w:iCs/>
          <w:sz w:val="20"/>
          <w:szCs w:val="20"/>
          <w:vertAlign w:val="superscript"/>
        </w:rPr>
        <w:t>39</w:t>
      </w:r>
      <w:r w:rsidRPr="00BE3D43">
        <w:rPr>
          <w:rFonts w:ascii="Garamond" w:hAnsi="Garamond"/>
          <w:bCs/>
          <w:iCs/>
          <w:sz w:val="20"/>
          <w:szCs w:val="20"/>
        </w:rPr>
        <w:t xml:space="preserve"> Another research work conducted by Belhaj et al. (2024)</w:t>
      </w:r>
      <w:r w:rsidRPr="00BE3D43">
        <w:rPr>
          <w:rFonts w:ascii="Garamond" w:hAnsi="Garamond"/>
          <w:bCs/>
          <w:iCs/>
          <w:sz w:val="20"/>
          <w:szCs w:val="20"/>
          <w:vertAlign w:val="superscript"/>
        </w:rPr>
        <w:t xml:space="preserve">40 </w:t>
      </w:r>
      <w:r w:rsidRPr="00BE3D43">
        <w:rPr>
          <w:rFonts w:ascii="Garamond" w:hAnsi="Garamond"/>
          <w:bCs/>
          <w:iCs/>
          <w:sz w:val="20"/>
          <w:szCs w:val="20"/>
        </w:rPr>
        <w:t>showed that therapeutic education had a positive impact on therapeutic adherence and diabetes-related distress.</w:t>
      </w:r>
    </w:p>
    <w:p w14:paraId="2B772654" w14:textId="50786507" w:rsid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t>During our study, it was observed that 65.1% of diabetic patients rarely monitor their blood sugar levels. This situation reflects a deficit in therapeutic education and awareness, as patients do not measure the importance of regular blood sugar monitoring in managing their diabetes, nor do they recognize the signs of hypoglycemia or hyperglycemia. Our results are consistent with those of a retrospective descriptive study conducted by Yuan et al. (2014)</w:t>
      </w:r>
      <w:r w:rsidRPr="00BE3D43">
        <w:rPr>
          <w:rFonts w:ascii="Garamond" w:hAnsi="Garamond"/>
          <w:bCs/>
          <w:iCs/>
          <w:sz w:val="20"/>
          <w:szCs w:val="20"/>
          <w:vertAlign w:val="superscript"/>
        </w:rPr>
        <w:t>41</w:t>
      </w:r>
      <w:r w:rsidRPr="00BE3D43">
        <w:rPr>
          <w:rFonts w:ascii="Garamond" w:hAnsi="Garamond"/>
          <w:bCs/>
          <w:iCs/>
          <w:sz w:val="20"/>
          <w:szCs w:val="20"/>
        </w:rPr>
        <w:t xml:space="preserve"> among diabetic patients, which reported that a low proportion of patients practiced blood glucose self-monitoring.</w:t>
      </w:r>
    </w:p>
    <w:p w14:paraId="4060477A" w14:textId="35C89DAD" w:rsid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t>Regarding the knowledge of the different types of insulin, it appears that the majority of participants (68.9%) do not have adequate information on this subject. This situation could be attributed to a lack of therapeutic education as well as communication difficulties. These results are consistent with another study conducted by Jasper et al. (2014)</w:t>
      </w:r>
      <w:r w:rsidRPr="00BE3D43">
        <w:rPr>
          <w:rFonts w:ascii="Garamond" w:hAnsi="Garamond"/>
          <w:bCs/>
          <w:iCs/>
          <w:sz w:val="20"/>
          <w:szCs w:val="20"/>
          <w:vertAlign w:val="superscript"/>
        </w:rPr>
        <w:t>42</w:t>
      </w:r>
      <w:r w:rsidRPr="00BE3D43">
        <w:rPr>
          <w:rFonts w:ascii="Garamond" w:hAnsi="Garamond"/>
          <w:bCs/>
          <w:iCs/>
          <w:sz w:val="20"/>
          <w:szCs w:val="20"/>
        </w:rPr>
        <w:t>, which also reports a lack of knowledge about the types of insulin and their differences.</w:t>
      </w:r>
    </w:p>
    <w:p w14:paraId="26327EEF" w14:textId="7972B395" w:rsidR="00BE3D43" w:rsidRP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t>Regarding the type of insulin used, the results obtained showed that the most commonly used type of insulin is ready-to-use semi-fast insulin, with a percentage of 70.8%. The use of this type of insulin is mainly explained by its advantages, ease of administration, and the combination of fast and semi-fast insulin.</w:t>
      </w:r>
      <w:r w:rsidRPr="00BE3D43">
        <w:rPr>
          <w:rFonts w:ascii="Garamond" w:hAnsi="Garamond"/>
          <w:bCs/>
          <w:iCs/>
          <w:sz w:val="20"/>
          <w:szCs w:val="20"/>
          <w:vertAlign w:val="superscript"/>
        </w:rPr>
        <w:t>43</w:t>
      </w:r>
    </w:p>
    <w:p w14:paraId="7A3C6F3D" w14:textId="77777777" w:rsidR="00BE3D43" w:rsidRP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t xml:space="preserve">Regarding the duration of insulin use, it is noted that the majority of diabetics have been using it for a long time. This can be explained by the lack of awareness and education about diabetes and its symptoms. Furthermore, our study addresses the method of insulin administration. The results obtained reveal that 66.0% of diabetic patients adopt the recommended good practices for insulin use regarding the injection method. However, the most reliable technique remains subcutaneous injection, which allows for a gradual release of insulin while ensuring safe and easy </w:t>
      </w:r>
      <w:r w:rsidRPr="00BE3D43">
        <w:rPr>
          <w:rFonts w:ascii="Garamond" w:hAnsi="Garamond"/>
          <w:bCs/>
          <w:iCs/>
          <w:sz w:val="20"/>
          <w:szCs w:val="20"/>
        </w:rPr>
        <w:t>administration. This can be explained by a more or less low level of education on the injection practice.</w:t>
      </w:r>
      <w:r w:rsidRPr="00BE3D43">
        <w:rPr>
          <w:rFonts w:ascii="Garamond" w:hAnsi="Garamond"/>
          <w:bCs/>
          <w:iCs/>
          <w:sz w:val="20"/>
          <w:szCs w:val="20"/>
          <w:vertAlign w:val="superscript"/>
        </w:rPr>
        <w:t>44</w:t>
      </w:r>
    </w:p>
    <w:p w14:paraId="7C76933C" w14:textId="6C55D168" w:rsid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t>Furthermore, the results obtained during this scientific study reveal that nearly half of the participants change injection sites when administering insulin. This situation is explained by the high level of therapeutic education and increased awareness within this population regarding site rotation, as well as by the understanding of the importance of this practice to prevent any issues related to the injection site.</w:t>
      </w:r>
    </w:p>
    <w:p w14:paraId="2012A881" w14:textId="584F7CE0" w:rsidR="00BE3D43" w:rsidRP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t xml:space="preserve">Regarding the reuse of the same needle, the results obtained show that 71.7% of participants do not do so. Indeed, several studies, including that of </w:t>
      </w:r>
      <w:proofErr w:type="spellStart"/>
      <w:r w:rsidRPr="00BE3D43">
        <w:rPr>
          <w:rFonts w:ascii="Garamond" w:hAnsi="Garamond"/>
          <w:bCs/>
          <w:iCs/>
          <w:sz w:val="20"/>
          <w:szCs w:val="20"/>
        </w:rPr>
        <w:t>Mehrabbeik</w:t>
      </w:r>
      <w:proofErr w:type="spellEnd"/>
      <w:r w:rsidRPr="00BE3D43">
        <w:rPr>
          <w:rFonts w:ascii="Garamond" w:hAnsi="Garamond"/>
          <w:bCs/>
          <w:iCs/>
          <w:sz w:val="20"/>
          <w:szCs w:val="20"/>
        </w:rPr>
        <w:t xml:space="preserve"> et al. (2022)</w:t>
      </w:r>
      <w:r w:rsidRPr="00BE3D43">
        <w:rPr>
          <w:rFonts w:ascii="Garamond" w:hAnsi="Garamond"/>
          <w:bCs/>
          <w:iCs/>
          <w:sz w:val="20"/>
          <w:szCs w:val="20"/>
          <w:vertAlign w:val="superscript"/>
        </w:rPr>
        <w:t>45</w:t>
      </w:r>
      <w:r w:rsidRPr="00BE3D43">
        <w:rPr>
          <w:rFonts w:ascii="Garamond" w:hAnsi="Garamond"/>
          <w:bCs/>
          <w:iCs/>
          <w:sz w:val="20"/>
          <w:szCs w:val="20"/>
        </w:rPr>
        <w:t>, indicate that the repeated use of the same needle for insulin injections is a common practice. However, after several uses, the needle may undergo significant deformation, which is likely to increase complications related to injections, particularly the risk of lipodystrophy at the injection site as well as the risk of infection.</w:t>
      </w:r>
      <w:r w:rsidRPr="00BE3D43">
        <w:rPr>
          <w:rFonts w:ascii="Garamond" w:hAnsi="Garamond"/>
          <w:bCs/>
          <w:iCs/>
          <w:sz w:val="20"/>
          <w:szCs w:val="20"/>
          <w:vertAlign w:val="superscript"/>
        </w:rPr>
        <w:t>46</w:t>
      </w:r>
    </w:p>
    <w:p w14:paraId="7BC81D23" w14:textId="334F81A3" w:rsidR="00BE3D43" w:rsidRP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t>Regarding the adherence to hygiene rules when using insulin, the majority of diabetics wash their hands before the injection (81.1%). This shows that aseptic rules are being followed: the population is aware of hygiene rules and their importance in preventing infections at injection sites.</w:t>
      </w:r>
      <w:r w:rsidRPr="00BE3D43">
        <w:rPr>
          <w:rFonts w:ascii="Garamond" w:hAnsi="Garamond"/>
          <w:bCs/>
          <w:iCs/>
          <w:sz w:val="20"/>
          <w:szCs w:val="20"/>
          <w:vertAlign w:val="superscript"/>
        </w:rPr>
        <w:t>47</w:t>
      </w:r>
      <w:r w:rsidRPr="00BE3D43">
        <w:rPr>
          <w:rFonts w:ascii="Garamond" w:hAnsi="Garamond"/>
          <w:bCs/>
          <w:iCs/>
          <w:sz w:val="20"/>
          <w:szCs w:val="20"/>
        </w:rPr>
        <w:t xml:space="preserve"> However, we found that most diabetics do not clean their injection sites. This may reflect a lack of education on infection prevention at the injection site. Similarly, the results of our study confirm that most diabetics remove air bubbles, which suggests that this point should be considered in awareness efforts, as even slight and repeated under-dosing can lead to hyperglycemia. This complicates diabetes control and increases the risk of long-term complications.</w:t>
      </w:r>
    </w:p>
    <w:p w14:paraId="0799FD3E" w14:textId="77777777" w:rsidR="00BE3D43" w:rsidRP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t xml:space="preserve">Our study also focuses on adjusting the insulin dose based on meals. According to the results obtained, nearly half of the participants (61.3%) do not adjust their diet according to the administered insulin dose. Indeed, several research studies, including those by </w:t>
      </w:r>
      <w:proofErr w:type="spellStart"/>
      <w:r w:rsidRPr="00BE3D43">
        <w:rPr>
          <w:rFonts w:ascii="Garamond" w:hAnsi="Garamond"/>
          <w:bCs/>
          <w:iCs/>
          <w:sz w:val="20"/>
          <w:szCs w:val="20"/>
        </w:rPr>
        <w:t>Krzymien</w:t>
      </w:r>
      <w:proofErr w:type="spellEnd"/>
      <w:r w:rsidRPr="00BE3D43">
        <w:rPr>
          <w:rFonts w:ascii="Garamond" w:hAnsi="Garamond"/>
          <w:bCs/>
          <w:iCs/>
          <w:sz w:val="20"/>
          <w:szCs w:val="20"/>
        </w:rPr>
        <w:t xml:space="preserve"> et al. (2019)</w:t>
      </w:r>
      <w:r w:rsidRPr="00BE3D43">
        <w:rPr>
          <w:rFonts w:ascii="Garamond" w:hAnsi="Garamond"/>
          <w:bCs/>
          <w:iCs/>
          <w:sz w:val="20"/>
          <w:szCs w:val="20"/>
          <w:vertAlign w:val="superscript"/>
        </w:rPr>
        <w:t>48</w:t>
      </w:r>
      <w:r w:rsidRPr="00BE3D43">
        <w:rPr>
          <w:rFonts w:ascii="Garamond" w:hAnsi="Garamond"/>
          <w:bCs/>
          <w:iCs/>
          <w:sz w:val="20"/>
          <w:szCs w:val="20"/>
        </w:rPr>
        <w:t>, indicate that various factors can influence the increase in blood sugar levels after a meal, which leads to significant difficulties in determining the appropriate dose of insulin to administer during meals. The insulin doses intended for the treatment of diabetic individuals must take into account not only the pre-meal blood sugar level but also the quantity and composition of the foods consumed. Therefore, this adjustment contributes to effective diabetes management.</w:t>
      </w:r>
      <w:r w:rsidRPr="00BE3D43">
        <w:rPr>
          <w:rFonts w:ascii="Garamond" w:hAnsi="Garamond"/>
          <w:bCs/>
          <w:iCs/>
          <w:sz w:val="20"/>
          <w:szCs w:val="20"/>
          <w:vertAlign w:val="superscript"/>
        </w:rPr>
        <w:t>49,50</w:t>
      </w:r>
    </w:p>
    <w:p w14:paraId="358F5F80" w14:textId="77777777" w:rsidR="00BE3D43" w:rsidRDefault="00BE3D43" w:rsidP="00BE3D43">
      <w:pPr>
        <w:spacing w:line="259" w:lineRule="auto"/>
        <w:jc w:val="both"/>
        <w:rPr>
          <w:rFonts w:ascii="Garamond" w:hAnsi="Garamond"/>
          <w:bCs/>
          <w:iCs/>
          <w:sz w:val="20"/>
          <w:szCs w:val="20"/>
        </w:rPr>
      </w:pPr>
    </w:p>
    <w:p w14:paraId="3994DD42" w14:textId="4712C153" w:rsidR="00BE3D43" w:rsidRP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lastRenderedPageBreak/>
        <w:t>Regarding the verification of the expiration date of insulin, the results obtained indicate that a very high proportion of participants, 78.3%, carry out this verification. Consequently, the use of expired insulin remains low (16.0%). This situation reflects a clear caution regarding the consumption of expired insulin.</w:t>
      </w:r>
    </w:p>
    <w:p w14:paraId="1EF90D7D" w14:textId="77777777" w:rsidR="00BE3D43" w:rsidRPr="00BE3D43" w:rsidRDefault="00BE3D43" w:rsidP="00BE3D43">
      <w:pPr>
        <w:spacing w:line="259" w:lineRule="auto"/>
        <w:jc w:val="both"/>
        <w:rPr>
          <w:rFonts w:ascii="Garamond" w:hAnsi="Garamond"/>
          <w:bCs/>
          <w:iCs/>
          <w:sz w:val="20"/>
          <w:szCs w:val="20"/>
          <w:vertAlign w:val="superscript"/>
        </w:rPr>
      </w:pPr>
      <w:r w:rsidRPr="00BE3D43">
        <w:rPr>
          <w:rFonts w:ascii="Garamond" w:hAnsi="Garamond"/>
          <w:bCs/>
          <w:iCs/>
          <w:sz w:val="20"/>
          <w:szCs w:val="20"/>
        </w:rPr>
        <w:t>Although the administration of insulin through clothing may seem convenient in certain circumstances</w:t>
      </w:r>
      <w:r w:rsidRPr="00BE3D43">
        <w:rPr>
          <w:rFonts w:ascii="Garamond" w:hAnsi="Garamond"/>
          <w:bCs/>
          <w:iCs/>
          <w:sz w:val="20"/>
          <w:szCs w:val="20"/>
          <w:vertAlign w:val="superscript"/>
        </w:rPr>
        <w:t>51</w:t>
      </w:r>
      <w:r w:rsidRPr="00BE3D43">
        <w:rPr>
          <w:rFonts w:ascii="Garamond" w:hAnsi="Garamond"/>
          <w:bCs/>
          <w:iCs/>
          <w:sz w:val="20"/>
          <w:szCs w:val="20"/>
        </w:rPr>
        <w:t>, this method is generally discouraged due to the irregular absorption of the medication, the risk of needle damage, as well as the possibility of contamination and infection.</w:t>
      </w:r>
      <w:r w:rsidRPr="00BE3D43">
        <w:rPr>
          <w:rFonts w:ascii="Garamond" w:hAnsi="Garamond"/>
          <w:bCs/>
          <w:iCs/>
          <w:sz w:val="20"/>
          <w:szCs w:val="20"/>
          <w:vertAlign w:val="superscript"/>
        </w:rPr>
        <w:t>52</w:t>
      </w:r>
    </w:p>
    <w:p w14:paraId="2FEF9D72" w14:textId="77777777" w:rsidR="00D26169" w:rsidRDefault="00D26169" w:rsidP="00BE3D43">
      <w:pPr>
        <w:spacing w:line="259" w:lineRule="auto"/>
        <w:jc w:val="both"/>
        <w:rPr>
          <w:rFonts w:ascii="Garamond" w:hAnsi="Garamond"/>
          <w:b/>
          <w:i/>
          <w:sz w:val="20"/>
          <w:szCs w:val="20"/>
        </w:rPr>
      </w:pPr>
    </w:p>
    <w:p w14:paraId="53872616" w14:textId="6259F3EC" w:rsidR="00BE3D43" w:rsidRPr="00D26169" w:rsidRDefault="00BE3D43" w:rsidP="00BE3D43">
      <w:pPr>
        <w:spacing w:line="259" w:lineRule="auto"/>
        <w:jc w:val="both"/>
        <w:rPr>
          <w:rFonts w:ascii="Garamond" w:hAnsi="Garamond"/>
          <w:b/>
          <w:i/>
          <w:sz w:val="20"/>
          <w:szCs w:val="20"/>
        </w:rPr>
      </w:pPr>
      <w:r w:rsidRPr="00D26169">
        <w:rPr>
          <w:rFonts w:ascii="Garamond" w:hAnsi="Garamond"/>
          <w:b/>
          <w:i/>
          <w:sz w:val="20"/>
          <w:szCs w:val="20"/>
        </w:rPr>
        <w:t>Strengths and limitations of the study</w:t>
      </w:r>
    </w:p>
    <w:p w14:paraId="02CD043F" w14:textId="77777777" w:rsidR="00BE3D43" w:rsidRPr="00D26169" w:rsidRDefault="00BE3D43" w:rsidP="00BE3D43">
      <w:pPr>
        <w:spacing w:line="259" w:lineRule="auto"/>
        <w:jc w:val="both"/>
        <w:rPr>
          <w:rFonts w:ascii="Garamond" w:hAnsi="Garamond"/>
          <w:bCs/>
          <w:sz w:val="20"/>
          <w:szCs w:val="20"/>
        </w:rPr>
      </w:pPr>
      <w:r w:rsidRPr="00D26169">
        <w:rPr>
          <w:rFonts w:ascii="Garamond" w:hAnsi="Garamond"/>
          <w:bCs/>
          <w:sz w:val="20"/>
          <w:szCs w:val="20"/>
        </w:rPr>
        <w:t>This study aims to determine the prevalence of diabetic patients who have benefited from Therapeutic Patient Education (TPE) in Kénitra. It also allows for the assessment of their level of disease self-management. Furthermore, it could highlight significant correlations between TPE and various variables such as glycemic control (HbA1c), adherence to hygienic and dietary recommendations, as well as the socio-economic and educational level of the patients.</w:t>
      </w:r>
    </w:p>
    <w:p w14:paraId="0E2887BB" w14:textId="77777777" w:rsidR="00BE3D43" w:rsidRPr="00BE3D43" w:rsidRDefault="00BE3D43" w:rsidP="00BE3D43">
      <w:pPr>
        <w:spacing w:line="259" w:lineRule="auto"/>
        <w:jc w:val="both"/>
        <w:rPr>
          <w:rFonts w:ascii="Garamond" w:hAnsi="Garamond"/>
          <w:bCs/>
          <w:iCs/>
          <w:sz w:val="20"/>
          <w:szCs w:val="20"/>
          <w:vertAlign w:val="superscript"/>
        </w:rPr>
      </w:pPr>
      <w:r w:rsidRPr="00BE3D43">
        <w:rPr>
          <w:rFonts w:ascii="Garamond" w:hAnsi="Garamond"/>
          <w:bCs/>
          <w:iCs/>
          <w:sz w:val="20"/>
          <w:szCs w:val="20"/>
        </w:rPr>
        <w:t>However, this study is limited to patients regularly monitored within public health facilities in Kénitra, thus excluding those who have discontinued their follow-up or are being treated in the private sector, which may result in a partial representation of the overall diabetic population.</w:t>
      </w:r>
    </w:p>
    <w:p w14:paraId="1150E040" w14:textId="77777777" w:rsidR="00D26169" w:rsidRDefault="00D26169" w:rsidP="00BE3D43">
      <w:pPr>
        <w:spacing w:line="259" w:lineRule="auto"/>
        <w:jc w:val="both"/>
        <w:rPr>
          <w:rFonts w:ascii="Garamond" w:hAnsi="Garamond"/>
          <w:b/>
          <w:i/>
          <w:sz w:val="20"/>
          <w:szCs w:val="20"/>
        </w:rPr>
      </w:pPr>
    </w:p>
    <w:p w14:paraId="43EBD62B" w14:textId="1677E9CB" w:rsidR="00BE3D43" w:rsidRPr="00D26169" w:rsidRDefault="00BE3D43" w:rsidP="00BE3D43">
      <w:pPr>
        <w:spacing w:line="259" w:lineRule="auto"/>
        <w:jc w:val="both"/>
        <w:rPr>
          <w:rFonts w:ascii="Garamond" w:hAnsi="Garamond"/>
          <w:b/>
          <w:i/>
          <w:sz w:val="20"/>
          <w:szCs w:val="20"/>
        </w:rPr>
      </w:pPr>
      <w:r w:rsidRPr="00D26169">
        <w:rPr>
          <w:rFonts w:ascii="Garamond" w:hAnsi="Garamond"/>
          <w:b/>
          <w:i/>
          <w:sz w:val="20"/>
          <w:szCs w:val="20"/>
        </w:rPr>
        <w:t>Implications of the findings of the study</w:t>
      </w:r>
    </w:p>
    <w:p w14:paraId="6BECC8B2" w14:textId="66B7A002" w:rsidR="00BE3D43" w:rsidRPr="00D26169" w:rsidRDefault="00BE3D43" w:rsidP="00BE3D43">
      <w:pPr>
        <w:spacing w:line="259" w:lineRule="auto"/>
        <w:jc w:val="both"/>
        <w:rPr>
          <w:rFonts w:ascii="Garamond" w:hAnsi="Garamond"/>
          <w:bCs/>
          <w:iCs/>
          <w:sz w:val="20"/>
          <w:szCs w:val="20"/>
        </w:rPr>
      </w:pPr>
      <w:r w:rsidRPr="00BE3D43">
        <w:rPr>
          <w:rFonts w:ascii="Garamond" w:hAnsi="Garamond"/>
          <w:bCs/>
          <w:iCs/>
          <w:sz w:val="20"/>
          <w:szCs w:val="20"/>
        </w:rPr>
        <w:t>Therapeutic patient education efforts for diabetic patients in Kénitra should be redirected and specifically targeted at patients with a low level of education, as well as elderly people and housewives whose knowledge and practices remain limited.</w:t>
      </w:r>
    </w:p>
    <w:p w14:paraId="75DC5623" w14:textId="77777777" w:rsidR="00BE3D43" w:rsidRPr="00BE3D43" w:rsidRDefault="00BE3D43" w:rsidP="00BE3D43">
      <w:pPr>
        <w:spacing w:line="259" w:lineRule="auto"/>
        <w:jc w:val="both"/>
        <w:rPr>
          <w:rFonts w:ascii="Garamond" w:hAnsi="Garamond"/>
          <w:bCs/>
          <w:iCs/>
          <w:sz w:val="20"/>
          <w:szCs w:val="20"/>
        </w:rPr>
      </w:pPr>
      <w:r w:rsidRPr="00BE3D43">
        <w:rPr>
          <w:rFonts w:ascii="Garamond" w:hAnsi="Garamond"/>
          <w:bCs/>
          <w:iCs/>
          <w:sz w:val="20"/>
          <w:szCs w:val="20"/>
        </w:rPr>
        <w:t>Similarly, the study highlights the need to decentralize therapeutic patient education for diabetics (ETP) from specialized hospital centers to public healthcare facilities, making therapeutic education more accessible to the local population as well as the national population. It is also necessary to conduct a longitudinal study to follow patients benefiting from therapeutic patient education (TPE) and compare them with those who do not benefit from it.</w:t>
      </w:r>
    </w:p>
    <w:p w14:paraId="24E51029" w14:textId="77777777" w:rsidR="00D26169" w:rsidRDefault="00D26169" w:rsidP="004B5CD3">
      <w:pPr>
        <w:jc w:val="both"/>
        <w:rPr>
          <w:rFonts w:ascii="Garamond" w:hAnsi="Garamond"/>
          <w:b/>
          <w:iCs/>
          <w:sz w:val="20"/>
          <w:szCs w:val="20"/>
        </w:rPr>
      </w:pPr>
    </w:p>
    <w:p w14:paraId="20E17820" w14:textId="434B0390" w:rsidR="00BE3D43" w:rsidRPr="00D26169" w:rsidRDefault="00D26169" w:rsidP="004B5CD3">
      <w:pPr>
        <w:jc w:val="both"/>
        <w:rPr>
          <w:rFonts w:ascii="Garamond" w:hAnsi="Garamond"/>
          <w:b/>
          <w:iCs/>
          <w:sz w:val="22"/>
          <w:szCs w:val="22"/>
        </w:rPr>
      </w:pPr>
      <w:r w:rsidRPr="00D26169">
        <w:rPr>
          <w:rFonts w:ascii="Garamond" w:hAnsi="Garamond"/>
          <w:b/>
          <w:iCs/>
          <w:sz w:val="22"/>
          <w:szCs w:val="22"/>
        </w:rPr>
        <w:t>CONCLUSIONS</w:t>
      </w:r>
    </w:p>
    <w:p w14:paraId="04CA1D66" w14:textId="77777777" w:rsidR="00BE3D43" w:rsidRDefault="00BE3D43" w:rsidP="004B5CD3">
      <w:pPr>
        <w:jc w:val="both"/>
        <w:rPr>
          <w:rFonts w:ascii="Garamond" w:hAnsi="Garamond"/>
          <w:bCs/>
          <w:iCs/>
          <w:sz w:val="20"/>
          <w:szCs w:val="20"/>
        </w:rPr>
      </w:pPr>
      <w:r w:rsidRPr="00BE3D43">
        <w:rPr>
          <w:rFonts w:ascii="Garamond" w:hAnsi="Garamond"/>
          <w:bCs/>
          <w:iCs/>
          <w:sz w:val="20"/>
          <w:szCs w:val="20"/>
        </w:rPr>
        <w:t xml:space="preserve">Therapeutic awareness offers tangible benefits, including rigorous management of blood sugar levels, improvement in mental and psychological health, </w:t>
      </w:r>
      <w:r w:rsidRPr="00BE3D43">
        <w:rPr>
          <w:rFonts w:ascii="Garamond" w:hAnsi="Garamond"/>
          <w:bCs/>
          <w:iCs/>
          <w:sz w:val="20"/>
          <w:szCs w:val="20"/>
        </w:rPr>
        <w:t>strengthening of self-care habits, and a reduction in the use of health services. According to the results of this study, the sample studied appears to be sufficiently aware of the risk of diabetes-related complications, which is why they strive to maintain stable blood sugar levels. However, some lack attention to disinfecting the insulin injection site and daily blood sugar monitoring, highlighting the need to remind and raise awareness about the importance of this glycemic control and cleaning the insulin injection site due to potential infections it could cause.</w:t>
      </w:r>
    </w:p>
    <w:p w14:paraId="3B793CD0" w14:textId="77777777" w:rsidR="00D26169" w:rsidRDefault="00D26169" w:rsidP="004B5CD3">
      <w:pPr>
        <w:jc w:val="both"/>
        <w:rPr>
          <w:rFonts w:ascii="Garamond" w:hAnsi="Garamond"/>
          <w:bCs/>
          <w:iCs/>
          <w:sz w:val="20"/>
          <w:szCs w:val="20"/>
        </w:rPr>
      </w:pPr>
    </w:p>
    <w:p w14:paraId="7C1A59A7" w14:textId="2970CC8B" w:rsidR="00D26169" w:rsidRPr="00D26169" w:rsidRDefault="00D26169" w:rsidP="004B5CD3">
      <w:pPr>
        <w:jc w:val="both"/>
        <w:rPr>
          <w:rFonts w:ascii="Garamond" w:hAnsi="Garamond"/>
          <w:b/>
          <w:iCs/>
          <w:sz w:val="22"/>
          <w:szCs w:val="22"/>
        </w:rPr>
      </w:pPr>
      <w:r w:rsidRPr="00D26169">
        <w:rPr>
          <w:rFonts w:ascii="Garamond" w:hAnsi="Garamond"/>
          <w:b/>
          <w:iCs/>
          <w:sz w:val="22"/>
          <w:szCs w:val="22"/>
        </w:rPr>
        <w:t xml:space="preserve">Declarations </w:t>
      </w:r>
    </w:p>
    <w:p w14:paraId="390FA11B" w14:textId="1D205E00" w:rsidR="00BE3D43" w:rsidRDefault="00BE3D43" w:rsidP="004B5CD3">
      <w:pPr>
        <w:jc w:val="both"/>
        <w:rPr>
          <w:rFonts w:ascii="Garamond" w:hAnsi="Garamond"/>
          <w:bCs/>
          <w:iCs/>
          <w:sz w:val="20"/>
          <w:szCs w:val="20"/>
        </w:rPr>
      </w:pPr>
      <w:r w:rsidRPr="00D26169">
        <w:rPr>
          <w:rFonts w:ascii="Garamond" w:hAnsi="Garamond"/>
          <w:b/>
          <w:i/>
          <w:sz w:val="20"/>
          <w:szCs w:val="20"/>
        </w:rPr>
        <w:t>Acknowledgement</w:t>
      </w:r>
      <w:r w:rsidR="00D26169" w:rsidRPr="00D26169">
        <w:rPr>
          <w:rFonts w:ascii="Garamond" w:hAnsi="Garamond"/>
          <w:b/>
          <w:i/>
          <w:sz w:val="20"/>
          <w:szCs w:val="20"/>
        </w:rPr>
        <w:t>:</w:t>
      </w:r>
      <w:r w:rsidR="00D26169">
        <w:rPr>
          <w:rFonts w:ascii="Garamond" w:hAnsi="Garamond"/>
          <w:bCs/>
          <w:iCs/>
          <w:sz w:val="20"/>
          <w:szCs w:val="20"/>
        </w:rPr>
        <w:t xml:space="preserve"> </w:t>
      </w:r>
      <w:r w:rsidRPr="00BE3D43">
        <w:rPr>
          <w:rFonts w:ascii="Garamond" w:hAnsi="Garamond"/>
          <w:bCs/>
          <w:iCs/>
          <w:sz w:val="20"/>
          <w:szCs w:val="20"/>
        </w:rPr>
        <w:t>We would like to thank all the participants for their valuable contributions. This survey provides relevant and enlightening information on the subject studied.</w:t>
      </w:r>
    </w:p>
    <w:p w14:paraId="75BE6BCE" w14:textId="7E736EF6" w:rsidR="00D26169" w:rsidRPr="00BE3D43" w:rsidRDefault="00D26169" w:rsidP="004B5CD3">
      <w:pPr>
        <w:jc w:val="both"/>
        <w:rPr>
          <w:rFonts w:ascii="Garamond" w:hAnsi="Garamond"/>
          <w:bCs/>
          <w:iCs/>
          <w:sz w:val="20"/>
          <w:szCs w:val="20"/>
        </w:rPr>
      </w:pPr>
      <w:r w:rsidRPr="00D26169">
        <w:rPr>
          <w:rFonts w:ascii="Garamond" w:hAnsi="Garamond"/>
          <w:b/>
          <w:i/>
          <w:sz w:val="20"/>
          <w:szCs w:val="20"/>
        </w:rPr>
        <w:t>Conflict of interest</w:t>
      </w:r>
      <w:r>
        <w:rPr>
          <w:rFonts w:ascii="Garamond" w:hAnsi="Garamond"/>
          <w:bCs/>
          <w:iCs/>
          <w:sz w:val="20"/>
          <w:szCs w:val="20"/>
        </w:rPr>
        <w:t xml:space="preserve"> </w:t>
      </w:r>
      <w:r w:rsidR="00387D94">
        <w:rPr>
          <w:rFonts w:ascii="Garamond" w:hAnsi="Garamond"/>
          <w:bCs/>
          <w:iCs/>
          <w:sz w:val="20"/>
          <w:szCs w:val="20"/>
        </w:rPr>
        <w:t>- None</w:t>
      </w:r>
    </w:p>
    <w:p w14:paraId="73C9D614" w14:textId="77777777" w:rsidR="00BE3D43" w:rsidRPr="00BE3D43" w:rsidRDefault="00BE3D43" w:rsidP="004B5CD3">
      <w:pPr>
        <w:jc w:val="both"/>
        <w:rPr>
          <w:rFonts w:ascii="Garamond" w:hAnsi="Garamond"/>
          <w:bCs/>
          <w:iCs/>
          <w:sz w:val="20"/>
          <w:szCs w:val="20"/>
        </w:rPr>
      </w:pPr>
    </w:p>
    <w:p w14:paraId="2126A2CC" w14:textId="0441F1A9" w:rsidR="00BE3D43" w:rsidRPr="00BE3D43" w:rsidRDefault="00D26169" w:rsidP="004B5CD3">
      <w:pPr>
        <w:jc w:val="both"/>
        <w:rPr>
          <w:rFonts w:ascii="Garamond" w:hAnsi="Garamond"/>
          <w:b/>
          <w:iCs/>
          <w:sz w:val="22"/>
          <w:szCs w:val="22"/>
        </w:rPr>
      </w:pPr>
      <w:r w:rsidRPr="00BE3D43">
        <w:rPr>
          <w:rFonts w:ascii="Garamond" w:hAnsi="Garamond"/>
          <w:b/>
          <w:iCs/>
          <w:sz w:val="22"/>
          <w:szCs w:val="22"/>
        </w:rPr>
        <w:t>REFERENCES</w:t>
      </w:r>
    </w:p>
    <w:p w14:paraId="62402461"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Mantri N, Goel A D, Patel M, Baskaran P, Dutta G, Gupta MK, &amp; Bhardwaj P. National and regional prevalence of gestational diabetes mellitus in India: a systematic review and Meta-analysis. BMC Public Health. 2024; 24(1): 527. </w:t>
      </w:r>
      <w:hyperlink r:id="rId27" w:history="1">
        <w:r w:rsidRPr="00D26169">
          <w:rPr>
            <w:rStyle w:val="Hyperlink"/>
            <w:rFonts w:ascii="Garamond" w:hAnsi="Garamond"/>
            <w:sz w:val="20"/>
            <w:szCs w:val="20"/>
          </w:rPr>
          <w:t>https://doi.org/10.1186/s12889-024-18024-9</w:t>
        </w:r>
      </w:hyperlink>
    </w:p>
    <w:p w14:paraId="51C086E3"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Almalki WH, Khan M S. Burden of diabetes mellitus on health and economy of the Arab world: current situation and perspectives. Journal of Public Health. 2025: 1-20. </w:t>
      </w:r>
      <w:hyperlink r:id="rId28" w:history="1">
        <w:r w:rsidRPr="00D26169">
          <w:rPr>
            <w:rStyle w:val="Hyperlink"/>
            <w:rFonts w:ascii="Garamond" w:hAnsi="Garamond"/>
            <w:sz w:val="20"/>
            <w:szCs w:val="20"/>
          </w:rPr>
          <w:t>https://doi.org/10.1007/s10389-025-02448-7</w:t>
        </w:r>
      </w:hyperlink>
    </w:p>
    <w:p w14:paraId="620390A6"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Bansode B, Nagarajan R. Diabetes: A review of awareness, comorbidities, and quality of life in India. Journal of social health and diabetes. 2017; 5(02): 77-82. </w:t>
      </w:r>
      <w:hyperlink r:id="rId29" w:history="1">
        <w:r w:rsidRPr="00D26169">
          <w:rPr>
            <w:rStyle w:val="Hyperlink"/>
            <w:rFonts w:ascii="Garamond" w:hAnsi="Garamond"/>
            <w:sz w:val="20"/>
            <w:szCs w:val="20"/>
          </w:rPr>
          <w:t>https://doi.org/10.1055/s-0038-1676248</w:t>
        </w:r>
      </w:hyperlink>
    </w:p>
    <w:p w14:paraId="3DD11682" w14:textId="77777777" w:rsidR="00BE3D43" w:rsidRPr="00D26169" w:rsidRDefault="00BE3D43" w:rsidP="00D26169">
      <w:pPr>
        <w:numPr>
          <w:ilvl w:val="0"/>
          <w:numId w:val="30"/>
        </w:numPr>
        <w:ind w:left="284"/>
        <w:rPr>
          <w:rFonts w:ascii="Garamond" w:hAnsi="Garamond"/>
          <w:sz w:val="20"/>
          <w:szCs w:val="20"/>
        </w:rPr>
      </w:pPr>
      <w:proofErr w:type="spellStart"/>
      <w:r w:rsidRPr="00D26169">
        <w:rPr>
          <w:rFonts w:ascii="Garamond" w:hAnsi="Garamond"/>
          <w:sz w:val="20"/>
          <w:szCs w:val="20"/>
        </w:rPr>
        <w:t>Alanezi</w:t>
      </w:r>
      <w:proofErr w:type="spellEnd"/>
      <w:r w:rsidRPr="00D26169">
        <w:rPr>
          <w:rFonts w:ascii="Garamond" w:hAnsi="Garamond"/>
          <w:sz w:val="20"/>
          <w:szCs w:val="20"/>
        </w:rPr>
        <w:t xml:space="preserve"> AA. The role of pharmacological interventions in optimizing glycemic control and reducing complications in diabetes mellitus: Current insights and future directions. Revista </w:t>
      </w:r>
      <w:proofErr w:type="spellStart"/>
      <w:r w:rsidRPr="00D26169">
        <w:rPr>
          <w:rFonts w:ascii="Garamond" w:hAnsi="Garamond"/>
          <w:sz w:val="20"/>
          <w:szCs w:val="20"/>
        </w:rPr>
        <w:t>iberoamericana</w:t>
      </w:r>
      <w:proofErr w:type="spellEnd"/>
      <w:r w:rsidRPr="00D26169">
        <w:rPr>
          <w:rFonts w:ascii="Garamond" w:hAnsi="Garamond"/>
          <w:sz w:val="20"/>
          <w:szCs w:val="20"/>
        </w:rPr>
        <w:t xml:space="preserve"> de </w:t>
      </w:r>
      <w:proofErr w:type="spellStart"/>
      <w:r w:rsidRPr="00D26169">
        <w:rPr>
          <w:rFonts w:ascii="Garamond" w:hAnsi="Garamond"/>
          <w:sz w:val="20"/>
          <w:szCs w:val="20"/>
        </w:rPr>
        <w:t>psicología</w:t>
      </w:r>
      <w:proofErr w:type="spellEnd"/>
      <w:r w:rsidRPr="00D26169">
        <w:rPr>
          <w:rFonts w:ascii="Garamond" w:hAnsi="Garamond"/>
          <w:sz w:val="20"/>
          <w:szCs w:val="20"/>
        </w:rPr>
        <w:t xml:space="preserve"> del </w:t>
      </w:r>
      <w:proofErr w:type="spellStart"/>
      <w:r w:rsidRPr="00D26169">
        <w:rPr>
          <w:rFonts w:ascii="Garamond" w:hAnsi="Garamond"/>
          <w:sz w:val="20"/>
          <w:szCs w:val="20"/>
        </w:rPr>
        <w:t>ejercicio</w:t>
      </w:r>
      <w:proofErr w:type="spellEnd"/>
      <w:r w:rsidRPr="00D26169">
        <w:rPr>
          <w:rFonts w:ascii="Garamond" w:hAnsi="Garamond"/>
          <w:sz w:val="20"/>
          <w:szCs w:val="20"/>
        </w:rPr>
        <w:t xml:space="preserve"> y </w:t>
      </w:r>
      <w:proofErr w:type="spellStart"/>
      <w:r w:rsidRPr="00D26169">
        <w:rPr>
          <w:rFonts w:ascii="Garamond" w:hAnsi="Garamond"/>
          <w:sz w:val="20"/>
          <w:szCs w:val="20"/>
        </w:rPr>
        <w:t>el</w:t>
      </w:r>
      <w:proofErr w:type="spellEnd"/>
      <w:r w:rsidRPr="00D26169">
        <w:rPr>
          <w:rFonts w:ascii="Garamond" w:hAnsi="Garamond"/>
          <w:sz w:val="20"/>
          <w:szCs w:val="20"/>
        </w:rPr>
        <w:t xml:space="preserve"> </w:t>
      </w:r>
      <w:proofErr w:type="spellStart"/>
      <w:r w:rsidRPr="00D26169">
        <w:rPr>
          <w:rFonts w:ascii="Garamond" w:hAnsi="Garamond"/>
          <w:sz w:val="20"/>
          <w:szCs w:val="20"/>
        </w:rPr>
        <w:t>deporte</w:t>
      </w:r>
      <w:proofErr w:type="spellEnd"/>
      <w:r w:rsidRPr="00D26169">
        <w:rPr>
          <w:rFonts w:ascii="Garamond" w:hAnsi="Garamond"/>
          <w:sz w:val="20"/>
          <w:szCs w:val="20"/>
        </w:rPr>
        <w:t>. 2025; 20(1): 98-106.</w:t>
      </w:r>
    </w:p>
    <w:p w14:paraId="195949C7" w14:textId="77777777" w:rsidR="00BE3D43" w:rsidRPr="00D26169" w:rsidRDefault="00BE3D43" w:rsidP="00D26169">
      <w:pPr>
        <w:numPr>
          <w:ilvl w:val="0"/>
          <w:numId w:val="30"/>
        </w:numPr>
        <w:ind w:left="284"/>
        <w:rPr>
          <w:rFonts w:ascii="Garamond" w:hAnsi="Garamond"/>
          <w:sz w:val="20"/>
          <w:szCs w:val="20"/>
        </w:rPr>
      </w:pPr>
      <w:proofErr w:type="spellStart"/>
      <w:r w:rsidRPr="00D26169">
        <w:rPr>
          <w:rFonts w:ascii="Garamond" w:hAnsi="Garamond"/>
          <w:sz w:val="20"/>
          <w:szCs w:val="20"/>
        </w:rPr>
        <w:t>Essellouti</w:t>
      </w:r>
      <w:proofErr w:type="spellEnd"/>
      <w:r w:rsidRPr="00D26169">
        <w:rPr>
          <w:rFonts w:ascii="Garamond" w:hAnsi="Garamond"/>
          <w:sz w:val="20"/>
          <w:szCs w:val="20"/>
        </w:rPr>
        <w:t xml:space="preserve"> J, Bassiri M, </w:t>
      </w:r>
      <w:proofErr w:type="spellStart"/>
      <w:r w:rsidRPr="00D26169">
        <w:rPr>
          <w:rFonts w:ascii="Garamond" w:hAnsi="Garamond"/>
          <w:sz w:val="20"/>
          <w:szCs w:val="20"/>
        </w:rPr>
        <w:t>Tridane</w:t>
      </w:r>
      <w:proofErr w:type="spellEnd"/>
      <w:r w:rsidRPr="00D26169">
        <w:rPr>
          <w:rFonts w:ascii="Garamond" w:hAnsi="Garamond"/>
          <w:sz w:val="20"/>
          <w:szCs w:val="20"/>
        </w:rPr>
        <w:t xml:space="preserve"> M, </w:t>
      </w:r>
      <w:proofErr w:type="spellStart"/>
      <w:r w:rsidRPr="00D26169">
        <w:rPr>
          <w:rFonts w:ascii="Garamond" w:hAnsi="Garamond"/>
          <w:sz w:val="20"/>
          <w:szCs w:val="20"/>
        </w:rPr>
        <w:t>Belaaouad</w:t>
      </w:r>
      <w:proofErr w:type="spellEnd"/>
      <w:r w:rsidRPr="00D26169">
        <w:rPr>
          <w:rFonts w:ascii="Garamond" w:hAnsi="Garamond"/>
          <w:sz w:val="20"/>
          <w:szCs w:val="20"/>
        </w:rPr>
        <w:t xml:space="preserve"> S. Modeling engineering of therapeutic education approaches for diabetic patients and quality of the support and human resources management process: Towards a new challenge in the management of public health. Journal of Information Technology Management. 2021; 13(Special Issue: Advanced Innovation Topics in Business and Management): 48-65. </w:t>
      </w:r>
      <w:hyperlink r:id="rId30" w:history="1">
        <w:r w:rsidRPr="00D26169">
          <w:rPr>
            <w:rStyle w:val="Hyperlink"/>
            <w:rFonts w:ascii="Garamond" w:hAnsi="Garamond"/>
            <w:sz w:val="20"/>
            <w:szCs w:val="20"/>
          </w:rPr>
          <w:t>https://doi.org/</w:t>
        </w:r>
      </w:hyperlink>
      <w:hyperlink r:id="rId31" w:history="1">
        <w:r w:rsidRPr="00D26169">
          <w:rPr>
            <w:rStyle w:val="Hyperlink"/>
            <w:rFonts w:ascii="Garamond" w:hAnsi="Garamond"/>
            <w:sz w:val="20"/>
            <w:szCs w:val="20"/>
          </w:rPr>
          <w:t>10.22059/jitm.2021.82604</w:t>
        </w:r>
      </w:hyperlink>
    </w:p>
    <w:p w14:paraId="117014E3"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Khalan YA, Kaveh MH, Karimi M, Zare E, Asadollahi A. The effectiveness of a transtheoretical </w:t>
      </w:r>
      <w:r w:rsidRPr="00D26169">
        <w:rPr>
          <w:rFonts w:ascii="Garamond" w:hAnsi="Garamond"/>
          <w:sz w:val="20"/>
          <w:szCs w:val="20"/>
        </w:rPr>
        <w:lastRenderedPageBreak/>
        <w:t xml:space="preserve">model based on health education intervention on adherence to methadone maintenance treatment: a quasi-experimental study. BMC Public Health. 2025; 25(1): 856. </w:t>
      </w:r>
      <w:hyperlink r:id="rId32" w:history="1">
        <w:r w:rsidRPr="00D26169">
          <w:rPr>
            <w:rStyle w:val="Hyperlink"/>
            <w:rFonts w:ascii="Garamond" w:hAnsi="Garamond"/>
            <w:sz w:val="20"/>
            <w:szCs w:val="20"/>
          </w:rPr>
          <w:t>https://doi.org/10.1186/s12889-025-22067-x</w:t>
        </w:r>
      </w:hyperlink>
    </w:p>
    <w:p w14:paraId="13DE07C8" w14:textId="77777777" w:rsidR="00BE3D43" w:rsidRPr="00D26169" w:rsidRDefault="00BE3D43" w:rsidP="00D26169">
      <w:pPr>
        <w:numPr>
          <w:ilvl w:val="0"/>
          <w:numId w:val="30"/>
        </w:numPr>
        <w:ind w:left="284"/>
        <w:rPr>
          <w:rFonts w:ascii="Garamond" w:hAnsi="Garamond"/>
          <w:sz w:val="20"/>
          <w:szCs w:val="20"/>
        </w:rPr>
      </w:pPr>
      <w:proofErr w:type="spellStart"/>
      <w:r w:rsidRPr="00D26169">
        <w:rPr>
          <w:rFonts w:ascii="Garamond" w:hAnsi="Garamond"/>
          <w:sz w:val="20"/>
          <w:szCs w:val="20"/>
        </w:rPr>
        <w:t>Dankoly</w:t>
      </w:r>
      <w:proofErr w:type="spellEnd"/>
      <w:r w:rsidRPr="00D26169">
        <w:rPr>
          <w:rFonts w:ascii="Garamond" w:hAnsi="Garamond"/>
          <w:sz w:val="20"/>
          <w:szCs w:val="20"/>
        </w:rPr>
        <w:t xml:space="preserve"> US, Vissers D, El Mostafa SB, </w:t>
      </w:r>
      <w:proofErr w:type="spellStart"/>
      <w:r w:rsidRPr="00D26169">
        <w:rPr>
          <w:rFonts w:ascii="Garamond" w:hAnsi="Garamond"/>
          <w:sz w:val="20"/>
          <w:szCs w:val="20"/>
        </w:rPr>
        <w:t>Ziyyat</w:t>
      </w:r>
      <w:proofErr w:type="spellEnd"/>
      <w:r w:rsidRPr="00D26169">
        <w:rPr>
          <w:rFonts w:ascii="Garamond" w:hAnsi="Garamond"/>
          <w:sz w:val="20"/>
          <w:szCs w:val="20"/>
        </w:rPr>
        <w:t xml:space="preserve"> A, Van Rompaey B, Van </w:t>
      </w:r>
      <w:proofErr w:type="spellStart"/>
      <w:r w:rsidRPr="00D26169">
        <w:rPr>
          <w:rFonts w:ascii="Garamond" w:hAnsi="Garamond"/>
          <w:sz w:val="20"/>
          <w:szCs w:val="20"/>
        </w:rPr>
        <w:t>Royen</w:t>
      </w:r>
      <w:proofErr w:type="spellEnd"/>
      <w:r w:rsidRPr="00D26169">
        <w:rPr>
          <w:rFonts w:ascii="Garamond" w:hAnsi="Garamond"/>
          <w:sz w:val="20"/>
          <w:szCs w:val="20"/>
        </w:rPr>
        <w:t xml:space="preserve"> P, Maamri A. Perceived barriers, benefits, facilitators, and attitudes of health professionals towards type 2 diabetes management in Oujda, Morocco: a qualitative focus group study. International Journal for Equity in Health. 2023; 22(1): 29. </w:t>
      </w:r>
      <w:hyperlink r:id="rId33" w:history="1">
        <w:r w:rsidRPr="00D26169">
          <w:rPr>
            <w:rStyle w:val="Hyperlink"/>
            <w:rFonts w:ascii="Garamond" w:hAnsi="Garamond"/>
            <w:sz w:val="20"/>
            <w:szCs w:val="20"/>
          </w:rPr>
          <w:t>https://doi.org/10.1186/s12939-023-01826-5</w:t>
        </w:r>
      </w:hyperlink>
    </w:p>
    <w:p w14:paraId="47DD49CA"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Noor S, Khan RU, Ahmad J. Understanding diabetic foot infection and its management. Diabetes &amp; Metabolic Syndrome: Clinical Research &amp; Reviews. 2017; 11(2): 149-156. </w:t>
      </w:r>
      <w:hyperlink r:id="rId34" w:tgtFrame="_blank" w:tooltip="Persistent link using digital object identifier" w:history="1">
        <w:r w:rsidRPr="00D26169">
          <w:rPr>
            <w:rStyle w:val="Hyperlink"/>
            <w:rFonts w:ascii="Garamond" w:hAnsi="Garamond"/>
            <w:sz w:val="20"/>
            <w:szCs w:val="20"/>
          </w:rPr>
          <w:t>https://doi.org/10.1016/j.dsx.2016.06.023</w:t>
        </w:r>
      </w:hyperlink>
    </w:p>
    <w:p w14:paraId="0F64A4D3"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Papapetrou I, Swiecicka A. The impact of COVID-19 pandemic on the incidence, presentation, and management of type 1 diabetes in children and adolescents: a narrative review. Hormones. 2025: 1-12. </w:t>
      </w:r>
      <w:hyperlink r:id="rId35" w:history="1">
        <w:r w:rsidRPr="00D26169">
          <w:rPr>
            <w:rStyle w:val="Hyperlink"/>
            <w:rFonts w:ascii="Garamond" w:hAnsi="Garamond"/>
            <w:sz w:val="20"/>
            <w:szCs w:val="20"/>
          </w:rPr>
          <w:t>https://doi.org/10.1007/s42000-025-00662-2</w:t>
        </w:r>
      </w:hyperlink>
    </w:p>
    <w:p w14:paraId="2313EF59"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Pokhrel A, Chong KT, Tayara H. Therapeutic potential of curcuminoids in type 2 diabetes mellitus (T2DM): Insights from network pharmacology, molecular docking, and dynamics simulations. Food Bioscience. 2025:  106406. </w:t>
      </w:r>
      <w:hyperlink r:id="rId36" w:tgtFrame="_blank" w:tooltip="Persistent link using digital object identifier" w:history="1">
        <w:r w:rsidRPr="00D26169">
          <w:rPr>
            <w:rStyle w:val="Hyperlink"/>
            <w:rFonts w:ascii="Garamond" w:hAnsi="Garamond"/>
            <w:sz w:val="20"/>
            <w:szCs w:val="20"/>
          </w:rPr>
          <w:t>https://doi.org/10.1016/j.fbio.2025.106406</w:t>
        </w:r>
      </w:hyperlink>
    </w:p>
    <w:p w14:paraId="4ED1E1C1" w14:textId="77777777" w:rsidR="00BE3D43" w:rsidRPr="00D26169" w:rsidRDefault="00BE3D43" w:rsidP="00D26169">
      <w:pPr>
        <w:numPr>
          <w:ilvl w:val="0"/>
          <w:numId w:val="30"/>
        </w:numPr>
        <w:ind w:left="284"/>
        <w:rPr>
          <w:rFonts w:ascii="Garamond" w:hAnsi="Garamond"/>
          <w:sz w:val="20"/>
          <w:szCs w:val="20"/>
          <w:u w:val="single"/>
        </w:rPr>
      </w:pPr>
      <w:proofErr w:type="spellStart"/>
      <w:r w:rsidRPr="00D26169">
        <w:rPr>
          <w:rFonts w:ascii="Garamond" w:hAnsi="Garamond"/>
          <w:sz w:val="20"/>
          <w:szCs w:val="20"/>
        </w:rPr>
        <w:t>Berbudi</w:t>
      </w:r>
      <w:proofErr w:type="spellEnd"/>
      <w:r w:rsidRPr="00D26169">
        <w:rPr>
          <w:rFonts w:ascii="Garamond" w:hAnsi="Garamond"/>
          <w:sz w:val="20"/>
          <w:szCs w:val="20"/>
        </w:rPr>
        <w:t xml:space="preserve"> A, </w:t>
      </w:r>
      <w:proofErr w:type="spellStart"/>
      <w:r w:rsidRPr="00D26169">
        <w:rPr>
          <w:rFonts w:ascii="Garamond" w:hAnsi="Garamond"/>
          <w:sz w:val="20"/>
          <w:szCs w:val="20"/>
        </w:rPr>
        <w:t>Khairani</w:t>
      </w:r>
      <w:proofErr w:type="spellEnd"/>
      <w:r w:rsidRPr="00D26169">
        <w:rPr>
          <w:rFonts w:ascii="Garamond" w:hAnsi="Garamond"/>
          <w:sz w:val="20"/>
          <w:szCs w:val="20"/>
        </w:rPr>
        <w:t xml:space="preserve"> S, Tjahjadi AI. Interplay Between Insulin Resistance and Immune Dysregulation in Type 2 Diabetes Mellitus: Implications for Therapeutic Interventions. </w:t>
      </w:r>
      <w:proofErr w:type="spellStart"/>
      <w:r w:rsidRPr="00D26169">
        <w:rPr>
          <w:rFonts w:ascii="Garamond" w:hAnsi="Garamond"/>
          <w:sz w:val="20"/>
          <w:szCs w:val="20"/>
        </w:rPr>
        <w:t>ImmunoTargets</w:t>
      </w:r>
      <w:proofErr w:type="spellEnd"/>
      <w:r w:rsidRPr="00D26169">
        <w:rPr>
          <w:rFonts w:ascii="Garamond" w:hAnsi="Garamond"/>
          <w:sz w:val="20"/>
          <w:szCs w:val="20"/>
        </w:rPr>
        <w:t xml:space="preserve"> and Therapy. 2025; 14: 359-382. </w:t>
      </w:r>
      <w:hyperlink r:id="rId37" w:history="1">
        <w:r w:rsidRPr="00D26169">
          <w:rPr>
            <w:rStyle w:val="Hyperlink"/>
            <w:rFonts w:ascii="Garamond" w:hAnsi="Garamond"/>
            <w:sz w:val="20"/>
            <w:szCs w:val="20"/>
          </w:rPr>
          <w:t>https://doi.org/10.2147/ITT.S499605</w:t>
        </w:r>
      </w:hyperlink>
    </w:p>
    <w:p w14:paraId="64CE7A55"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Stehouwer CD. Microvascular dysfunction and hyperglycemia: a vicious cycle with widespread consequences. Diabetes.  2018; 67(9): 1729-1741. </w:t>
      </w:r>
      <w:hyperlink r:id="rId38" w:tgtFrame="_blank" w:history="1">
        <w:r w:rsidRPr="00D26169">
          <w:rPr>
            <w:rStyle w:val="Hyperlink"/>
            <w:rFonts w:ascii="Garamond" w:hAnsi="Garamond"/>
            <w:sz w:val="20"/>
            <w:szCs w:val="20"/>
          </w:rPr>
          <w:t>https://doi.org/10.2337/dbi17-0044</w:t>
        </w:r>
      </w:hyperlink>
    </w:p>
    <w:p w14:paraId="60380B2F"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González P, Lozano P, Ros G, Solano F. Hyperglycemia and oxidative stress: an integral, updated and critical overview of their metabolic interconnections. International journal of molecular sciences.</w:t>
      </w:r>
      <w:r w:rsidRPr="00D26169">
        <w:rPr>
          <w:rFonts w:ascii="Garamond" w:hAnsi="Garamond"/>
          <w:sz w:val="20"/>
          <w:szCs w:val="20"/>
          <w:lang w:val="fr-MA"/>
        </w:rPr>
        <w:t xml:space="preserve"> 2023 ;</w:t>
      </w:r>
      <w:r w:rsidRPr="00D26169">
        <w:rPr>
          <w:rFonts w:ascii="Garamond" w:hAnsi="Garamond"/>
          <w:sz w:val="20"/>
          <w:szCs w:val="20"/>
        </w:rPr>
        <w:t xml:space="preserve"> 24(11) : 9352. </w:t>
      </w:r>
      <w:hyperlink r:id="rId39" w:history="1">
        <w:r w:rsidRPr="00D26169">
          <w:rPr>
            <w:rStyle w:val="Hyperlink"/>
            <w:rFonts w:ascii="Garamond" w:hAnsi="Garamond"/>
            <w:sz w:val="20"/>
            <w:szCs w:val="20"/>
          </w:rPr>
          <w:t>https://doi.org/ 10.3390/ijms24119352</w:t>
        </w:r>
      </w:hyperlink>
    </w:p>
    <w:p w14:paraId="6111F106"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lang w:val="fr-MA"/>
        </w:rPr>
        <w:t xml:space="preserve">Zakir M, </w:t>
      </w:r>
      <w:proofErr w:type="spellStart"/>
      <w:r w:rsidRPr="00D26169">
        <w:rPr>
          <w:rFonts w:ascii="Garamond" w:hAnsi="Garamond"/>
          <w:sz w:val="20"/>
          <w:szCs w:val="20"/>
          <w:lang w:val="fr-MA"/>
        </w:rPr>
        <w:t>Ahuja</w:t>
      </w:r>
      <w:proofErr w:type="spellEnd"/>
      <w:r w:rsidRPr="00D26169">
        <w:rPr>
          <w:rFonts w:ascii="Garamond" w:hAnsi="Garamond"/>
          <w:sz w:val="20"/>
          <w:szCs w:val="20"/>
          <w:lang w:val="fr-MA"/>
        </w:rPr>
        <w:t xml:space="preserve"> N, </w:t>
      </w:r>
      <w:proofErr w:type="spellStart"/>
      <w:r w:rsidRPr="00D26169">
        <w:rPr>
          <w:rFonts w:ascii="Garamond" w:hAnsi="Garamond"/>
          <w:sz w:val="20"/>
          <w:szCs w:val="20"/>
          <w:lang w:val="fr-MA"/>
        </w:rPr>
        <w:t>Surksha</w:t>
      </w:r>
      <w:proofErr w:type="spellEnd"/>
      <w:r w:rsidRPr="00D26169">
        <w:rPr>
          <w:rFonts w:ascii="Garamond" w:hAnsi="Garamond"/>
          <w:sz w:val="20"/>
          <w:szCs w:val="20"/>
          <w:lang w:val="fr-MA"/>
        </w:rPr>
        <w:t xml:space="preserve"> MA, </w:t>
      </w:r>
      <w:proofErr w:type="spellStart"/>
      <w:r w:rsidRPr="00D26169">
        <w:rPr>
          <w:rFonts w:ascii="Garamond" w:hAnsi="Garamond"/>
          <w:sz w:val="20"/>
          <w:szCs w:val="20"/>
          <w:lang w:val="fr-MA"/>
        </w:rPr>
        <w:t>Sachdev</w:t>
      </w:r>
      <w:proofErr w:type="spellEnd"/>
      <w:r w:rsidRPr="00D26169">
        <w:rPr>
          <w:rFonts w:ascii="Garamond" w:hAnsi="Garamond"/>
          <w:sz w:val="20"/>
          <w:szCs w:val="20"/>
          <w:lang w:val="fr-MA"/>
        </w:rPr>
        <w:t xml:space="preserve"> R, </w:t>
      </w:r>
      <w:proofErr w:type="spellStart"/>
      <w:r w:rsidRPr="00D26169">
        <w:rPr>
          <w:rFonts w:ascii="Garamond" w:hAnsi="Garamond"/>
          <w:sz w:val="20"/>
          <w:szCs w:val="20"/>
          <w:lang w:val="fr-MA"/>
        </w:rPr>
        <w:t>Kalariya</w:t>
      </w:r>
      <w:proofErr w:type="spellEnd"/>
      <w:r w:rsidRPr="00D26169">
        <w:rPr>
          <w:rFonts w:ascii="Garamond" w:hAnsi="Garamond"/>
          <w:sz w:val="20"/>
          <w:szCs w:val="20"/>
          <w:lang w:val="fr-MA"/>
        </w:rPr>
        <w:t xml:space="preserve"> Y, Nasir M, ... </w:t>
      </w:r>
      <w:r w:rsidRPr="00D26169">
        <w:rPr>
          <w:rFonts w:ascii="Garamond" w:hAnsi="Garamond"/>
          <w:sz w:val="20"/>
          <w:szCs w:val="20"/>
        </w:rPr>
        <w:t xml:space="preserve">&amp; Ali M. Cardiovascular complications of diabetes: from microvascular to macrovascular pathways. Cureus. 2023; 15(9): e45835. </w:t>
      </w:r>
      <w:hyperlink r:id="rId40" w:history="1">
        <w:r w:rsidRPr="00D26169">
          <w:rPr>
            <w:rStyle w:val="Hyperlink"/>
            <w:rFonts w:ascii="Garamond" w:hAnsi="Garamond"/>
            <w:sz w:val="20"/>
            <w:szCs w:val="20"/>
          </w:rPr>
          <w:t>https://doi.org/10.7759/cureus.45835</w:t>
        </w:r>
      </w:hyperlink>
    </w:p>
    <w:p w14:paraId="0858630D" w14:textId="65C022BB"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Lu Y, Wang W, Liu J, Xie M, Liu Q, Li S. Vascular complications of diabetes: A narrative </w:t>
      </w:r>
      <w:r w:rsidRPr="00D26169">
        <w:rPr>
          <w:rFonts w:ascii="Garamond" w:hAnsi="Garamond"/>
          <w:sz w:val="20"/>
          <w:szCs w:val="20"/>
        </w:rPr>
        <w:t xml:space="preserve">review. Medicine. 2023; 102(40): e35285. </w:t>
      </w:r>
      <w:hyperlink r:id="rId41" w:history="1">
        <w:r w:rsidRPr="00D26169">
          <w:rPr>
            <w:rStyle w:val="Hyperlink"/>
            <w:rFonts w:ascii="Garamond" w:hAnsi="Garamond"/>
            <w:sz w:val="20"/>
            <w:szCs w:val="20"/>
          </w:rPr>
          <w:t>http://dx.doi.org/10.1097/MD.0000000000035285</w:t>
        </w:r>
      </w:hyperlink>
    </w:p>
    <w:p w14:paraId="41DCA477"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Sharma P, Behl T, Sharma N, Singh S, Grewal AS, </w:t>
      </w:r>
      <w:proofErr w:type="spellStart"/>
      <w:r w:rsidRPr="00D26169">
        <w:rPr>
          <w:rFonts w:ascii="Garamond" w:hAnsi="Garamond"/>
          <w:sz w:val="20"/>
          <w:szCs w:val="20"/>
        </w:rPr>
        <w:t>Albarrati</w:t>
      </w:r>
      <w:proofErr w:type="spellEnd"/>
      <w:r w:rsidRPr="00D26169">
        <w:rPr>
          <w:rFonts w:ascii="Garamond" w:hAnsi="Garamond"/>
          <w:sz w:val="20"/>
          <w:szCs w:val="20"/>
        </w:rPr>
        <w:t xml:space="preserve"> A, ... &amp; </w:t>
      </w:r>
      <w:proofErr w:type="spellStart"/>
      <w:r w:rsidRPr="00D26169">
        <w:rPr>
          <w:rFonts w:ascii="Garamond" w:hAnsi="Garamond"/>
          <w:sz w:val="20"/>
          <w:szCs w:val="20"/>
        </w:rPr>
        <w:t>Bungau</w:t>
      </w:r>
      <w:proofErr w:type="spellEnd"/>
      <w:r w:rsidRPr="00D26169">
        <w:rPr>
          <w:rFonts w:ascii="Garamond" w:hAnsi="Garamond"/>
          <w:sz w:val="20"/>
          <w:szCs w:val="20"/>
        </w:rPr>
        <w:t xml:space="preserve">, S. COVID-19 and diabetes: Association intensify risk factors for morbidity and mortality. Biomedicine &amp; Pharmacotherapy. 2022; 151: 113089. </w:t>
      </w:r>
      <w:hyperlink r:id="rId42" w:tgtFrame="_blank" w:tooltip="Persistent link using digital object identifier" w:history="1">
        <w:r w:rsidRPr="00D26169">
          <w:rPr>
            <w:rStyle w:val="Hyperlink"/>
            <w:rFonts w:ascii="Garamond" w:hAnsi="Garamond"/>
            <w:sz w:val="20"/>
            <w:szCs w:val="20"/>
          </w:rPr>
          <w:t>https://doi.org/10.1016/j.biopha.2022.113089</w:t>
        </w:r>
      </w:hyperlink>
    </w:p>
    <w:p w14:paraId="489E52A8"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Nadhiya J, Vijayalakshmi MK, </w:t>
      </w:r>
      <w:proofErr w:type="spellStart"/>
      <w:r w:rsidRPr="00D26169">
        <w:rPr>
          <w:rFonts w:ascii="Garamond" w:hAnsi="Garamond"/>
          <w:sz w:val="20"/>
          <w:szCs w:val="20"/>
        </w:rPr>
        <w:t>Showbharnikhaa</w:t>
      </w:r>
      <w:proofErr w:type="spellEnd"/>
      <w:r w:rsidRPr="00D26169">
        <w:rPr>
          <w:rFonts w:ascii="Garamond" w:hAnsi="Garamond"/>
          <w:sz w:val="20"/>
          <w:szCs w:val="20"/>
        </w:rPr>
        <w:t xml:space="preserve"> S. </w:t>
      </w:r>
      <w:proofErr w:type="gramStart"/>
      <w:r w:rsidRPr="00D26169">
        <w:rPr>
          <w:rFonts w:ascii="Garamond" w:hAnsi="Garamond"/>
          <w:sz w:val="20"/>
          <w:szCs w:val="20"/>
        </w:rPr>
        <w:t>A</w:t>
      </w:r>
      <w:proofErr w:type="gramEnd"/>
      <w:r w:rsidRPr="00D26169">
        <w:rPr>
          <w:rFonts w:ascii="Garamond" w:hAnsi="Garamond"/>
          <w:sz w:val="20"/>
          <w:szCs w:val="20"/>
        </w:rPr>
        <w:t xml:space="preserve"> Brief Review on Diabetes Mellitus. Journal of Pharma Insights and Research. 2024; 2(1): 117-121. </w:t>
      </w:r>
      <w:hyperlink r:id="rId43" w:history="1">
        <w:r w:rsidRPr="00D26169">
          <w:rPr>
            <w:rStyle w:val="Hyperlink"/>
            <w:rFonts w:ascii="Garamond" w:hAnsi="Garamond"/>
            <w:sz w:val="20"/>
            <w:szCs w:val="20"/>
          </w:rPr>
          <w:t>https://doi.org/10.5281/zenodo.10631511</w:t>
        </w:r>
      </w:hyperlink>
    </w:p>
    <w:p w14:paraId="7CD5C04F"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Fatima A, Rasool S, Devi S, Talha M, Waqar F. Nasir M, ... &amp; Shah SU. Exploring the cardiovascular benefits of sodium-glucose cotransporter-2 (SGLT2) inhibitors: expanding horizons beyond diabetes management. Cureus. 2023; 15(9). </w:t>
      </w:r>
      <w:hyperlink r:id="rId44" w:history="1">
        <w:r w:rsidRPr="00D26169">
          <w:rPr>
            <w:rStyle w:val="Hyperlink"/>
            <w:rFonts w:ascii="Garamond" w:hAnsi="Garamond"/>
            <w:sz w:val="20"/>
            <w:szCs w:val="20"/>
          </w:rPr>
          <w:t>https://doi.org/10.7759/cureus.46243</w:t>
        </w:r>
      </w:hyperlink>
    </w:p>
    <w:p w14:paraId="2F3F8944" w14:textId="5A32B114"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Pei X, Li Z. Narrative review of comprehensive management strategies for diabetic retinopathy: interdisciplinary approaches and future perspectives. BMJ Public </w:t>
      </w:r>
      <w:r w:rsidR="00D26169" w:rsidRPr="00D26169">
        <w:rPr>
          <w:rFonts w:ascii="Garamond" w:hAnsi="Garamond"/>
          <w:sz w:val="20"/>
          <w:szCs w:val="20"/>
        </w:rPr>
        <w:t>Health.</w:t>
      </w:r>
      <w:r w:rsidRPr="00D26169">
        <w:rPr>
          <w:rFonts w:ascii="Garamond" w:hAnsi="Garamond"/>
          <w:sz w:val="20"/>
          <w:szCs w:val="20"/>
        </w:rPr>
        <w:t xml:space="preserve"> 2025; 3(1). </w:t>
      </w:r>
      <w:hyperlink r:id="rId45" w:history="1">
        <w:r w:rsidRPr="00D26169">
          <w:rPr>
            <w:rStyle w:val="Hyperlink"/>
            <w:rFonts w:ascii="Garamond" w:hAnsi="Garamond"/>
            <w:sz w:val="20"/>
            <w:szCs w:val="20"/>
          </w:rPr>
          <w:t>https://doi.org/10.1136/bmjph-2024-001353</w:t>
        </w:r>
      </w:hyperlink>
    </w:p>
    <w:p w14:paraId="3381C534" w14:textId="77777777" w:rsidR="00BE3D43" w:rsidRPr="00D26169" w:rsidRDefault="00BE3D43" w:rsidP="00D26169">
      <w:pPr>
        <w:numPr>
          <w:ilvl w:val="0"/>
          <w:numId w:val="30"/>
        </w:numPr>
        <w:ind w:left="284"/>
        <w:rPr>
          <w:rFonts w:ascii="Garamond" w:hAnsi="Garamond"/>
          <w:sz w:val="20"/>
          <w:szCs w:val="20"/>
        </w:rPr>
      </w:pPr>
      <w:proofErr w:type="spellStart"/>
      <w:r w:rsidRPr="00D26169">
        <w:rPr>
          <w:rFonts w:ascii="Garamond" w:hAnsi="Garamond"/>
          <w:sz w:val="20"/>
          <w:szCs w:val="20"/>
        </w:rPr>
        <w:t>Blahova</w:t>
      </w:r>
      <w:proofErr w:type="spellEnd"/>
      <w:r w:rsidRPr="00D26169">
        <w:rPr>
          <w:rFonts w:ascii="Garamond" w:hAnsi="Garamond"/>
          <w:sz w:val="20"/>
          <w:szCs w:val="20"/>
        </w:rPr>
        <w:t xml:space="preserve"> J, </w:t>
      </w:r>
      <w:proofErr w:type="spellStart"/>
      <w:r w:rsidRPr="00D26169">
        <w:rPr>
          <w:rFonts w:ascii="Garamond" w:hAnsi="Garamond"/>
          <w:sz w:val="20"/>
          <w:szCs w:val="20"/>
        </w:rPr>
        <w:t>Martiniakova</w:t>
      </w:r>
      <w:proofErr w:type="spellEnd"/>
      <w:r w:rsidRPr="00D26169">
        <w:rPr>
          <w:rFonts w:ascii="Garamond" w:hAnsi="Garamond"/>
          <w:sz w:val="20"/>
          <w:szCs w:val="20"/>
        </w:rPr>
        <w:t xml:space="preserve"> M, </w:t>
      </w:r>
      <w:proofErr w:type="spellStart"/>
      <w:r w:rsidRPr="00D26169">
        <w:rPr>
          <w:rFonts w:ascii="Garamond" w:hAnsi="Garamond"/>
          <w:sz w:val="20"/>
          <w:szCs w:val="20"/>
        </w:rPr>
        <w:t>Babikova</w:t>
      </w:r>
      <w:proofErr w:type="spellEnd"/>
      <w:r w:rsidRPr="00D26169">
        <w:rPr>
          <w:rFonts w:ascii="Garamond" w:hAnsi="Garamond"/>
          <w:sz w:val="20"/>
          <w:szCs w:val="20"/>
        </w:rPr>
        <w:t xml:space="preserve"> M, </w:t>
      </w:r>
      <w:proofErr w:type="spellStart"/>
      <w:r w:rsidRPr="00D26169">
        <w:rPr>
          <w:rFonts w:ascii="Garamond" w:hAnsi="Garamond"/>
          <w:sz w:val="20"/>
          <w:szCs w:val="20"/>
        </w:rPr>
        <w:t>Kovacova</w:t>
      </w:r>
      <w:proofErr w:type="spellEnd"/>
      <w:r w:rsidRPr="00D26169">
        <w:rPr>
          <w:rFonts w:ascii="Garamond" w:hAnsi="Garamond"/>
          <w:sz w:val="20"/>
          <w:szCs w:val="20"/>
        </w:rPr>
        <w:t xml:space="preserve"> V, </w:t>
      </w:r>
      <w:proofErr w:type="spellStart"/>
      <w:r w:rsidRPr="00D26169">
        <w:rPr>
          <w:rFonts w:ascii="Garamond" w:hAnsi="Garamond"/>
          <w:sz w:val="20"/>
          <w:szCs w:val="20"/>
        </w:rPr>
        <w:t>Mondockova</w:t>
      </w:r>
      <w:proofErr w:type="spellEnd"/>
      <w:r w:rsidRPr="00D26169">
        <w:rPr>
          <w:rFonts w:ascii="Garamond" w:hAnsi="Garamond"/>
          <w:sz w:val="20"/>
          <w:szCs w:val="20"/>
        </w:rPr>
        <w:t xml:space="preserve"> V, </w:t>
      </w:r>
      <w:proofErr w:type="spellStart"/>
      <w:r w:rsidRPr="00D26169">
        <w:rPr>
          <w:rFonts w:ascii="Garamond" w:hAnsi="Garamond"/>
          <w:sz w:val="20"/>
          <w:szCs w:val="20"/>
        </w:rPr>
        <w:t>Omelka</w:t>
      </w:r>
      <w:proofErr w:type="spellEnd"/>
      <w:r w:rsidRPr="00D26169">
        <w:rPr>
          <w:rFonts w:ascii="Garamond" w:hAnsi="Garamond"/>
          <w:sz w:val="20"/>
          <w:szCs w:val="20"/>
        </w:rPr>
        <w:t xml:space="preserve"> R. Pharmaceutical drugs and natural therapeutic products for the treatment of type 2 diabetes mellitus. Pharmaceuticals. 2021; 14(8): 806.  </w:t>
      </w:r>
      <w:hyperlink r:id="rId46" w:history="1">
        <w:r w:rsidRPr="00D26169">
          <w:rPr>
            <w:rStyle w:val="Hyperlink"/>
            <w:rFonts w:ascii="Garamond" w:hAnsi="Garamond"/>
            <w:sz w:val="20"/>
            <w:szCs w:val="20"/>
          </w:rPr>
          <w:t>https://doi.org/ 10.3390/ph14080806</w:t>
        </w:r>
      </w:hyperlink>
    </w:p>
    <w:p w14:paraId="14772B05"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Moore PW, Malone K, VanValkenburg D, Rando L, Williams, BC, </w:t>
      </w:r>
      <w:proofErr w:type="spellStart"/>
      <w:r w:rsidRPr="00D26169">
        <w:rPr>
          <w:rFonts w:ascii="Garamond" w:hAnsi="Garamond"/>
          <w:sz w:val="20"/>
          <w:szCs w:val="20"/>
        </w:rPr>
        <w:t>Matejowsky</w:t>
      </w:r>
      <w:proofErr w:type="spellEnd"/>
      <w:r w:rsidRPr="00D26169">
        <w:rPr>
          <w:rFonts w:ascii="Garamond" w:hAnsi="Garamond"/>
          <w:sz w:val="20"/>
          <w:szCs w:val="20"/>
        </w:rPr>
        <w:t xml:space="preserve"> HG, Kaye AD. GLP-1 agonists for weight loss: pharmacology and clinical implications. Advances in therapy. 2023; 40(3): 723-742. </w:t>
      </w:r>
      <w:hyperlink r:id="rId47" w:history="1">
        <w:r w:rsidRPr="00D26169">
          <w:rPr>
            <w:rStyle w:val="Hyperlink"/>
            <w:rFonts w:ascii="Garamond" w:hAnsi="Garamond"/>
            <w:sz w:val="20"/>
            <w:szCs w:val="20"/>
          </w:rPr>
          <w:t>https://doi.org/10.1007/s12325-022-02394-w</w:t>
        </w:r>
      </w:hyperlink>
    </w:p>
    <w:p w14:paraId="3ABA0B1A"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t xml:space="preserve">Abiodun OO, Daramola OH, </w:t>
      </w:r>
      <w:proofErr w:type="spellStart"/>
      <w:r w:rsidRPr="00D26169">
        <w:rPr>
          <w:rFonts w:ascii="Garamond" w:hAnsi="Garamond"/>
          <w:sz w:val="20"/>
          <w:szCs w:val="20"/>
        </w:rPr>
        <w:t>Ikeh</w:t>
      </w:r>
      <w:proofErr w:type="spellEnd"/>
      <w:r w:rsidRPr="00D26169">
        <w:rPr>
          <w:rFonts w:ascii="Garamond" w:hAnsi="Garamond"/>
          <w:sz w:val="20"/>
          <w:szCs w:val="20"/>
        </w:rPr>
        <w:t xml:space="preserve"> UI, Ariyo AD, Akinola A, </w:t>
      </w:r>
      <w:proofErr w:type="spellStart"/>
      <w:r w:rsidRPr="00D26169">
        <w:rPr>
          <w:rFonts w:ascii="Garamond" w:hAnsi="Garamond"/>
          <w:sz w:val="20"/>
          <w:szCs w:val="20"/>
        </w:rPr>
        <w:t>Agofure</w:t>
      </w:r>
      <w:proofErr w:type="spellEnd"/>
      <w:r w:rsidRPr="00D26169">
        <w:rPr>
          <w:rFonts w:ascii="Garamond" w:hAnsi="Garamond"/>
          <w:sz w:val="20"/>
          <w:szCs w:val="20"/>
        </w:rPr>
        <w:t xml:space="preserve"> O. Impact of Self-Care Practices on the Prognosis of Type-2 Diabetes Mellitus in Developing Countries: A Narrative Review. Annals of Health Research. 2024; 10(3): 205-229. </w:t>
      </w:r>
      <w:hyperlink r:id="rId48" w:history="1">
        <w:r w:rsidRPr="00D26169">
          <w:rPr>
            <w:rStyle w:val="Hyperlink"/>
            <w:rFonts w:ascii="Garamond" w:hAnsi="Garamond"/>
            <w:sz w:val="20"/>
            <w:szCs w:val="20"/>
          </w:rPr>
          <w:t>https://doi.org/10.30442/ahr.1003-01-241</w:t>
        </w:r>
      </w:hyperlink>
    </w:p>
    <w:p w14:paraId="0E48A556" w14:textId="77777777" w:rsidR="00BE3D43" w:rsidRPr="00D26169" w:rsidRDefault="00BE3D43" w:rsidP="00D26169">
      <w:pPr>
        <w:numPr>
          <w:ilvl w:val="0"/>
          <w:numId w:val="30"/>
        </w:numPr>
        <w:ind w:left="284"/>
        <w:rPr>
          <w:rFonts w:ascii="Garamond" w:hAnsi="Garamond"/>
          <w:sz w:val="20"/>
          <w:szCs w:val="20"/>
        </w:rPr>
      </w:pPr>
      <w:proofErr w:type="spellStart"/>
      <w:r w:rsidRPr="00D26169">
        <w:rPr>
          <w:rFonts w:ascii="Garamond" w:hAnsi="Garamond"/>
          <w:sz w:val="20"/>
          <w:szCs w:val="20"/>
        </w:rPr>
        <w:t>Araszkiewicz</w:t>
      </w:r>
      <w:proofErr w:type="spellEnd"/>
      <w:r w:rsidRPr="00D26169">
        <w:rPr>
          <w:rFonts w:ascii="Garamond" w:hAnsi="Garamond"/>
          <w:sz w:val="20"/>
          <w:szCs w:val="20"/>
        </w:rPr>
        <w:t xml:space="preserve"> A, </w:t>
      </w:r>
      <w:proofErr w:type="spellStart"/>
      <w:r w:rsidRPr="00D26169">
        <w:rPr>
          <w:rFonts w:ascii="Garamond" w:hAnsi="Garamond"/>
          <w:sz w:val="20"/>
          <w:szCs w:val="20"/>
        </w:rPr>
        <w:t>Bandurska</w:t>
      </w:r>
      <w:proofErr w:type="spellEnd"/>
      <w:r w:rsidRPr="00D26169">
        <w:rPr>
          <w:rFonts w:ascii="Garamond" w:hAnsi="Garamond"/>
          <w:sz w:val="20"/>
          <w:szCs w:val="20"/>
        </w:rPr>
        <w:t xml:space="preserve">-Stankiewicz E, Borys S, </w:t>
      </w:r>
      <w:proofErr w:type="spellStart"/>
      <w:r w:rsidRPr="00D26169">
        <w:rPr>
          <w:rFonts w:ascii="Garamond" w:hAnsi="Garamond"/>
          <w:sz w:val="20"/>
          <w:szCs w:val="20"/>
        </w:rPr>
        <w:t>Budzyński</w:t>
      </w:r>
      <w:proofErr w:type="spellEnd"/>
      <w:r w:rsidRPr="00D26169">
        <w:rPr>
          <w:rFonts w:ascii="Garamond" w:hAnsi="Garamond"/>
          <w:sz w:val="20"/>
          <w:szCs w:val="20"/>
        </w:rPr>
        <w:t xml:space="preserve"> A, </w:t>
      </w:r>
      <w:proofErr w:type="spellStart"/>
      <w:r w:rsidRPr="00D26169">
        <w:rPr>
          <w:rFonts w:ascii="Garamond" w:hAnsi="Garamond"/>
          <w:sz w:val="20"/>
          <w:szCs w:val="20"/>
        </w:rPr>
        <w:t>Cyganek</w:t>
      </w:r>
      <w:proofErr w:type="spellEnd"/>
      <w:r w:rsidRPr="00D26169">
        <w:rPr>
          <w:rFonts w:ascii="Garamond" w:hAnsi="Garamond"/>
          <w:sz w:val="20"/>
          <w:szCs w:val="20"/>
        </w:rPr>
        <w:t xml:space="preserve"> K, </w:t>
      </w:r>
      <w:proofErr w:type="spellStart"/>
      <w:r w:rsidRPr="00D26169">
        <w:rPr>
          <w:rFonts w:ascii="Garamond" w:hAnsi="Garamond"/>
          <w:sz w:val="20"/>
          <w:szCs w:val="20"/>
        </w:rPr>
        <w:t>Cypryk</w:t>
      </w:r>
      <w:proofErr w:type="spellEnd"/>
      <w:r w:rsidRPr="00D26169">
        <w:rPr>
          <w:rFonts w:ascii="Garamond" w:hAnsi="Garamond"/>
          <w:sz w:val="20"/>
          <w:szCs w:val="20"/>
        </w:rPr>
        <w:t xml:space="preserve"> K, </w:t>
      </w:r>
      <w:proofErr w:type="spellStart"/>
      <w:r w:rsidRPr="00D26169">
        <w:rPr>
          <w:rFonts w:ascii="Garamond" w:hAnsi="Garamond"/>
          <w:sz w:val="20"/>
          <w:szCs w:val="20"/>
        </w:rPr>
        <w:t>Zozulińska-Ziółkiewicz</w:t>
      </w:r>
      <w:proofErr w:type="spellEnd"/>
      <w:r w:rsidRPr="00D26169">
        <w:rPr>
          <w:rFonts w:ascii="Garamond" w:hAnsi="Garamond"/>
          <w:sz w:val="20"/>
          <w:szCs w:val="20"/>
        </w:rPr>
        <w:t xml:space="preserve"> D. 2021 Guidelines on the management of patients with diabetes. A position of Diabetes Poland. Clinical Diabetology. </w:t>
      </w:r>
      <w:proofErr w:type="gramStart"/>
      <w:r w:rsidRPr="00D26169">
        <w:rPr>
          <w:rFonts w:ascii="Garamond" w:hAnsi="Garamond"/>
          <w:sz w:val="20"/>
          <w:szCs w:val="20"/>
        </w:rPr>
        <w:t>2021;  10</w:t>
      </w:r>
      <w:proofErr w:type="gramEnd"/>
      <w:r w:rsidRPr="00D26169">
        <w:rPr>
          <w:rFonts w:ascii="Garamond" w:hAnsi="Garamond"/>
          <w:sz w:val="20"/>
          <w:szCs w:val="20"/>
        </w:rPr>
        <w:t xml:space="preserve">(1): 1-113. </w:t>
      </w:r>
      <w:hyperlink r:id="rId49" w:history="1">
        <w:r w:rsidRPr="00D26169">
          <w:rPr>
            <w:rStyle w:val="Hyperlink"/>
            <w:rFonts w:ascii="Garamond" w:hAnsi="Garamond"/>
            <w:sz w:val="20"/>
            <w:szCs w:val="20"/>
          </w:rPr>
          <w:t>https://doi.org/10.5603/DK.2021.0001</w:t>
        </w:r>
      </w:hyperlink>
    </w:p>
    <w:p w14:paraId="13FB9343" w14:textId="77777777" w:rsidR="00BE3D43" w:rsidRPr="00D26169" w:rsidRDefault="00BE3D43" w:rsidP="00D26169">
      <w:pPr>
        <w:numPr>
          <w:ilvl w:val="0"/>
          <w:numId w:val="30"/>
        </w:numPr>
        <w:ind w:left="284"/>
        <w:rPr>
          <w:rFonts w:ascii="Garamond" w:hAnsi="Garamond"/>
          <w:sz w:val="20"/>
          <w:szCs w:val="20"/>
          <w:u w:val="single"/>
        </w:rPr>
      </w:pPr>
      <w:proofErr w:type="spellStart"/>
      <w:r w:rsidRPr="00D26169">
        <w:rPr>
          <w:rFonts w:ascii="Garamond" w:hAnsi="Garamond"/>
          <w:sz w:val="20"/>
          <w:szCs w:val="20"/>
        </w:rPr>
        <w:t>Adinkrah</w:t>
      </w:r>
      <w:proofErr w:type="spellEnd"/>
      <w:r w:rsidRPr="00D26169">
        <w:rPr>
          <w:rFonts w:ascii="Garamond" w:hAnsi="Garamond"/>
          <w:sz w:val="20"/>
          <w:szCs w:val="20"/>
        </w:rPr>
        <w:t xml:space="preserve"> E. Patient Education in Chronic Disease Management. Physician Assistant Clinics. 2024; 9(4): 527-540. </w:t>
      </w:r>
      <w:hyperlink r:id="rId50" w:history="1">
        <w:r w:rsidRPr="00D26169">
          <w:rPr>
            <w:rStyle w:val="Hyperlink"/>
            <w:rFonts w:ascii="Garamond" w:hAnsi="Garamond"/>
            <w:sz w:val="20"/>
            <w:szCs w:val="20"/>
          </w:rPr>
          <w:t>https://doi.org/</w:t>
        </w:r>
      </w:hyperlink>
      <w:hyperlink r:id="rId51" w:tgtFrame="_blank" w:history="1">
        <w:r w:rsidRPr="00D26169">
          <w:rPr>
            <w:rStyle w:val="Hyperlink"/>
            <w:rFonts w:ascii="Garamond" w:hAnsi="Garamond"/>
            <w:sz w:val="20"/>
            <w:szCs w:val="20"/>
          </w:rPr>
          <w:t>10.1016/j.cpha. 2024.05.005 </w:t>
        </w:r>
      </w:hyperlink>
    </w:p>
    <w:p w14:paraId="354D1B9A" w14:textId="77777777" w:rsidR="00BE3D43" w:rsidRPr="00D26169" w:rsidRDefault="00BE3D43" w:rsidP="00D26169">
      <w:pPr>
        <w:numPr>
          <w:ilvl w:val="0"/>
          <w:numId w:val="30"/>
        </w:numPr>
        <w:ind w:left="284"/>
        <w:rPr>
          <w:rFonts w:ascii="Garamond" w:hAnsi="Garamond"/>
          <w:sz w:val="20"/>
          <w:szCs w:val="20"/>
        </w:rPr>
      </w:pPr>
      <w:r w:rsidRPr="00D26169">
        <w:rPr>
          <w:rFonts w:ascii="Garamond" w:hAnsi="Garamond"/>
          <w:sz w:val="20"/>
          <w:szCs w:val="20"/>
        </w:rPr>
        <w:lastRenderedPageBreak/>
        <w:t xml:space="preserve">Lyu X, Li J, Li S. Approaches to Reach Trustworthy Patient Education: A Narrative Review. </w:t>
      </w:r>
      <w:proofErr w:type="gramStart"/>
      <w:r w:rsidRPr="00D26169">
        <w:rPr>
          <w:rFonts w:ascii="Garamond" w:hAnsi="Garamond"/>
          <w:sz w:val="20"/>
          <w:szCs w:val="20"/>
        </w:rPr>
        <w:t>In  Healthcare</w:t>
      </w:r>
      <w:proofErr w:type="gramEnd"/>
      <w:r w:rsidRPr="00D26169">
        <w:rPr>
          <w:rFonts w:ascii="Garamond" w:hAnsi="Garamond"/>
          <w:sz w:val="20"/>
          <w:szCs w:val="20"/>
        </w:rPr>
        <w:t xml:space="preserve">. 2024; 12(23): 2322. </w:t>
      </w:r>
      <w:hyperlink r:id="rId52" w:history="1">
        <w:r w:rsidRPr="00D26169">
          <w:rPr>
            <w:rStyle w:val="Hyperlink"/>
            <w:rFonts w:ascii="Garamond" w:hAnsi="Garamond"/>
            <w:sz w:val="20"/>
            <w:szCs w:val="20"/>
          </w:rPr>
          <w:t>https://doi.org/ 10.3390/healthcare12232322</w:t>
        </w:r>
      </w:hyperlink>
    </w:p>
    <w:p w14:paraId="6A28A781" w14:textId="77777777" w:rsidR="00BE3D43" w:rsidRPr="00D26169" w:rsidRDefault="00BE3D43" w:rsidP="00D26169">
      <w:pPr>
        <w:numPr>
          <w:ilvl w:val="0"/>
          <w:numId w:val="30"/>
        </w:numPr>
        <w:ind w:left="284"/>
        <w:rPr>
          <w:rFonts w:ascii="Garamond" w:hAnsi="Garamond"/>
          <w:sz w:val="20"/>
          <w:szCs w:val="20"/>
          <w:u w:val="single"/>
          <w:lang w:val="fr-MA"/>
        </w:rPr>
      </w:pPr>
      <w:r w:rsidRPr="00D26169">
        <w:rPr>
          <w:rFonts w:ascii="Garamond" w:hAnsi="Garamond"/>
          <w:sz w:val="20"/>
          <w:szCs w:val="20"/>
        </w:rPr>
        <w:t xml:space="preserve">Ramsamy G, Esnard C, STEREOBES Consortium Mosbah H, Soussi Berjonval D, Faure JP, </w:t>
      </w:r>
      <w:proofErr w:type="spellStart"/>
      <w:r w:rsidRPr="00D26169">
        <w:rPr>
          <w:rFonts w:ascii="Garamond" w:hAnsi="Garamond"/>
          <w:sz w:val="20"/>
          <w:szCs w:val="20"/>
        </w:rPr>
        <w:t>Albouy</w:t>
      </w:r>
      <w:proofErr w:type="spellEnd"/>
      <w:r w:rsidRPr="00D26169">
        <w:rPr>
          <w:rFonts w:ascii="Garamond" w:hAnsi="Garamond"/>
          <w:sz w:val="20"/>
          <w:szCs w:val="20"/>
        </w:rPr>
        <w:t xml:space="preserve"> M. Effect of a patient education program focused on weight stigma on quality of life and self-efficacy in patients living with obesity: study protocol for a randomized controlled trial. </w:t>
      </w:r>
      <w:r w:rsidRPr="00D26169">
        <w:rPr>
          <w:rFonts w:ascii="Garamond" w:hAnsi="Garamond"/>
          <w:sz w:val="20"/>
          <w:szCs w:val="20"/>
          <w:lang w:val="fr-MA"/>
        </w:rPr>
        <w:t xml:space="preserve">BMC </w:t>
      </w:r>
      <w:proofErr w:type="spellStart"/>
      <w:r w:rsidRPr="00D26169">
        <w:rPr>
          <w:rFonts w:ascii="Garamond" w:hAnsi="Garamond"/>
          <w:sz w:val="20"/>
          <w:szCs w:val="20"/>
          <w:lang w:val="fr-MA"/>
        </w:rPr>
        <w:t>psychology</w:t>
      </w:r>
      <w:proofErr w:type="spellEnd"/>
      <w:r w:rsidRPr="00D26169">
        <w:rPr>
          <w:rFonts w:ascii="Garamond" w:hAnsi="Garamond"/>
          <w:sz w:val="20"/>
          <w:szCs w:val="20"/>
          <w:lang w:val="fr-MA"/>
        </w:rPr>
        <w:t>. </w:t>
      </w:r>
      <w:r w:rsidRPr="00D26169">
        <w:rPr>
          <w:rFonts w:ascii="Garamond" w:hAnsi="Garamond"/>
          <w:sz w:val="20"/>
          <w:szCs w:val="20"/>
        </w:rPr>
        <w:t xml:space="preserve"> 2024; </w:t>
      </w:r>
      <w:r w:rsidRPr="00D26169">
        <w:rPr>
          <w:rFonts w:ascii="Garamond" w:hAnsi="Garamond"/>
          <w:sz w:val="20"/>
          <w:szCs w:val="20"/>
          <w:lang w:val="fr-MA"/>
        </w:rPr>
        <w:t>12(1</w:t>
      </w:r>
      <w:proofErr w:type="gramStart"/>
      <w:r w:rsidRPr="00D26169">
        <w:rPr>
          <w:rFonts w:ascii="Garamond" w:hAnsi="Garamond"/>
          <w:sz w:val="20"/>
          <w:szCs w:val="20"/>
          <w:lang w:val="fr-MA"/>
        </w:rPr>
        <w:t>) :</w:t>
      </w:r>
      <w:proofErr w:type="gramEnd"/>
      <w:r w:rsidRPr="00D26169">
        <w:rPr>
          <w:rFonts w:ascii="Garamond" w:hAnsi="Garamond"/>
          <w:sz w:val="20"/>
          <w:szCs w:val="20"/>
          <w:lang w:val="fr-MA"/>
        </w:rPr>
        <w:t xml:space="preserve"> 734. </w:t>
      </w:r>
      <w:hyperlink r:id="rId53" w:history="1">
        <w:r w:rsidRPr="00D26169">
          <w:rPr>
            <w:rStyle w:val="Hyperlink"/>
            <w:rFonts w:ascii="Garamond" w:hAnsi="Garamond"/>
            <w:sz w:val="20"/>
            <w:szCs w:val="20"/>
            <w:lang w:val="fr-MA"/>
          </w:rPr>
          <w:t>https://doi.org/10.1186/s40359-024-02274-8</w:t>
        </w:r>
      </w:hyperlink>
    </w:p>
    <w:p w14:paraId="34AEE16C"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Pétré B, </w:t>
      </w:r>
      <w:proofErr w:type="spellStart"/>
      <w:r w:rsidRPr="00D26169">
        <w:rPr>
          <w:rFonts w:ascii="Garamond" w:hAnsi="Garamond"/>
          <w:sz w:val="20"/>
          <w:szCs w:val="20"/>
        </w:rPr>
        <w:t>Gagnayre</w:t>
      </w:r>
      <w:proofErr w:type="spellEnd"/>
      <w:r w:rsidRPr="00D26169">
        <w:rPr>
          <w:rFonts w:ascii="Garamond" w:hAnsi="Garamond"/>
          <w:sz w:val="20"/>
          <w:szCs w:val="20"/>
        </w:rPr>
        <w:t xml:space="preserve"> R., De Andrade V. Ziegler O. Guillaume M. From therapeutic patient education principles to educative attitude: the perceptions of health care professionals–a pragmatic approach for defining competencies and resources. Patient preference and adherence.</w:t>
      </w:r>
      <w:r w:rsidRPr="00D26169">
        <w:rPr>
          <w:rFonts w:ascii="Garamond" w:hAnsi="Garamond"/>
          <w:sz w:val="20"/>
          <w:szCs w:val="20"/>
          <w:lang w:val="fr-MA"/>
        </w:rPr>
        <w:t xml:space="preserve"> 2017 ; 11 : </w:t>
      </w:r>
      <w:r w:rsidRPr="00D26169">
        <w:rPr>
          <w:rFonts w:ascii="Garamond" w:hAnsi="Garamond"/>
          <w:sz w:val="20"/>
          <w:szCs w:val="20"/>
        </w:rPr>
        <w:t xml:space="preserve">603-617. </w:t>
      </w:r>
      <w:hyperlink r:id="rId54" w:history="1">
        <w:r w:rsidRPr="00D26169">
          <w:rPr>
            <w:rStyle w:val="Hyperlink"/>
            <w:rFonts w:ascii="Garamond" w:hAnsi="Garamond"/>
            <w:sz w:val="20"/>
            <w:szCs w:val="20"/>
          </w:rPr>
          <w:t>https://doi.org/10.2147/PPA.S121892</w:t>
        </w:r>
      </w:hyperlink>
    </w:p>
    <w:p w14:paraId="340AB2BE"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Colberg SR, Sigal RJ, Yardley JE, Riddell M C, Dunstan DW, Dempsey PC, Tate DF. Physical activity/exercise and diabetes: a position statement of the American Diabetes Association.  Diabetes care.  2016; 39(11): 2065. </w:t>
      </w:r>
      <w:hyperlink r:id="rId55" w:history="1">
        <w:r w:rsidRPr="00D26169">
          <w:rPr>
            <w:rStyle w:val="Hyperlink"/>
            <w:rFonts w:ascii="Garamond" w:hAnsi="Garamond"/>
            <w:sz w:val="20"/>
            <w:szCs w:val="20"/>
          </w:rPr>
          <w:t>https://doi.org/10.2337/dc16-1728</w:t>
        </w:r>
      </w:hyperlink>
    </w:p>
    <w:p w14:paraId="1977F9F1" w14:textId="77777777" w:rsidR="00BE3D43" w:rsidRPr="00D26169" w:rsidRDefault="00BE3D43" w:rsidP="00D26169">
      <w:pPr>
        <w:numPr>
          <w:ilvl w:val="0"/>
          <w:numId w:val="30"/>
        </w:numPr>
        <w:ind w:left="284"/>
        <w:rPr>
          <w:rFonts w:ascii="Garamond" w:hAnsi="Garamond"/>
          <w:sz w:val="20"/>
          <w:szCs w:val="20"/>
          <w:lang w:val="fr-MA"/>
        </w:rPr>
      </w:pPr>
      <w:proofErr w:type="spellStart"/>
      <w:r w:rsidRPr="00D26169">
        <w:rPr>
          <w:rFonts w:ascii="Garamond" w:hAnsi="Garamond"/>
          <w:sz w:val="20"/>
          <w:szCs w:val="20"/>
        </w:rPr>
        <w:t>Haoues</w:t>
      </w:r>
      <w:proofErr w:type="spellEnd"/>
      <w:r w:rsidRPr="00D26169">
        <w:rPr>
          <w:rFonts w:ascii="Garamond" w:hAnsi="Garamond"/>
          <w:sz w:val="20"/>
          <w:szCs w:val="20"/>
        </w:rPr>
        <w:t xml:space="preserve"> M, </w:t>
      </w:r>
      <w:proofErr w:type="spellStart"/>
      <w:r w:rsidRPr="00D26169">
        <w:rPr>
          <w:rFonts w:ascii="Garamond" w:hAnsi="Garamond"/>
          <w:sz w:val="20"/>
          <w:szCs w:val="20"/>
        </w:rPr>
        <w:t>Zedini</w:t>
      </w:r>
      <w:proofErr w:type="spellEnd"/>
      <w:r w:rsidRPr="00D26169">
        <w:rPr>
          <w:rFonts w:ascii="Garamond" w:hAnsi="Garamond"/>
          <w:sz w:val="20"/>
          <w:szCs w:val="20"/>
        </w:rPr>
        <w:t xml:space="preserve"> C, Chadli-</w:t>
      </w:r>
      <w:proofErr w:type="spellStart"/>
      <w:r w:rsidRPr="00D26169">
        <w:rPr>
          <w:rFonts w:ascii="Garamond" w:hAnsi="Garamond"/>
          <w:sz w:val="20"/>
          <w:szCs w:val="20"/>
        </w:rPr>
        <w:t>Chaieb</w:t>
      </w:r>
      <w:proofErr w:type="spellEnd"/>
      <w:r w:rsidRPr="00D26169">
        <w:rPr>
          <w:rFonts w:ascii="Garamond" w:hAnsi="Garamond"/>
          <w:sz w:val="20"/>
          <w:szCs w:val="20"/>
        </w:rPr>
        <w:t xml:space="preserve"> M. Predictive factors for the level of knowledge, attitudes and quality of life of Tunisian diabetics: 1007 cases. </w:t>
      </w:r>
      <w:r w:rsidRPr="00D26169">
        <w:rPr>
          <w:rFonts w:ascii="Garamond" w:hAnsi="Garamond"/>
          <w:sz w:val="20"/>
          <w:szCs w:val="20"/>
          <w:lang w:val="fr-MA"/>
        </w:rPr>
        <w:t>Revue D'</w:t>
      </w:r>
      <w:proofErr w:type="spellStart"/>
      <w:r w:rsidRPr="00D26169">
        <w:rPr>
          <w:rFonts w:ascii="Garamond" w:hAnsi="Garamond"/>
          <w:sz w:val="20"/>
          <w:szCs w:val="20"/>
          <w:lang w:val="fr-MA"/>
        </w:rPr>
        <w:t>epidemiologie</w:t>
      </w:r>
      <w:proofErr w:type="spellEnd"/>
      <w:r w:rsidRPr="00D26169">
        <w:rPr>
          <w:rFonts w:ascii="Garamond" w:hAnsi="Garamond"/>
          <w:sz w:val="20"/>
          <w:szCs w:val="20"/>
          <w:lang w:val="fr-MA"/>
        </w:rPr>
        <w:t xml:space="preserve"> et de Sante Publique.  2022; 71(1) : 101413-101413. </w:t>
      </w:r>
      <w:hyperlink r:id="rId56" w:history="1">
        <w:r w:rsidRPr="00D26169">
          <w:rPr>
            <w:rStyle w:val="Hyperlink"/>
            <w:rFonts w:ascii="Garamond" w:hAnsi="Garamond"/>
            <w:sz w:val="20"/>
            <w:szCs w:val="20"/>
            <w:lang w:val="fr-MA"/>
          </w:rPr>
          <w:t>https://doi.org/10.1016/j.respe.2022.10.008</w:t>
        </w:r>
      </w:hyperlink>
      <w:r w:rsidRPr="00D26169">
        <w:rPr>
          <w:rFonts w:ascii="Garamond" w:hAnsi="Garamond"/>
          <w:sz w:val="20"/>
          <w:szCs w:val="20"/>
          <w:lang w:val="fr-MA"/>
        </w:rPr>
        <w:t> </w:t>
      </w:r>
    </w:p>
    <w:p w14:paraId="2ABC6101"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lang w:val="fr-MA"/>
        </w:rPr>
        <w:t xml:space="preserve">Contreras F, Sanchez M, Martinez MS, Castillo MC, Mindiola A, Bermudez V, Velasco M. Management and </w:t>
      </w:r>
      <w:proofErr w:type="spellStart"/>
      <w:r w:rsidRPr="00D26169">
        <w:rPr>
          <w:rFonts w:ascii="Garamond" w:hAnsi="Garamond"/>
          <w:sz w:val="20"/>
          <w:szCs w:val="20"/>
          <w:lang w:val="fr-MA"/>
        </w:rPr>
        <w:t>education</w:t>
      </w:r>
      <w:proofErr w:type="spellEnd"/>
      <w:r w:rsidRPr="00D26169">
        <w:rPr>
          <w:rFonts w:ascii="Garamond" w:hAnsi="Garamond"/>
          <w:sz w:val="20"/>
          <w:szCs w:val="20"/>
          <w:lang w:val="fr-MA"/>
        </w:rPr>
        <w:t xml:space="preserve"> in patients </w:t>
      </w:r>
      <w:proofErr w:type="spellStart"/>
      <w:r w:rsidRPr="00D26169">
        <w:rPr>
          <w:rFonts w:ascii="Garamond" w:hAnsi="Garamond"/>
          <w:sz w:val="20"/>
          <w:szCs w:val="20"/>
          <w:lang w:val="fr-MA"/>
        </w:rPr>
        <w:t>with</w:t>
      </w:r>
      <w:proofErr w:type="spellEnd"/>
      <w:r w:rsidRPr="00D26169">
        <w:rPr>
          <w:rFonts w:ascii="Garamond" w:hAnsi="Garamond"/>
          <w:sz w:val="20"/>
          <w:szCs w:val="20"/>
          <w:lang w:val="fr-MA"/>
        </w:rPr>
        <w:t xml:space="preserve"> </w:t>
      </w:r>
      <w:proofErr w:type="spellStart"/>
      <w:r w:rsidRPr="00D26169">
        <w:rPr>
          <w:rFonts w:ascii="Garamond" w:hAnsi="Garamond"/>
          <w:sz w:val="20"/>
          <w:szCs w:val="20"/>
          <w:lang w:val="fr-MA"/>
        </w:rPr>
        <w:t>diabetes</w:t>
      </w:r>
      <w:proofErr w:type="spellEnd"/>
      <w:r w:rsidRPr="00D26169">
        <w:rPr>
          <w:rFonts w:ascii="Garamond" w:hAnsi="Garamond"/>
          <w:sz w:val="20"/>
          <w:szCs w:val="20"/>
          <w:lang w:val="fr-MA"/>
        </w:rPr>
        <w:t xml:space="preserve"> </w:t>
      </w:r>
      <w:proofErr w:type="spellStart"/>
      <w:r w:rsidRPr="00D26169">
        <w:rPr>
          <w:rFonts w:ascii="Garamond" w:hAnsi="Garamond"/>
          <w:sz w:val="20"/>
          <w:szCs w:val="20"/>
          <w:lang w:val="fr-MA"/>
        </w:rPr>
        <w:t>mellitus</w:t>
      </w:r>
      <w:proofErr w:type="spellEnd"/>
      <w:r w:rsidRPr="00D26169">
        <w:rPr>
          <w:rFonts w:ascii="Garamond" w:hAnsi="Garamond"/>
          <w:sz w:val="20"/>
          <w:szCs w:val="20"/>
          <w:lang w:val="fr-MA"/>
        </w:rPr>
        <w:t>. </w:t>
      </w:r>
      <w:r w:rsidRPr="00D26169">
        <w:rPr>
          <w:rFonts w:ascii="Garamond" w:hAnsi="Garamond"/>
          <w:sz w:val="20"/>
          <w:szCs w:val="20"/>
        </w:rPr>
        <w:t xml:space="preserve">Med Clin Rev. </w:t>
      </w:r>
      <w:proofErr w:type="gramStart"/>
      <w:r w:rsidRPr="00D26169">
        <w:rPr>
          <w:rFonts w:ascii="Garamond" w:hAnsi="Garamond"/>
          <w:sz w:val="20"/>
          <w:szCs w:val="20"/>
          <w:lang w:val="fr-MA"/>
        </w:rPr>
        <w:t>2017 ;</w:t>
      </w:r>
      <w:proofErr w:type="gramEnd"/>
      <w:r w:rsidRPr="00D26169">
        <w:rPr>
          <w:rFonts w:ascii="Garamond" w:hAnsi="Garamond"/>
          <w:sz w:val="20"/>
          <w:szCs w:val="20"/>
          <w:lang w:val="fr-MA"/>
        </w:rPr>
        <w:t xml:space="preserve"> </w:t>
      </w:r>
      <w:r w:rsidRPr="00D26169">
        <w:rPr>
          <w:rFonts w:ascii="Garamond" w:hAnsi="Garamond"/>
          <w:sz w:val="20"/>
          <w:szCs w:val="20"/>
        </w:rPr>
        <w:t xml:space="preserve">3(2): 7. </w:t>
      </w:r>
      <w:hyperlink r:id="rId57" w:history="1">
        <w:r w:rsidRPr="00D26169">
          <w:rPr>
            <w:rStyle w:val="Hyperlink"/>
            <w:rFonts w:ascii="Garamond" w:hAnsi="Garamond"/>
            <w:sz w:val="20"/>
            <w:szCs w:val="20"/>
          </w:rPr>
          <w:t>https://doi.org/10.21767/2471-299X.1000049</w:t>
        </w:r>
      </w:hyperlink>
    </w:p>
    <w:p w14:paraId="17E21DA9" w14:textId="77777777" w:rsidR="00BE3D43" w:rsidRPr="00D26169" w:rsidRDefault="00BE3D43" w:rsidP="00D26169">
      <w:pPr>
        <w:numPr>
          <w:ilvl w:val="0"/>
          <w:numId w:val="30"/>
        </w:numPr>
        <w:ind w:left="284"/>
        <w:rPr>
          <w:rFonts w:ascii="Garamond" w:hAnsi="Garamond"/>
          <w:sz w:val="20"/>
          <w:szCs w:val="20"/>
        </w:rPr>
      </w:pPr>
      <w:proofErr w:type="spellStart"/>
      <w:r w:rsidRPr="00D26169">
        <w:rPr>
          <w:rFonts w:ascii="Garamond" w:hAnsi="Garamond"/>
          <w:sz w:val="20"/>
          <w:szCs w:val="20"/>
        </w:rPr>
        <w:t>ElGerges</w:t>
      </w:r>
      <w:proofErr w:type="spellEnd"/>
      <w:r w:rsidRPr="00D26169">
        <w:rPr>
          <w:rFonts w:ascii="Garamond" w:hAnsi="Garamond"/>
          <w:sz w:val="20"/>
          <w:szCs w:val="20"/>
        </w:rPr>
        <w:t xml:space="preserve"> NS. Effects of therapeutic education on self-efficacy, self-care activities and glycemic control of type 2 diabetic patients in a primary healthcare center in Lebanon. Journal of Diabetes &amp; Metabolic Disorders. 2020; 19:  813-821. </w:t>
      </w:r>
      <w:hyperlink r:id="rId58" w:history="1">
        <w:r w:rsidRPr="00D26169">
          <w:rPr>
            <w:rStyle w:val="Hyperlink"/>
            <w:rFonts w:ascii="Garamond" w:hAnsi="Garamond"/>
            <w:sz w:val="20"/>
            <w:szCs w:val="20"/>
          </w:rPr>
          <w:t>https://doi.org/10.1007/s40200-020-00567-4</w:t>
        </w:r>
      </w:hyperlink>
      <w:r w:rsidRPr="00D26169">
        <w:rPr>
          <w:rFonts w:ascii="Garamond" w:hAnsi="Garamond"/>
          <w:sz w:val="20"/>
          <w:szCs w:val="20"/>
        </w:rPr>
        <w:t xml:space="preserve"> </w:t>
      </w:r>
    </w:p>
    <w:p w14:paraId="58989C02"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Calle M, Abad F. Juan MC. Augmented Reality for Therapeutic Education in Patients with Diabetes: Short-and Mid-Term Learning Benefits. Sensors (Basel, Switzerland). 2025; 25(4): 1017. </w:t>
      </w:r>
      <w:hyperlink r:id="rId59" w:history="1">
        <w:r w:rsidRPr="00D26169">
          <w:rPr>
            <w:rStyle w:val="Hyperlink"/>
            <w:rFonts w:ascii="Garamond" w:hAnsi="Garamond"/>
            <w:sz w:val="20"/>
            <w:szCs w:val="20"/>
          </w:rPr>
          <w:t>https://doi.org/10.3390/s25041017</w:t>
        </w:r>
      </w:hyperlink>
    </w:p>
    <w:p w14:paraId="71A5DABB" w14:textId="77777777" w:rsidR="00BE3D43" w:rsidRPr="00D26169" w:rsidRDefault="00BE3D43" w:rsidP="00D26169">
      <w:pPr>
        <w:numPr>
          <w:ilvl w:val="0"/>
          <w:numId w:val="30"/>
        </w:numPr>
        <w:ind w:left="284"/>
        <w:rPr>
          <w:rFonts w:ascii="Garamond" w:hAnsi="Garamond"/>
          <w:sz w:val="20"/>
          <w:szCs w:val="20"/>
        </w:rPr>
      </w:pPr>
      <w:proofErr w:type="spellStart"/>
      <w:r w:rsidRPr="00D26169">
        <w:rPr>
          <w:rFonts w:ascii="Garamond" w:hAnsi="Garamond"/>
          <w:sz w:val="20"/>
          <w:szCs w:val="20"/>
        </w:rPr>
        <w:t>Mangoulia</w:t>
      </w:r>
      <w:proofErr w:type="spellEnd"/>
      <w:r w:rsidRPr="00D26169">
        <w:rPr>
          <w:rFonts w:ascii="Garamond" w:hAnsi="Garamond"/>
          <w:sz w:val="20"/>
          <w:szCs w:val="20"/>
        </w:rPr>
        <w:t xml:space="preserve"> P, Milionis C, </w:t>
      </w:r>
      <w:proofErr w:type="spellStart"/>
      <w:r w:rsidRPr="00D26169">
        <w:rPr>
          <w:rFonts w:ascii="Garamond" w:hAnsi="Garamond"/>
          <w:sz w:val="20"/>
          <w:szCs w:val="20"/>
        </w:rPr>
        <w:t>Vlachou</w:t>
      </w:r>
      <w:proofErr w:type="spellEnd"/>
      <w:r w:rsidRPr="00D26169">
        <w:rPr>
          <w:rFonts w:ascii="Garamond" w:hAnsi="Garamond"/>
          <w:sz w:val="20"/>
          <w:szCs w:val="20"/>
        </w:rPr>
        <w:t xml:space="preserve"> E, Ilias I. The interrelationship between diabetes mellitus and emotional well-being: Current concepts and future prospects. In </w:t>
      </w:r>
      <w:proofErr w:type="gramStart"/>
      <w:r w:rsidRPr="00D26169">
        <w:rPr>
          <w:rFonts w:ascii="Garamond" w:hAnsi="Garamond"/>
          <w:sz w:val="20"/>
          <w:szCs w:val="20"/>
        </w:rPr>
        <w:t>Healthcare .</w:t>
      </w:r>
      <w:proofErr w:type="gramEnd"/>
      <w:r w:rsidRPr="00D26169">
        <w:rPr>
          <w:rFonts w:ascii="Garamond" w:hAnsi="Garamond"/>
          <w:sz w:val="20"/>
          <w:szCs w:val="20"/>
        </w:rPr>
        <w:t xml:space="preserve"> 2024; 12(14):1457. </w:t>
      </w:r>
      <w:hyperlink r:id="rId60" w:history="1">
        <w:r w:rsidRPr="00D26169">
          <w:rPr>
            <w:rStyle w:val="Hyperlink"/>
            <w:rFonts w:ascii="Garamond" w:hAnsi="Garamond"/>
            <w:sz w:val="20"/>
            <w:szCs w:val="20"/>
          </w:rPr>
          <w:t>https://doi.org/10.3390/healthcare12141457</w:t>
        </w:r>
      </w:hyperlink>
    </w:p>
    <w:p w14:paraId="02C52841" w14:textId="6A4ED928" w:rsidR="00BE3D43" w:rsidRPr="00D26169" w:rsidRDefault="00BE3D43" w:rsidP="00D26169">
      <w:pPr>
        <w:numPr>
          <w:ilvl w:val="0"/>
          <w:numId w:val="30"/>
        </w:numPr>
        <w:ind w:left="284"/>
        <w:rPr>
          <w:rFonts w:ascii="Garamond" w:hAnsi="Garamond"/>
          <w:sz w:val="20"/>
          <w:szCs w:val="20"/>
          <w:u w:val="single"/>
        </w:rPr>
      </w:pPr>
      <w:proofErr w:type="spellStart"/>
      <w:r w:rsidRPr="00D26169">
        <w:rPr>
          <w:rFonts w:ascii="Garamond" w:hAnsi="Garamond"/>
          <w:sz w:val="20"/>
          <w:szCs w:val="20"/>
        </w:rPr>
        <w:t>Pomey</w:t>
      </w:r>
      <w:proofErr w:type="spellEnd"/>
      <w:r w:rsidRPr="00D26169">
        <w:rPr>
          <w:rFonts w:ascii="Garamond" w:hAnsi="Garamond"/>
          <w:sz w:val="20"/>
          <w:szCs w:val="20"/>
        </w:rPr>
        <w:t xml:space="preserve"> MP, Schaad B. Lasserre</w:t>
      </w:r>
      <w:r w:rsidRPr="00D26169">
        <w:rPr>
          <w:rFonts w:ascii="Cambria Math" w:hAnsi="Cambria Math" w:cs="Cambria Math"/>
          <w:sz w:val="20"/>
          <w:szCs w:val="20"/>
        </w:rPr>
        <w:t>‐</w:t>
      </w:r>
      <w:r w:rsidRPr="00D26169">
        <w:rPr>
          <w:rFonts w:ascii="Garamond" w:hAnsi="Garamond"/>
          <w:sz w:val="20"/>
          <w:szCs w:val="20"/>
        </w:rPr>
        <w:t>Moutet A. B</w:t>
      </w:r>
      <w:r w:rsidRPr="00D26169">
        <w:rPr>
          <w:rFonts w:ascii="Garamond" w:hAnsi="Garamond" w:cs="Garamond"/>
          <w:sz w:val="20"/>
          <w:szCs w:val="20"/>
        </w:rPr>
        <w:t>ö</w:t>
      </w:r>
      <w:r w:rsidRPr="00D26169">
        <w:rPr>
          <w:rFonts w:ascii="Garamond" w:hAnsi="Garamond"/>
          <w:sz w:val="20"/>
          <w:szCs w:val="20"/>
        </w:rPr>
        <w:t xml:space="preserve">hme P, Jackson M. Towards a New Integrated Model for Taking </w:t>
      </w:r>
      <w:r w:rsidR="00D26169" w:rsidRPr="00D26169">
        <w:rPr>
          <w:rFonts w:ascii="Garamond" w:hAnsi="Garamond"/>
          <w:sz w:val="20"/>
          <w:szCs w:val="20"/>
        </w:rPr>
        <w:t>into</w:t>
      </w:r>
      <w:r w:rsidRPr="00D26169">
        <w:rPr>
          <w:rFonts w:ascii="Garamond" w:hAnsi="Garamond"/>
          <w:sz w:val="20"/>
          <w:szCs w:val="20"/>
        </w:rPr>
        <w:t xml:space="preserve"> Account the Experiential Knowledge of People </w:t>
      </w:r>
      <w:r w:rsidR="00D26169">
        <w:rPr>
          <w:rFonts w:ascii="Garamond" w:hAnsi="Garamond"/>
          <w:sz w:val="20"/>
          <w:szCs w:val="20"/>
        </w:rPr>
        <w:t>w</w:t>
      </w:r>
      <w:r w:rsidRPr="00D26169">
        <w:rPr>
          <w:rFonts w:ascii="Garamond" w:hAnsi="Garamond"/>
          <w:sz w:val="20"/>
          <w:szCs w:val="20"/>
        </w:rPr>
        <w:t>ith Chronic Diseases, Integrating Mediation, Therapeutic Education and Partnership: The Expanded Chronic Care Patient</w:t>
      </w:r>
      <w:r w:rsidRPr="00D26169">
        <w:rPr>
          <w:rFonts w:ascii="Garamond" w:hAnsi="Garamond" w:cs="Garamond"/>
          <w:sz w:val="20"/>
          <w:szCs w:val="20"/>
        </w:rPr>
        <w:t>–</w:t>
      </w:r>
      <w:r w:rsidRPr="00D26169">
        <w:rPr>
          <w:rFonts w:ascii="Garamond" w:hAnsi="Garamond"/>
          <w:sz w:val="20"/>
          <w:szCs w:val="20"/>
        </w:rPr>
        <w:t>Professional Partnership Model.</w:t>
      </w:r>
      <w:r w:rsidRPr="00D26169">
        <w:rPr>
          <w:rFonts w:ascii="Garamond" w:hAnsi="Garamond" w:cs="Garamond"/>
          <w:sz w:val="20"/>
          <w:szCs w:val="20"/>
        </w:rPr>
        <w:t> </w:t>
      </w:r>
      <w:r w:rsidRPr="00D26169">
        <w:rPr>
          <w:rFonts w:ascii="Garamond" w:hAnsi="Garamond"/>
          <w:sz w:val="20"/>
          <w:szCs w:val="20"/>
        </w:rPr>
        <w:t xml:space="preserve"> Health Expectations. 2024; 27(5): e70054. </w:t>
      </w:r>
      <w:hyperlink r:id="rId61" w:history="1">
        <w:r w:rsidRPr="00D26169">
          <w:rPr>
            <w:rStyle w:val="Hyperlink"/>
            <w:rFonts w:ascii="Garamond" w:hAnsi="Garamond"/>
            <w:sz w:val="20"/>
            <w:szCs w:val="20"/>
          </w:rPr>
          <w:t>https://doi.org/10.1111/hex.70054</w:t>
        </w:r>
      </w:hyperlink>
    </w:p>
    <w:p w14:paraId="60A603E1"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Belhaj H, </w:t>
      </w:r>
      <w:proofErr w:type="spellStart"/>
      <w:r w:rsidRPr="00D26169">
        <w:rPr>
          <w:rFonts w:ascii="Garamond" w:hAnsi="Garamond"/>
          <w:sz w:val="20"/>
          <w:szCs w:val="20"/>
        </w:rPr>
        <w:t>Barouaca</w:t>
      </w:r>
      <w:proofErr w:type="spellEnd"/>
      <w:r w:rsidRPr="00D26169">
        <w:rPr>
          <w:rFonts w:ascii="Garamond" w:hAnsi="Garamond"/>
          <w:sz w:val="20"/>
          <w:szCs w:val="20"/>
        </w:rPr>
        <w:t xml:space="preserve"> H, </w:t>
      </w:r>
      <w:proofErr w:type="spellStart"/>
      <w:r w:rsidRPr="00D26169">
        <w:rPr>
          <w:rFonts w:ascii="Garamond" w:hAnsi="Garamond"/>
          <w:sz w:val="20"/>
          <w:szCs w:val="20"/>
        </w:rPr>
        <w:t>Oudghiri</w:t>
      </w:r>
      <w:proofErr w:type="spellEnd"/>
      <w:r w:rsidRPr="00D26169">
        <w:rPr>
          <w:rFonts w:ascii="Garamond" w:hAnsi="Garamond"/>
          <w:sz w:val="20"/>
          <w:szCs w:val="20"/>
        </w:rPr>
        <w:t xml:space="preserve"> DE, </w:t>
      </w:r>
      <w:proofErr w:type="spellStart"/>
      <w:r w:rsidRPr="00D26169">
        <w:rPr>
          <w:rFonts w:ascii="Garamond" w:hAnsi="Garamond"/>
          <w:sz w:val="20"/>
          <w:szCs w:val="20"/>
        </w:rPr>
        <w:t>Lamiri</w:t>
      </w:r>
      <w:proofErr w:type="spellEnd"/>
      <w:r w:rsidRPr="00D26169">
        <w:rPr>
          <w:rFonts w:ascii="Garamond" w:hAnsi="Garamond"/>
          <w:sz w:val="20"/>
          <w:szCs w:val="20"/>
        </w:rPr>
        <w:t xml:space="preserve"> A, </w:t>
      </w:r>
      <w:proofErr w:type="spellStart"/>
      <w:r w:rsidRPr="00D26169">
        <w:rPr>
          <w:rFonts w:ascii="Garamond" w:hAnsi="Garamond"/>
          <w:sz w:val="20"/>
          <w:szCs w:val="20"/>
        </w:rPr>
        <w:t>Mostakim</w:t>
      </w:r>
      <w:proofErr w:type="spellEnd"/>
      <w:r w:rsidRPr="00D26169">
        <w:rPr>
          <w:rFonts w:ascii="Garamond" w:hAnsi="Garamond"/>
          <w:sz w:val="20"/>
          <w:szCs w:val="20"/>
        </w:rPr>
        <w:t xml:space="preserve"> M, </w:t>
      </w:r>
      <w:proofErr w:type="spellStart"/>
      <w:r w:rsidRPr="00D26169">
        <w:rPr>
          <w:rFonts w:ascii="Garamond" w:hAnsi="Garamond"/>
          <w:sz w:val="20"/>
          <w:szCs w:val="20"/>
        </w:rPr>
        <w:t>Timihiri</w:t>
      </w:r>
      <w:proofErr w:type="spellEnd"/>
      <w:r w:rsidRPr="00D26169">
        <w:rPr>
          <w:rFonts w:ascii="Garamond" w:hAnsi="Garamond"/>
          <w:sz w:val="20"/>
          <w:szCs w:val="20"/>
        </w:rPr>
        <w:t xml:space="preserve"> A Saoud Y. The influence of therapeutic education on diabetes-related distress and therapeutic adherence among patients with type 2 diabetes in </w:t>
      </w:r>
      <w:proofErr w:type="spellStart"/>
      <w:r w:rsidRPr="00D26169">
        <w:rPr>
          <w:rFonts w:ascii="Garamond" w:hAnsi="Garamond"/>
          <w:sz w:val="20"/>
          <w:szCs w:val="20"/>
        </w:rPr>
        <w:t>Tetouan</w:t>
      </w:r>
      <w:proofErr w:type="spellEnd"/>
      <w:r w:rsidRPr="00D26169">
        <w:rPr>
          <w:rFonts w:ascii="Garamond" w:hAnsi="Garamond"/>
          <w:sz w:val="20"/>
          <w:szCs w:val="20"/>
        </w:rPr>
        <w:t xml:space="preserve">, Morocco. European Journal of Clinical and Experimental </w:t>
      </w:r>
      <w:proofErr w:type="gramStart"/>
      <w:r w:rsidRPr="00D26169">
        <w:rPr>
          <w:rFonts w:ascii="Garamond" w:hAnsi="Garamond"/>
          <w:sz w:val="20"/>
          <w:szCs w:val="20"/>
        </w:rPr>
        <w:t>Medicine,.</w:t>
      </w:r>
      <w:proofErr w:type="gramEnd"/>
      <w:r w:rsidRPr="00D26169">
        <w:rPr>
          <w:rFonts w:ascii="Garamond" w:hAnsi="Garamond"/>
          <w:sz w:val="20"/>
          <w:szCs w:val="20"/>
        </w:rPr>
        <w:t xml:space="preserve"> 2024; 22(1): 140-146. </w:t>
      </w:r>
      <w:hyperlink r:id="rId62" w:history="1">
        <w:r w:rsidRPr="00D26169">
          <w:rPr>
            <w:rStyle w:val="Hyperlink"/>
            <w:rFonts w:ascii="Garamond" w:hAnsi="Garamond"/>
            <w:sz w:val="20"/>
            <w:szCs w:val="20"/>
          </w:rPr>
          <w:t>https://doi.org/10.15584/ejcem.2024.1.28</w:t>
        </w:r>
      </w:hyperlink>
    </w:p>
    <w:p w14:paraId="5BEFA668"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Powers MA, Bardsley J, Cypress M, Duker P, Funnell MM, Fischl AH, Vivian E. Diabetes self-management education and support in type 2 diabetes: a joint position statement of the American Diabetes Association, the American Association of Diabetes Educators, and the Academy of Nutrition and Dietetics. Clinical Diabetes. 2016; 34(2): 70-80. </w:t>
      </w:r>
      <w:hyperlink r:id="rId63" w:history="1">
        <w:r w:rsidRPr="00D26169">
          <w:rPr>
            <w:rStyle w:val="Hyperlink"/>
            <w:rFonts w:ascii="Garamond" w:hAnsi="Garamond"/>
            <w:sz w:val="20"/>
            <w:szCs w:val="20"/>
          </w:rPr>
          <w:t>https://doi.org/10.2337/dc15-0730</w:t>
        </w:r>
      </w:hyperlink>
    </w:p>
    <w:p w14:paraId="13CFC232"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Greenwood DA, Gee PM, Fatkin KJ, Peeples M. A systematic review of reviews evaluating technology-enabled diabetes self-management education and support. Journal of diabetes science and technology.  2017; 11(5): 1015-1027. </w:t>
      </w:r>
      <w:hyperlink r:id="rId64" w:history="1">
        <w:r w:rsidRPr="00D26169">
          <w:rPr>
            <w:rStyle w:val="Hyperlink"/>
            <w:rFonts w:ascii="Garamond" w:hAnsi="Garamond"/>
            <w:sz w:val="20"/>
            <w:szCs w:val="20"/>
          </w:rPr>
          <w:t>https://doi.org/10.1177/1932296817713506</w:t>
        </w:r>
      </w:hyperlink>
    </w:p>
    <w:p w14:paraId="2459A68C"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Olesen K, Hempler NF, Drejer S, Valeur Baumgarten S, Stenov V. Impact of patient</w:t>
      </w:r>
      <w:r w:rsidRPr="00D26169">
        <w:rPr>
          <w:rFonts w:ascii="Cambria Math" w:hAnsi="Cambria Math" w:cs="Cambria Math"/>
          <w:sz w:val="20"/>
          <w:szCs w:val="20"/>
        </w:rPr>
        <w:t>‐</w:t>
      </w:r>
      <w:proofErr w:type="spellStart"/>
      <w:r w:rsidRPr="00D26169">
        <w:rPr>
          <w:rFonts w:ascii="Garamond" w:hAnsi="Garamond"/>
          <w:sz w:val="20"/>
          <w:szCs w:val="20"/>
        </w:rPr>
        <w:t>centred</w:t>
      </w:r>
      <w:proofErr w:type="spellEnd"/>
      <w:r w:rsidRPr="00D26169">
        <w:rPr>
          <w:rFonts w:ascii="Garamond" w:hAnsi="Garamond"/>
          <w:sz w:val="20"/>
          <w:szCs w:val="20"/>
        </w:rPr>
        <w:t xml:space="preserve"> diabetes self</w:t>
      </w:r>
      <w:r w:rsidRPr="00D26169">
        <w:rPr>
          <w:rFonts w:ascii="Cambria Math" w:hAnsi="Cambria Math" w:cs="Cambria Math"/>
          <w:sz w:val="20"/>
          <w:szCs w:val="20"/>
        </w:rPr>
        <w:t>‐</w:t>
      </w:r>
      <w:r w:rsidRPr="00D26169">
        <w:rPr>
          <w:rFonts w:ascii="Garamond" w:hAnsi="Garamond"/>
          <w:sz w:val="20"/>
          <w:szCs w:val="20"/>
        </w:rPr>
        <w:t>management education targeting people with type 2 diabetes: an integrative review.</w:t>
      </w:r>
      <w:r w:rsidRPr="00D26169">
        <w:rPr>
          <w:rFonts w:ascii="Garamond" w:hAnsi="Garamond" w:cs="Garamond"/>
          <w:sz w:val="20"/>
          <w:szCs w:val="20"/>
        </w:rPr>
        <w:t> </w:t>
      </w:r>
      <w:r w:rsidRPr="00D26169">
        <w:rPr>
          <w:rFonts w:ascii="Garamond" w:hAnsi="Garamond"/>
          <w:sz w:val="20"/>
          <w:szCs w:val="20"/>
        </w:rPr>
        <w:t xml:space="preserve">Diabetic Medicine.  2020; 37(6): 909-923. </w:t>
      </w:r>
      <w:hyperlink r:id="rId65" w:history="1">
        <w:r w:rsidRPr="00D26169">
          <w:rPr>
            <w:rStyle w:val="Hyperlink"/>
            <w:rFonts w:ascii="Garamond" w:hAnsi="Garamond"/>
            <w:sz w:val="20"/>
            <w:szCs w:val="20"/>
          </w:rPr>
          <w:t>https://doi.org/10.1111/dme.14284</w:t>
        </w:r>
      </w:hyperlink>
    </w:p>
    <w:p w14:paraId="1E570D0C"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Correia JC, Waqas A, Huat TS, </w:t>
      </w:r>
      <w:proofErr w:type="spellStart"/>
      <w:r w:rsidRPr="00D26169">
        <w:rPr>
          <w:rFonts w:ascii="Garamond" w:hAnsi="Garamond"/>
          <w:sz w:val="20"/>
          <w:szCs w:val="20"/>
        </w:rPr>
        <w:t>Gariani</w:t>
      </w:r>
      <w:proofErr w:type="spellEnd"/>
      <w:r w:rsidRPr="00D26169">
        <w:rPr>
          <w:rFonts w:ascii="Garamond" w:hAnsi="Garamond"/>
          <w:sz w:val="20"/>
          <w:szCs w:val="20"/>
        </w:rPr>
        <w:t xml:space="preserve"> K, </w:t>
      </w:r>
      <w:proofErr w:type="spellStart"/>
      <w:r w:rsidRPr="00D26169">
        <w:rPr>
          <w:rFonts w:ascii="Garamond" w:hAnsi="Garamond"/>
          <w:sz w:val="20"/>
          <w:szCs w:val="20"/>
        </w:rPr>
        <w:t>Jornayvaz</w:t>
      </w:r>
      <w:proofErr w:type="spellEnd"/>
      <w:r w:rsidRPr="00D26169">
        <w:rPr>
          <w:rFonts w:ascii="Garamond" w:hAnsi="Garamond"/>
          <w:sz w:val="20"/>
          <w:szCs w:val="20"/>
        </w:rPr>
        <w:t xml:space="preserve"> FR, Golay A, Pataky Z. Effectiveness of therapeutic patient education interventions in obesity and diabetes: a systematic review and meta-analysis of randomized controlled trials. Nutrients.  2022; 14(18): 3807. </w:t>
      </w:r>
      <w:hyperlink r:id="rId66" w:history="1">
        <w:r w:rsidRPr="00D26169">
          <w:rPr>
            <w:rStyle w:val="Hyperlink"/>
            <w:rFonts w:ascii="Garamond" w:hAnsi="Garamond"/>
            <w:sz w:val="20"/>
            <w:szCs w:val="20"/>
          </w:rPr>
          <w:t>https://doi.org/ 10.3390/nu14183807</w:t>
        </w:r>
      </w:hyperlink>
    </w:p>
    <w:p w14:paraId="0C9C4414"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Yuan L, Guo X, Xiong Z, Lou Q, Shen L, Zhao F, Li J. Self-monitoring of blood glucose in type 2 diabetic patients in China: current status and influential factors. Chinese medical </w:t>
      </w:r>
      <w:proofErr w:type="gramStart"/>
      <w:r w:rsidRPr="00D26169">
        <w:rPr>
          <w:rFonts w:ascii="Garamond" w:hAnsi="Garamond"/>
          <w:sz w:val="20"/>
          <w:szCs w:val="20"/>
        </w:rPr>
        <w:t>journal,.</w:t>
      </w:r>
      <w:proofErr w:type="gramEnd"/>
      <w:r w:rsidRPr="00D26169">
        <w:rPr>
          <w:rFonts w:ascii="Garamond" w:hAnsi="Garamond"/>
          <w:sz w:val="20"/>
          <w:szCs w:val="20"/>
        </w:rPr>
        <w:t xml:space="preserve"> 2014; 127(2): 201-207. </w:t>
      </w:r>
      <w:hyperlink r:id="rId67" w:history="1">
        <w:r w:rsidRPr="00D26169">
          <w:rPr>
            <w:rStyle w:val="Hyperlink"/>
            <w:rFonts w:ascii="Garamond" w:hAnsi="Garamond"/>
            <w:sz w:val="20"/>
            <w:szCs w:val="20"/>
          </w:rPr>
          <w:t>https://doi.org/10</w:t>
        </w:r>
        <w:r w:rsidRPr="00D26169">
          <w:rPr>
            <w:rStyle w:val="Hyperlink"/>
            <w:rFonts w:ascii="Garamond" w:eastAsia="MS Mincho" w:hAnsi="Garamond" w:cs="MS Mincho"/>
            <w:sz w:val="20"/>
            <w:szCs w:val="20"/>
          </w:rPr>
          <w:t>．</w:t>
        </w:r>
        <w:r w:rsidRPr="00D26169">
          <w:rPr>
            <w:rStyle w:val="Hyperlink"/>
            <w:rFonts w:ascii="Garamond" w:hAnsi="Garamond"/>
            <w:sz w:val="20"/>
            <w:szCs w:val="20"/>
          </w:rPr>
          <w:t>3760</w:t>
        </w:r>
        <w:r w:rsidRPr="00D26169">
          <w:rPr>
            <w:rStyle w:val="Hyperlink"/>
            <w:rFonts w:ascii="Garamond" w:eastAsia="MS Mincho" w:hAnsi="Garamond" w:cs="MS Mincho"/>
            <w:sz w:val="20"/>
            <w:szCs w:val="20"/>
          </w:rPr>
          <w:t>／</w:t>
        </w:r>
        <w:r w:rsidRPr="00D26169">
          <w:rPr>
            <w:rStyle w:val="Hyperlink"/>
            <w:rFonts w:ascii="Garamond" w:hAnsi="Garamond"/>
            <w:sz w:val="20"/>
            <w:szCs w:val="20"/>
          </w:rPr>
          <w:t>cma</w:t>
        </w:r>
        <w:r w:rsidRPr="00D26169">
          <w:rPr>
            <w:rStyle w:val="Hyperlink"/>
            <w:rFonts w:ascii="Garamond" w:eastAsia="MS Mincho" w:hAnsi="Garamond" w:cs="MS Mincho"/>
            <w:sz w:val="20"/>
            <w:szCs w:val="20"/>
          </w:rPr>
          <w:t>．</w:t>
        </w:r>
        <w:r w:rsidRPr="00D26169">
          <w:rPr>
            <w:rStyle w:val="Hyperlink"/>
            <w:rFonts w:ascii="Garamond" w:hAnsi="Garamond"/>
            <w:sz w:val="20"/>
            <w:szCs w:val="20"/>
          </w:rPr>
          <w:t>issn</w:t>
        </w:r>
        <w:r w:rsidRPr="00D26169">
          <w:rPr>
            <w:rStyle w:val="Hyperlink"/>
            <w:rFonts w:ascii="Garamond" w:eastAsia="MS Mincho" w:hAnsi="Garamond" w:cs="MS Mincho"/>
            <w:sz w:val="20"/>
            <w:szCs w:val="20"/>
          </w:rPr>
          <w:t>．</w:t>
        </w:r>
        <w:r w:rsidRPr="00D26169">
          <w:rPr>
            <w:rStyle w:val="Hyperlink"/>
            <w:rFonts w:ascii="Garamond" w:hAnsi="Garamond"/>
            <w:sz w:val="20"/>
            <w:szCs w:val="20"/>
          </w:rPr>
          <w:t>0366</w:t>
        </w:r>
        <w:r w:rsidRPr="00D26169">
          <w:rPr>
            <w:rStyle w:val="Hyperlink"/>
            <w:rFonts w:ascii="Garamond" w:eastAsia="MS Mincho" w:hAnsi="Garamond" w:cs="MS Mincho"/>
            <w:sz w:val="20"/>
            <w:szCs w:val="20"/>
          </w:rPr>
          <w:t>．</w:t>
        </w:r>
        <w:r w:rsidRPr="00D26169">
          <w:rPr>
            <w:rStyle w:val="Hyperlink"/>
            <w:rFonts w:ascii="Garamond" w:hAnsi="Garamond"/>
            <w:sz w:val="20"/>
            <w:szCs w:val="20"/>
          </w:rPr>
          <w:t>6999_20131776</w:t>
        </w:r>
      </w:hyperlink>
    </w:p>
    <w:p w14:paraId="61EC6803"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Jasper US, Opara MC, </w:t>
      </w:r>
      <w:proofErr w:type="spellStart"/>
      <w:r w:rsidRPr="00D26169">
        <w:rPr>
          <w:rFonts w:ascii="Garamond" w:hAnsi="Garamond"/>
          <w:sz w:val="20"/>
          <w:szCs w:val="20"/>
        </w:rPr>
        <w:t>Pyiki</w:t>
      </w:r>
      <w:proofErr w:type="spellEnd"/>
      <w:r w:rsidRPr="00D26169">
        <w:rPr>
          <w:rFonts w:ascii="Garamond" w:hAnsi="Garamond"/>
          <w:sz w:val="20"/>
          <w:szCs w:val="20"/>
        </w:rPr>
        <w:t xml:space="preserve"> EB, </w:t>
      </w:r>
      <w:proofErr w:type="spellStart"/>
      <w:r w:rsidRPr="00D26169">
        <w:rPr>
          <w:rFonts w:ascii="Garamond" w:hAnsi="Garamond"/>
          <w:sz w:val="20"/>
          <w:szCs w:val="20"/>
        </w:rPr>
        <w:t>Akinrolie</w:t>
      </w:r>
      <w:proofErr w:type="spellEnd"/>
      <w:r w:rsidRPr="00D26169">
        <w:rPr>
          <w:rFonts w:ascii="Garamond" w:hAnsi="Garamond"/>
          <w:sz w:val="20"/>
          <w:szCs w:val="20"/>
        </w:rPr>
        <w:t xml:space="preserve"> O. Knowledge of insulin use and its determinants among Nigerian insulin requiring diabetes </w:t>
      </w:r>
      <w:r w:rsidRPr="00D26169">
        <w:rPr>
          <w:rFonts w:ascii="Garamond" w:hAnsi="Garamond"/>
          <w:sz w:val="20"/>
          <w:szCs w:val="20"/>
        </w:rPr>
        <w:lastRenderedPageBreak/>
        <w:t xml:space="preserve">patients. Journal of Diabetes &amp; Metabolic Disorders. </w:t>
      </w:r>
      <w:proofErr w:type="gramStart"/>
      <w:r w:rsidRPr="00D26169">
        <w:rPr>
          <w:rFonts w:ascii="Garamond" w:hAnsi="Garamond"/>
          <w:sz w:val="20"/>
          <w:szCs w:val="20"/>
        </w:rPr>
        <w:t>2014;  13</w:t>
      </w:r>
      <w:proofErr w:type="gramEnd"/>
      <w:r w:rsidRPr="00D26169">
        <w:rPr>
          <w:rFonts w:ascii="Garamond" w:hAnsi="Garamond"/>
          <w:sz w:val="20"/>
          <w:szCs w:val="20"/>
        </w:rPr>
        <w:t xml:space="preserve">: 1-8. </w:t>
      </w:r>
      <w:hyperlink r:id="rId68" w:history="1">
        <w:r w:rsidRPr="00D26169">
          <w:rPr>
            <w:rStyle w:val="Hyperlink"/>
            <w:rFonts w:ascii="Garamond" w:hAnsi="Garamond"/>
            <w:sz w:val="20"/>
            <w:szCs w:val="20"/>
          </w:rPr>
          <w:t>https://doi.org/10.1186/2251-6581-13-10</w:t>
        </w:r>
      </w:hyperlink>
    </w:p>
    <w:p w14:paraId="455F367F" w14:textId="77777777" w:rsidR="00BE3D43" w:rsidRPr="00D26169" w:rsidRDefault="00BE3D43" w:rsidP="00D26169">
      <w:pPr>
        <w:numPr>
          <w:ilvl w:val="0"/>
          <w:numId w:val="30"/>
        </w:numPr>
        <w:ind w:left="284"/>
        <w:rPr>
          <w:rFonts w:ascii="Garamond" w:hAnsi="Garamond"/>
          <w:sz w:val="20"/>
          <w:szCs w:val="20"/>
          <w:u w:val="single"/>
        </w:rPr>
      </w:pPr>
      <w:proofErr w:type="spellStart"/>
      <w:r w:rsidRPr="00D26169">
        <w:rPr>
          <w:rFonts w:ascii="Garamond" w:hAnsi="Garamond"/>
          <w:sz w:val="20"/>
          <w:szCs w:val="20"/>
        </w:rPr>
        <w:t>Louzolo-Kimbembe</w:t>
      </w:r>
      <w:proofErr w:type="spellEnd"/>
      <w:r w:rsidRPr="00D26169">
        <w:rPr>
          <w:rFonts w:ascii="Garamond" w:hAnsi="Garamond"/>
          <w:sz w:val="20"/>
          <w:szCs w:val="20"/>
        </w:rPr>
        <w:t xml:space="preserve"> R. Insulin Injection </w:t>
      </w:r>
      <w:proofErr w:type="gramStart"/>
      <w:r w:rsidRPr="00D26169">
        <w:rPr>
          <w:rFonts w:ascii="Garamond" w:hAnsi="Garamond"/>
          <w:sz w:val="20"/>
          <w:szCs w:val="20"/>
        </w:rPr>
        <w:t>A</w:t>
      </w:r>
      <w:proofErr w:type="gramEnd"/>
      <w:r w:rsidRPr="00D26169">
        <w:rPr>
          <w:rFonts w:ascii="Garamond" w:hAnsi="Garamond"/>
          <w:sz w:val="20"/>
          <w:szCs w:val="20"/>
        </w:rPr>
        <w:t xml:space="preserve"> Non-Trivial Act with Sometimes Serious Consequences: Major Role of Therapeutic Education. SAS J Med. 2021; 2: 47-49. </w:t>
      </w:r>
      <w:hyperlink r:id="rId69" w:history="1">
        <w:r w:rsidRPr="00D26169">
          <w:rPr>
            <w:rStyle w:val="Hyperlink"/>
            <w:rFonts w:ascii="Garamond" w:hAnsi="Garamond"/>
            <w:sz w:val="20"/>
            <w:szCs w:val="20"/>
          </w:rPr>
          <w:t>https://doi.org/10.36347/sasjm.2021.v07i02.005</w:t>
        </w:r>
      </w:hyperlink>
    </w:p>
    <w:p w14:paraId="70BA8631" w14:textId="77777777" w:rsidR="00BE3D43" w:rsidRPr="00D26169" w:rsidRDefault="00BE3D43" w:rsidP="00D26169">
      <w:pPr>
        <w:numPr>
          <w:ilvl w:val="0"/>
          <w:numId w:val="30"/>
        </w:numPr>
        <w:ind w:left="284"/>
        <w:rPr>
          <w:rFonts w:ascii="Garamond" w:hAnsi="Garamond"/>
          <w:sz w:val="20"/>
          <w:szCs w:val="20"/>
          <w:u w:val="single"/>
        </w:rPr>
      </w:pPr>
      <w:proofErr w:type="spellStart"/>
      <w:r w:rsidRPr="00D26169">
        <w:rPr>
          <w:rFonts w:ascii="Garamond" w:hAnsi="Garamond"/>
          <w:sz w:val="20"/>
          <w:szCs w:val="20"/>
        </w:rPr>
        <w:t>Netere</w:t>
      </w:r>
      <w:proofErr w:type="spellEnd"/>
      <w:r w:rsidRPr="00D26169">
        <w:rPr>
          <w:rFonts w:ascii="Garamond" w:hAnsi="Garamond"/>
          <w:sz w:val="20"/>
          <w:szCs w:val="20"/>
        </w:rPr>
        <w:t xml:space="preserve"> AK, </w:t>
      </w:r>
      <w:proofErr w:type="spellStart"/>
      <w:r w:rsidRPr="00D26169">
        <w:rPr>
          <w:rFonts w:ascii="Garamond" w:hAnsi="Garamond"/>
          <w:sz w:val="20"/>
          <w:szCs w:val="20"/>
        </w:rPr>
        <w:t>Ashete</w:t>
      </w:r>
      <w:proofErr w:type="spellEnd"/>
      <w:r w:rsidRPr="00D26169">
        <w:rPr>
          <w:rFonts w:ascii="Garamond" w:hAnsi="Garamond"/>
          <w:sz w:val="20"/>
          <w:szCs w:val="20"/>
        </w:rPr>
        <w:t xml:space="preserve"> E, </w:t>
      </w:r>
      <w:proofErr w:type="spellStart"/>
      <w:r w:rsidRPr="00D26169">
        <w:rPr>
          <w:rFonts w:ascii="Garamond" w:hAnsi="Garamond"/>
          <w:sz w:val="20"/>
          <w:szCs w:val="20"/>
        </w:rPr>
        <w:t>Gebreyohannes</w:t>
      </w:r>
      <w:proofErr w:type="spellEnd"/>
      <w:r w:rsidRPr="00D26169">
        <w:rPr>
          <w:rFonts w:ascii="Garamond" w:hAnsi="Garamond"/>
          <w:sz w:val="20"/>
          <w:szCs w:val="20"/>
        </w:rPr>
        <w:t xml:space="preserve"> EA, Belachew SA. Evaluations of knowledge, skills and practices of insulin storage and injection handling techniques of diabetic patients in Ethiopian primary hospitals. BMC Public Health.  2020; 20: 1-10. </w:t>
      </w:r>
      <w:hyperlink r:id="rId70" w:history="1">
        <w:r w:rsidRPr="00D26169">
          <w:rPr>
            <w:rStyle w:val="Hyperlink"/>
            <w:rFonts w:ascii="Garamond" w:hAnsi="Garamond"/>
            <w:sz w:val="20"/>
            <w:szCs w:val="20"/>
          </w:rPr>
          <w:t>https://doi.org/10.1186/s12889-020-09622-4</w:t>
        </w:r>
      </w:hyperlink>
    </w:p>
    <w:p w14:paraId="3EBB00C2" w14:textId="77777777" w:rsidR="00BE3D43" w:rsidRPr="00D26169" w:rsidRDefault="00BE3D43" w:rsidP="00D26169">
      <w:pPr>
        <w:numPr>
          <w:ilvl w:val="0"/>
          <w:numId w:val="30"/>
        </w:numPr>
        <w:ind w:left="284"/>
        <w:rPr>
          <w:rFonts w:ascii="Garamond" w:hAnsi="Garamond"/>
          <w:sz w:val="20"/>
          <w:szCs w:val="20"/>
          <w:u w:val="single"/>
        </w:rPr>
      </w:pPr>
      <w:proofErr w:type="spellStart"/>
      <w:r w:rsidRPr="00D26169">
        <w:rPr>
          <w:rFonts w:ascii="Garamond" w:hAnsi="Garamond"/>
          <w:sz w:val="20"/>
          <w:szCs w:val="20"/>
        </w:rPr>
        <w:t>Mehrabbeik</w:t>
      </w:r>
      <w:proofErr w:type="spellEnd"/>
      <w:r w:rsidRPr="00D26169">
        <w:rPr>
          <w:rFonts w:ascii="Garamond" w:hAnsi="Garamond"/>
          <w:sz w:val="20"/>
          <w:szCs w:val="20"/>
        </w:rPr>
        <w:t xml:space="preserve"> A, </w:t>
      </w:r>
      <w:proofErr w:type="spellStart"/>
      <w:r w:rsidRPr="00D26169">
        <w:rPr>
          <w:rFonts w:ascii="Garamond" w:hAnsi="Garamond"/>
          <w:sz w:val="20"/>
          <w:szCs w:val="20"/>
        </w:rPr>
        <w:t>Namiranian</w:t>
      </w:r>
      <w:proofErr w:type="spellEnd"/>
      <w:r w:rsidRPr="00D26169">
        <w:rPr>
          <w:rFonts w:ascii="Garamond" w:hAnsi="Garamond"/>
          <w:sz w:val="20"/>
          <w:szCs w:val="20"/>
        </w:rPr>
        <w:t xml:space="preserve"> N, Azizi R, </w:t>
      </w:r>
      <w:proofErr w:type="spellStart"/>
      <w:r w:rsidRPr="00D26169">
        <w:rPr>
          <w:rFonts w:ascii="Garamond" w:hAnsi="Garamond"/>
          <w:sz w:val="20"/>
          <w:szCs w:val="20"/>
        </w:rPr>
        <w:t>Meybody</w:t>
      </w:r>
      <w:proofErr w:type="spellEnd"/>
      <w:r w:rsidRPr="00D26169">
        <w:rPr>
          <w:rFonts w:ascii="Garamond" w:hAnsi="Garamond"/>
          <w:sz w:val="20"/>
          <w:szCs w:val="20"/>
        </w:rPr>
        <w:t xml:space="preserve"> MA, Shariati M. </w:t>
      </w:r>
      <w:proofErr w:type="spellStart"/>
      <w:r w:rsidRPr="00D26169">
        <w:rPr>
          <w:rFonts w:ascii="Garamond" w:hAnsi="Garamond"/>
          <w:sz w:val="20"/>
          <w:szCs w:val="20"/>
        </w:rPr>
        <w:t>Kohani</w:t>
      </w:r>
      <w:proofErr w:type="spellEnd"/>
      <w:r w:rsidRPr="00D26169">
        <w:rPr>
          <w:rFonts w:ascii="Garamond" w:hAnsi="Garamond"/>
          <w:sz w:val="20"/>
          <w:szCs w:val="20"/>
        </w:rPr>
        <w:t xml:space="preserve"> H AM. Investigation of association between insulin injection technique and blood glucose control in patients with type 2 diabetes. International Journal of Endocrinology and </w:t>
      </w:r>
      <w:proofErr w:type="gramStart"/>
      <w:r w:rsidRPr="00D26169">
        <w:rPr>
          <w:rFonts w:ascii="Garamond" w:hAnsi="Garamond"/>
          <w:sz w:val="20"/>
          <w:szCs w:val="20"/>
        </w:rPr>
        <w:t>Metabolism,.</w:t>
      </w:r>
      <w:proofErr w:type="gramEnd"/>
      <w:r w:rsidRPr="00D26169">
        <w:rPr>
          <w:rFonts w:ascii="Garamond" w:hAnsi="Garamond"/>
          <w:sz w:val="20"/>
          <w:szCs w:val="20"/>
        </w:rPr>
        <w:t xml:space="preserve"> 2022; 20(4): e128392. </w:t>
      </w:r>
      <w:hyperlink r:id="rId71" w:history="1">
        <w:r w:rsidRPr="00D26169">
          <w:rPr>
            <w:rStyle w:val="Hyperlink"/>
            <w:rFonts w:ascii="Garamond" w:hAnsi="Garamond"/>
            <w:sz w:val="20"/>
            <w:szCs w:val="20"/>
          </w:rPr>
          <w:t>https://doi.org/10.5812/ijem-128392</w:t>
        </w:r>
      </w:hyperlink>
    </w:p>
    <w:p w14:paraId="2718EF2A"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Blanco M, Hernández MT, Strauss KW, Amaya M. Prevalence and risk factors of </w:t>
      </w:r>
      <w:proofErr w:type="spellStart"/>
      <w:r w:rsidRPr="00D26169">
        <w:rPr>
          <w:rFonts w:ascii="Garamond" w:hAnsi="Garamond"/>
          <w:sz w:val="20"/>
          <w:szCs w:val="20"/>
        </w:rPr>
        <w:t>lipohypertrophy</w:t>
      </w:r>
      <w:proofErr w:type="spellEnd"/>
      <w:r w:rsidRPr="00D26169">
        <w:rPr>
          <w:rFonts w:ascii="Garamond" w:hAnsi="Garamond"/>
          <w:sz w:val="20"/>
          <w:szCs w:val="20"/>
        </w:rPr>
        <w:t xml:space="preserve"> in insulin-injecting patients with diabetes. Diabetes &amp; Metabolism. 2013; 39(5): 445-453. </w:t>
      </w:r>
      <w:hyperlink r:id="rId72" w:history="1">
        <w:r w:rsidRPr="00D26169">
          <w:rPr>
            <w:rStyle w:val="Hyperlink"/>
            <w:rFonts w:ascii="Garamond" w:hAnsi="Garamond"/>
            <w:sz w:val="20"/>
            <w:szCs w:val="20"/>
          </w:rPr>
          <w:t>http://dx.doi.org/10.1016/j.diabet.2013.05.006</w:t>
        </w:r>
      </w:hyperlink>
    </w:p>
    <w:p w14:paraId="029BEC30"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Patil M, Sahoo J, Kamalanathan S, </w:t>
      </w:r>
      <w:proofErr w:type="spellStart"/>
      <w:r w:rsidRPr="00D26169">
        <w:rPr>
          <w:rFonts w:ascii="Garamond" w:hAnsi="Garamond"/>
          <w:sz w:val="20"/>
          <w:szCs w:val="20"/>
        </w:rPr>
        <w:t>Selviambigapathy</w:t>
      </w:r>
      <w:proofErr w:type="spellEnd"/>
      <w:r w:rsidRPr="00D26169">
        <w:rPr>
          <w:rFonts w:ascii="Garamond" w:hAnsi="Garamond"/>
          <w:sz w:val="20"/>
          <w:szCs w:val="20"/>
        </w:rPr>
        <w:t xml:space="preserve"> J, Balachandran K, Kumar R, Ajmal K. Assessment of insulin injection techniques among diabetes patients in a tertiary care </w:t>
      </w:r>
      <w:proofErr w:type="spellStart"/>
      <w:r w:rsidRPr="00D26169">
        <w:rPr>
          <w:rFonts w:ascii="Garamond" w:hAnsi="Garamond"/>
          <w:sz w:val="20"/>
          <w:szCs w:val="20"/>
        </w:rPr>
        <w:t>centre</w:t>
      </w:r>
      <w:proofErr w:type="spellEnd"/>
      <w:r w:rsidRPr="00D26169">
        <w:rPr>
          <w:rFonts w:ascii="Garamond" w:hAnsi="Garamond"/>
          <w:sz w:val="20"/>
          <w:szCs w:val="20"/>
        </w:rPr>
        <w:t xml:space="preserve">. Diabetes &amp; Metabolic Syndrome: Clinical Research &amp; Reviews. 2017; 11: S53-S56. </w:t>
      </w:r>
      <w:hyperlink r:id="rId73" w:history="1">
        <w:r w:rsidRPr="00D26169">
          <w:rPr>
            <w:rStyle w:val="Hyperlink"/>
            <w:rFonts w:ascii="Garamond" w:hAnsi="Garamond"/>
            <w:sz w:val="20"/>
            <w:szCs w:val="20"/>
          </w:rPr>
          <w:t>http://dx.doi.org/10.1016/j.dsx.2016.09.010</w:t>
        </w:r>
      </w:hyperlink>
    </w:p>
    <w:p w14:paraId="32C09D51"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 </w:t>
      </w:r>
      <w:proofErr w:type="spellStart"/>
      <w:r w:rsidRPr="00D26169">
        <w:rPr>
          <w:rFonts w:ascii="Garamond" w:hAnsi="Garamond"/>
          <w:sz w:val="20"/>
          <w:szCs w:val="20"/>
        </w:rPr>
        <w:t>Krzymien</w:t>
      </w:r>
      <w:proofErr w:type="spellEnd"/>
      <w:r w:rsidRPr="00D26169">
        <w:rPr>
          <w:rFonts w:ascii="Garamond" w:hAnsi="Garamond"/>
          <w:sz w:val="20"/>
          <w:szCs w:val="20"/>
        </w:rPr>
        <w:t xml:space="preserve"> J, </w:t>
      </w:r>
      <w:proofErr w:type="spellStart"/>
      <w:r w:rsidRPr="00D26169">
        <w:rPr>
          <w:rFonts w:ascii="Garamond" w:hAnsi="Garamond"/>
          <w:sz w:val="20"/>
          <w:szCs w:val="20"/>
        </w:rPr>
        <w:t>Ladyzynski</w:t>
      </w:r>
      <w:proofErr w:type="spellEnd"/>
      <w:r w:rsidRPr="00D26169">
        <w:rPr>
          <w:rFonts w:ascii="Garamond" w:hAnsi="Garamond"/>
          <w:sz w:val="20"/>
          <w:szCs w:val="20"/>
        </w:rPr>
        <w:t xml:space="preserve"> P. Insulin in type 1 and type 2 diabetes—should the dose of insulin before a meal be based on glycemia or meal </w:t>
      </w:r>
      <w:proofErr w:type="gramStart"/>
      <w:r w:rsidRPr="00D26169">
        <w:rPr>
          <w:rFonts w:ascii="Garamond" w:hAnsi="Garamond"/>
          <w:sz w:val="20"/>
          <w:szCs w:val="20"/>
        </w:rPr>
        <w:t>content ?</w:t>
      </w:r>
      <w:proofErr w:type="gramEnd"/>
      <w:r w:rsidRPr="00D26169">
        <w:rPr>
          <w:rFonts w:ascii="Garamond" w:hAnsi="Garamond"/>
          <w:sz w:val="20"/>
          <w:szCs w:val="20"/>
        </w:rPr>
        <w:t>. Nutrients.  2019; 11(3): 607.  </w:t>
      </w:r>
      <w:hyperlink r:id="rId74" w:history="1">
        <w:r w:rsidRPr="00D26169">
          <w:rPr>
            <w:rStyle w:val="Hyperlink"/>
            <w:rFonts w:ascii="Garamond" w:hAnsi="Garamond"/>
            <w:sz w:val="20"/>
            <w:szCs w:val="20"/>
          </w:rPr>
          <w:t>https://doi.org/10.3390/ nu11030607</w:t>
        </w:r>
      </w:hyperlink>
    </w:p>
    <w:p w14:paraId="226008E4" w14:textId="77777777" w:rsidR="00BE3D43" w:rsidRPr="00D26169" w:rsidRDefault="00BE3D43" w:rsidP="00D26169">
      <w:pPr>
        <w:numPr>
          <w:ilvl w:val="0"/>
          <w:numId w:val="30"/>
        </w:numPr>
        <w:ind w:left="284"/>
        <w:rPr>
          <w:rFonts w:ascii="Garamond" w:hAnsi="Garamond"/>
          <w:sz w:val="20"/>
          <w:szCs w:val="20"/>
          <w:u w:val="single"/>
        </w:rPr>
      </w:pPr>
      <w:r w:rsidRPr="00D26169">
        <w:rPr>
          <w:rFonts w:ascii="Garamond" w:hAnsi="Garamond"/>
          <w:sz w:val="20"/>
          <w:szCs w:val="20"/>
        </w:rPr>
        <w:t xml:space="preserve">Robinson S, Newson RS, Liao B, Kennedy-Martin T, </w:t>
      </w:r>
      <w:proofErr w:type="spellStart"/>
      <w:r w:rsidRPr="00D26169">
        <w:rPr>
          <w:rFonts w:ascii="Garamond" w:hAnsi="Garamond"/>
          <w:sz w:val="20"/>
          <w:szCs w:val="20"/>
        </w:rPr>
        <w:t>Battelino</w:t>
      </w:r>
      <w:proofErr w:type="spellEnd"/>
      <w:r w:rsidRPr="00D26169">
        <w:rPr>
          <w:rFonts w:ascii="Garamond" w:hAnsi="Garamond"/>
          <w:sz w:val="20"/>
          <w:szCs w:val="20"/>
        </w:rPr>
        <w:t xml:space="preserve"> T. Missed and mistimed insulin doses in people with diabetes: a systematic literature review. Diabetes Technology &amp; Therapeutics. 2021; 23(12): 844-856. </w:t>
      </w:r>
      <w:hyperlink r:id="rId75" w:history="1">
        <w:r w:rsidRPr="00D26169">
          <w:rPr>
            <w:rStyle w:val="Hyperlink"/>
            <w:rFonts w:ascii="Garamond" w:hAnsi="Garamond"/>
            <w:sz w:val="20"/>
            <w:szCs w:val="20"/>
          </w:rPr>
          <w:t>https://doi.org/10.1089/dia.2021.0164</w:t>
        </w:r>
      </w:hyperlink>
    </w:p>
    <w:p w14:paraId="5941E2DA" w14:textId="77777777" w:rsidR="00BE3D43" w:rsidRPr="00D26169" w:rsidRDefault="00BE3D43" w:rsidP="00D26169">
      <w:pPr>
        <w:numPr>
          <w:ilvl w:val="0"/>
          <w:numId w:val="30"/>
        </w:numPr>
        <w:ind w:left="284"/>
        <w:rPr>
          <w:rFonts w:ascii="Garamond" w:hAnsi="Garamond"/>
          <w:sz w:val="20"/>
          <w:szCs w:val="20"/>
          <w:u w:val="single"/>
        </w:rPr>
      </w:pPr>
      <w:proofErr w:type="spellStart"/>
      <w:r w:rsidRPr="00D26169">
        <w:rPr>
          <w:rFonts w:ascii="Garamond" w:hAnsi="Garamond"/>
          <w:sz w:val="20"/>
          <w:szCs w:val="20"/>
          <w:lang w:val="fr-MA"/>
        </w:rPr>
        <w:t>Papakonstantinou</w:t>
      </w:r>
      <w:proofErr w:type="spellEnd"/>
      <w:r w:rsidRPr="00D26169">
        <w:rPr>
          <w:rFonts w:ascii="Garamond" w:hAnsi="Garamond"/>
          <w:sz w:val="20"/>
          <w:szCs w:val="20"/>
          <w:lang w:val="fr-MA"/>
        </w:rPr>
        <w:t xml:space="preserve"> E, </w:t>
      </w:r>
      <w:proofErr w:type="spellStart"/>
      <w:r w:rsidRPr="00D26169">
        <w:rPr>
          <w:rFonts w:ascii="Garamond" w:hAnsi="Garamond"/>
          <w:sz w:val="20"/>
          <w:szCs w:val="20"/>
          <w:lang w:val="fr-MA"/>
        </w:rPr>
        <w:t>Oikonomou</w:t>
      </w:r>
      <w:proofErr w:type="spellEnd"/>
      <w:r w:rsidRPr="00D26169">
        <w:rPr>
          <w:rFonts w:ascii="Garamond" w:hAnsi="Garamond"/>
          <w:sz w:val="20"/>
          <w:szCs w:val="20"/>
          <w:lang w:val="fr-MA"/>
        </w:rPr>
        <w:t xml:space="preserve"> C, </w:t>
      </w:r>
      <w:proofErr w:type="spellStart"/>
      <w:r w:rsidRPr="00D26169">
        <w:rPr>
          <w:rFonts w:ascii="Garamond" w:hAnsi="Garamond"/>
          <w:sz w:val="20"/>
          <w:szCs w:val="20"/>
          <w:lang w:val="fr-MA"/>
        </w:rPr>
        <w:t>Nychas</w:t>
      </w:r>
      <w:proofErr w:type="spellEnd"/>
      <w:r w:rsidRPr="00D26169">
        <w:rPr>
          <w:rFonts w:ascii="Garamond" w:hAnsi="Garamond"/>
          <w:sz w:val="20"/>
          <w:szCs w:val="20"/>
          <w:lang w:val="fr-MA"/>
        </w:rPr>
        <w:t xml:space="preserve"> G, </w:t>
      </w:r>
      <w:proofErr w:type="spellStart"/>
      <w:r w:rsidRPr="00D26169">
        <w:rPr>
          <w:rFonts w:ascii="Garamond" w:hAnsi="Garamond"/>
          <w:sz w:val="20"/>
          <w:szCs w:val="20"/>
          <w:lang w:val="fr-MA"/>
        </w:rPr>
        <w:t>Dimitriadis</w:t>
      </w:r>
      <w:proofErr w:type="spellEnd"/>
      <w:r w:rsidRPr="00D26169">
        <w:rPr>
          <w:rFonts w:ascii="Garamond" w:hAnsi="Garamond"/>
          <w:sz w:val="20"/>
          <w:szCs w:val="20"/>
          <w:lang w:val="fr-MA"/>
        </w:rPr>
        <w:t xml:space="preserve"> GD. </w:t>
      </w:r>
      <w:r w:rsidRPr="00D26169">
        <w:rPr>
          <w:rFonts w:ascii="Garamond" w:hAnsi="Garamond"/>
          <w:sz w:val="20"/>
          <w:szCs w:val="20"/>
        </w:rPr>
        <w:t xml:space="preserve">Effects of diet, lifestyle, </w:t>
      </w:r>
      <w:proofErr w:type="spellStart"/>
      <w:r w:rsidRPr="00D26169">
        <w:rPr>
          <w:rFonts w:ascii="Garamond" w:hAnsi="Garamond"/>
          <w:sz w:val="20"/>
          <w:szCs w:val="20"/>
        </w:rPr>
        <w:t>chrononutrition</w:t>
      </w:r>
      <w:proofErr w:type="spellEnd"/>
      <w:r w:rsidRPr="00D26169">
        <w:rPr>
          <w:rFonts w:ascii="Garamond" w:hAnsi="Garamond"/>
          <w:sz w:val="20"/>
          <w:szCs w:val="20"/>
        </w:rPr>
        <w:t xml:space="preserve"> and alternative dietary interventions on postprandial glycemia and insulin resistance. Nutrients. 2022; 14(4): 823.  </w:t>
      </w:r>
      <w:hyperlink r:id="rId76" w:history="1">
        <w:r w:rsidRPr="00D26169">
          <w:rPr>
            <w:rStyle w:val="Hyperlink"/>
            <w:rFonts w:ascii="Garamond" w:hAnsi="Garamond"/>
            <w:sz w:val="20"/>
            <w:szCs w:val="20"/>
          </w:rPr>
          <w:t>https://doi.org/ 10.3390/nu14040823</w:t>
        </w:r>
      </w:hyperlink>
    </w:p>
    <w:p w14:paraId="4FA89EBC" w14:textId="77777777" w:rsidR="00BE3D43" w:rsidRPr="00D26169" w:rsidRDefault="00BE3D43" w:rsidP="00D26169">
      <w:pPr>
        <w:numPr>
          <w:ilvl w:val="0"/>
          <w:numId w:val="30"/>
        </w:numPr>
        <w:ind w:left="284"/>
        <w:rPr>
          <w:rFonts w:ascii="Garamond" w:hAnsi="Garamond"/>
          <w:sz w:val="20"/>
          <w:szCs w:val="20"/>
        </w:rPr>
      </w:pPr>
      <w:proofErr w:type="spellStart"/>
      <w:r w:rsidRPr="00D26169">
        <w:rPr>
          <w:rFonts w:ascii="Garamond" w:hAnsi="Garamond"/>
          <w:sz w:val="20"/>
          <w:szCs w:val="20"/>
        </w:rPr>
        <w:t>Spollett</w:t>
      </w:r>
      <w:proofErr w:type="spellEnd"/>
      <w:r w:rsidRPr="00D26169">
        <w:rPr>
          <w:rFonts w:ascii="Garamond" w:hAnsi="Garamond"/>
          <w:sz w:val="20"/>
          <w:szCs w:val="20"/>
        </w:rPr>
        <w:t xml:space="preserve"> G, Edelman SV, Mehner, P, Walter C, </w:t>
      </w:r>
      <w:proofErr w:type="spellStart"/>
      <w:r w:rsidRPr="00D26169">
        <w:rPr>
          <w:rFonts w:ascii="Garamond" w:hAnsi="Garamond"/>
          <w:sz w:val="20"/>
          <w:szCs w:val="20"/>
        </w:rPr>
        <w:t>Penfornis</w:t>
      </w:r>
      <w:proofErr w:type="spellEnd"/>
      <w:r w:rsidRPr="00D26169">
        <w:rPr>
          <w:rFonts w:ascii="Garamond" w:hAnsi="Garamond"/>
          <w:sz w:val="20"/>
          <w:szCs w:val="20"/>
        </w:rPr>
        <w:t xml:space="preserve"> A. Improvement of insulin injection technique: examination of current issues and </w:t>
      </w:r>
      <w:r w:rsidRPr="00D26169">
        <w:rPr>
          <w:rFonts w:ascii="Garamond" w:hAnsi="Garamond"/>
          <w:sz w:val="20"/>
          <w:szCs w:val="20"/>
        </w:rPr>
        <w:t xml:space="preserve">recommendations. The Diabetes Educator.  2016; 42(4): 379-394. </w:t>
      </w:r>
      <w:hyperlink r:id="rId77" w:history="1">
        <w:r w:rsidRPr="00D26169">
          <w:rPr>
            <w:rStyle w:val="Hyperlink"/>
            <w:rFonts w:ascii="Garamond" w:hAnsi="Garamond"/>
            <w:sz w:val="20"/>
            <w:szCs w:val="20"/>
          </w:rPr>
          <w:t>https://doi.org/10.1177/0145721716648017</w:t>
        </w:r>
      </w:hyperlink>
    </w:p>
    <w:p w14:paraId="6F13B79D" w14:textId="7010AEB5" w:rsidR="008E564F" w:rsidRPr="00D26169" w:rsidRDefault="00BE3D43" w:rsidP="00D26169">
      <w:pPr>
        <w:numPr>
          <w:ilvl w:val="0"/>
          <w:numId w:val="30"/>
        </w:numPr>
        <w:ind w:left="284"/>
        <w:rPr>
          <w:rFonts w:ascii="Garamond" w:hAnsi="Garamond"/>
          <w:sz w:val="20"/>
          <w:szCs w:val="20"/>
          <w:u w:val="single"/>
        </w:rPr>
      </w:pPr>
      <w:proofErr w:type="spellStart"/>
      <w:r w:rsidRPr="00D26169">
        <w:rPr>
          <w:rFonts w:ascii="Garamond" w:hAnsi="Garamond"/>
          <w:sz w:val="20"/>
          <w:szCs w:val="20"/>
        </w:rPr>
        <w:t>Klonoff</w:t>
      </w:r>
      <w:proofErr w:type="spellEnd"/>
      <w:r w:rsidRPr="00D26169">
        <w:rPr>
          <w:rFonts w:ascii="Garamond" w:hAnsi="Garamond"/>
          <w:sz w:val="20"/>
          <w:szCs w:val="20"/>
        </w:rPr>
        <w:t xml:space="preserve"> DC, Berard L, Franco DR, Gentile S, Gomez OV, Hussein Z, Heinemann L. Advance insulin injection technique and education with FITTER forward expert recommendations. In Mayo Clinic Proceedings. 2025;100(4):682-699. </w:t>
      </w:r>
      <w:hyperlink r:id="rId78" w:history="1">
        <w:r w:rsidRPr="00D26169">
          <w:rPr>
            <w:rStyle w:val="Hyperlink"/>
            <w:rFonts w:ascii="Garamond" w:hAnsi="Garamond"/>
            <w:sz w:val="20"/>
            <w:szCs w:val="20"/>
          </w:rPr>
          <w:t>https://doi.org/</w:t>
        </w:r>
      </w:hyperlink>
      <w:hyperlink r:id="rId79" w:tgtFrame="_blank" w:history="1">
        <w:r w:rsidRPr="00D26169">
          <w:rPr>
            <w:rStyle w:val="Hyperlink"/>
            <w:rFonts w:ascii="Garamond" w:hAnsi="Garamond"/>
            <w:sz w:val="20"/>
            <w:szCs w:val="20"/>
          </w:rPr>
          <w:t>10.1016/j.mayocp.2025.01.004</w:t>
        </w:r>
      </w:hyperlink>
    </w:p>
    <w:p w14:paraId="51EBCFF5" w14:textId="77777777" w:rsidR="00D26169" w:rsidRDefault="00D26169" w:rsidP="00D26169">
      <w:pPr>
        <w:rPr>
          <w:rFonts w:ascii="Garamond" w:hAnsi="Garamond"/>
          <w:sz w:val="20"/>
          <w:szCs w:val="20"/>
        </w:rPr>
      </w:pPr>
    </w:p>
    <w:p w14:paraId="48C90EE0" w14:textId="77777777" w:rsidR="00D26169" w:rsidRPr="00D26169" w:rsidRDefault="00D26169" w:rsidP="00D26169">
      <w:pPr>
        <w:rPr>
          <w:rFonts w:ascii="Garamond" w:hAnsi="Garamond"/>
          <w:sz w:val="20"/>
          <w:szCs w:val="20"/>
          <w:u w:val="single"/>
        </w:rPr>
      </w:pPr>
    </w:p>
    <w:sectPr w:rsidR="00D26169" w:rsidRPr="00D26169" w:rsidSect="00BE3D43">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87879" w14:textId="77777777" w:rsidR="00A25373" w:rsidRDefault="00A25373" w:rsidP="00202B90">
      <w:r>
        <w:separator/>
      </w:r>
    </w:p>
  </w:endnote>
  <w:endnote w:type="continuationSeparator" w:id="0">
    <w:p w14:paraId="635F346C" w14:textId="77777777" w:rsidR="00A25373" w:rsidRDefault="00A25373"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2"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0ACC787"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9B283D">
      <w:rPr>
        <w:rFonts w:ascii="Garamond" w:hAnsi="Garamond"/>
        <w:sz w:val="18"/>
        <w:szCs w:val="18"/>
      </w:rPr>
      <w:t>6</w:t>
    </w:r>
    <w:r>
      <w:rPr>
        <w:rFonts w:ascii="Garamond" w:hAnsi="Garamond"/>
        <w:sz w:val="18"/>
        <w:szCs w:val="18"/>
      </w:rPr>
      <w:t xml:space="preserve">, Issue </w:t>
    </w:r>
    <w:r w:rsidR="009B283D">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23F6AC98"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4B5CD3">
      <w:rPr>
        <w:rFonts w:ascii="Garamond" w:hAnsi="Garamond"/>
        <w:sz w:val="18"/>
        <w:szCs w:val="18"/>
      </w:rPr>
      <w:t>6</w:t>
    </w:r>
    <w:r>
      <w:rPr>
        <w:rFonts w:ascii="Garamond" w:hAnsi="Garamond"/>
        <w:sz w:val="18"/>
        <w:szCs w:val="18"/>
      </w:rPr>
      <w:t xml:space="preserve">, Issue </w:t>
    </w:r>
    <w:r w:rsidR="004B5CD3">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0456C054"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9B283D">
      <w:rPr>
        <w:rFonts w:ascii="Garamond" w:hAnsi="Garamond"/>
        <w:sz w:val="18"/>
        <w:szCs w:val="18"/>
      </w:rPr>
      <w:t>6</w:t>
    </w:r>
    <w:r>
      <w:rPr>
        <w:rFonts w:ascii="Garamond" w:hAnsi="Garamond"/>
        <w:sz w:val="18"/>
        <w:szCs w:val="18"/>
      </w:rPr>
      <w:t xml:space="preserve">, Issue </w:t>
    </w:r>
    <w:r w:rsidR="009B283D">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041AC" w14:textId="77777777" w:rsidR="00A25373" w:rsidRDefault="00A25373" w:rsidP="00202B90">
      <w:bookmarkStart w:id="0" w:name="_Hlk191386689"/>
      <w:bookmarkEnd w:id="0"/>
      <w:r>
        <w:separator/>
      </w:r>
    </w:p>
  </w:footnote>
  <w:footnote w:type="continuationSeparator" w:id="0">
    <w:p w14:paraId="0F641F30" w14:textId="77777777" w:rsidR="00A25373" w:rsidRDefault="00A25373"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0130BAA7"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Volume 2</w:t>
    </w:r>
    <w:r w:rsidR="009B283D">
      <w:rPr>
        <w:rFonts w:ascii="Garamond" w:hAnsi="Garamond"/>
        <w:sz w:val="20"/>
        <w:szCs w:val="22"/>
      </w:rPr>
      <w:t>6</w:t>
    </w:r>
    <w:r w:rsidR="006914B1">
      <w:rPr>
        <w:rFonts w:ascii="Garamond" w:hAnsi="Garamond"/>
        <w:sz w:val="20"/>
        <w:szCs w:val="22"/>
      </w:rPr>
      <w:t xml:space="preserve">, Issue </w:t>
    </w:r>
    <w:r w:rsidR="009B283D">
      <w:rPr>
        <w:rFonts w:ascii="Garamond" w:hAnsi="Garamond"/>
        <w:sz w:val="20"/>
        <w:szCs w:val="22"/>
      </w:rPr>
      <w:t>1</w:t>
    </w:r>
    <w:r w:rsidR="006914B1">
      <w:rPr>
        <w:rFonts w:ascii="Garamond" w:hAnsi="Garamond"/>
        <w:sz w:val="20"/>
        <w:szCs w:val="22"/>
      </w:rPr>
      <w:t xml:space="preserve"> – </w:t>
    </w:r>
    <w:r w:rsidR="009B283D">
      <w:rPr>
        <w:rFonts w:ascii="Garamond" w:hAnsi="Garamond"/>
        <w:sz w:val="20"/>
        <w:szCs w:val="22"/>
      </w:rPr>
      <w:t>March</w:t>
    </w:r>
    <w:r w:rsidR="006914B1">
      <w:rPr>
        <w:rFonts w:ascii="Garamond" w:hAnsi="Garamond"/>
        <w:sz w:val="20"/>
        <w:szCs w:val="22"/>
      </w:rPr>
      <w:t>, 202</w:t>
    </w:r>
    <w:r w:rsidR="009B283D">
      <w:rPr>
        <w:rFonts w:ascii="Garamond" w:hAnsi="Garamond"/>
        <w:sz w:val="20"/>
        <w:szCs w:val="22"/>
      </w:rPr>
      <w:t>6</w:t>
    </w:r>
  </w:p>
  <w:bookmarkEnd w:id="5"/>
  <w:p w14:paraId="377E9D47" w14:textId="4B5EBCF1" w:rsidR="00363AB5" w:rsidRPr="00363AB5" w:rsidRDefault="00363AB5" w:rsidP="00363AB5">
    <w:pPr>
      <w:pStyle w:val="Header"/>
      <w:tabs>
        <w:tab w:val="left" w:pos="630"/>
      </w:tabs>
      <w:rPr>
        <w:rFonts w:ascii="Garamond" w:hAnsi="Garamond"/>
        <w:sz w:val="20"/>
        <w:szCs w:val="22"/>
      </w:rPr>
    </w:pPr>
    <w:r w:rsidRPr="00363AB5">
      <w:rPr>
        <w:rFonts w:ascii="Garamond" w:hAnsi="Garamond"/>
        <w:sz w:val="20"/>
        <w:szCs w:val="22"/>
      </w:rPr>
      <w:t>Evaluation of therapeutic education in diabetic patients in the city of Kenitra (Morocco)</w:t>
    </w:r>
  </w:p>
  <w:p w14:paraId="5D172485" w14:textId="38AE0121" w:rsidR="002238CA" w:rsidRDefault="00363AB5" w:rsidP="00E94E49">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Taouda</w:t>
    </w:r>
    <w:proofErr w:type="spellEnd"/>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D584" w14:textId="360D0E37"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4B5CD3">
      <w:rPr>
        <w:rFonts w:ascii="Garamond" w:hAnsi="Garamond"/>
        <w:sz w:val="20"/>
        <w:szCs w:val="22"/>
      </w:rPr>
      <w:t>Volume 26, Issue 1 – March, 2026</w:t>
    </w:r>
  </w:p>
  <w:p w14:paraId="2B844149" w14:textId="77777777" w:rsidR="00363AB5" w:rsidRPr="00363AB5" w:rsidRDefault="00363AB5" w:rsidP="00363AB5">
    <w:pPr>
      <w:pStyle w:val="Header"/>
      <w:tabs>
        <w:tab w:val="left" w:pos="630"/>
      </w:tabs>
      <w:rPr>
        <w:rFonts w:ascii="Garamond" w:hAnsi="Garamond"/>
        <w:sz w:val="20"/>
        <w:szCs w:val="22"/>
      </w:rPr>
    </w:pPr>
    <w:r w:rsidRPr="00363AB5">
      <w:rPr>
        <w:rFonts w:ascii="Garamond" w:hAnsi="Garamond"/>
        <w:sz w:val="20"/>
        <w:szCs w:val="22"/>
      </w:rPr>
      <w:t>Evaluation of therapeutic education in diabetic patients in the city of Kenitra (Morocco)</w:t>
    </w:r>
  </w:p>
  <w:p w14:paraId="0BC96291" w14:textId="77777777" w:rsidR="00363AB5" w:rsidRDefault="00363AB5" w:rsidP="00363AB5">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Taouda</w:t>
    </w:r>
    <w:proofErr w:type="spellEnd"/>
    <w:r>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47E94731"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Volume 2</w:t>
    </w:r>
    <w:r w:rsidR="009B283D">
      <w:rPr>
        <w:rFonts w:ascii="Garamond" w:hAnsi="Garamond"/>
        <w:sz w:val="20"/>
        <w:szCs w:val="22"/>
      </w:rPr>
      <w:t>6</w:t>
    </w:r>
    <w:r>
      <w:rPr>
        <w:rFonts w:ascii="Garamond" w:hAnsi="Garamond"/>
        <w:sz w:val="20"/>
        <w:szCs w:val="22"/>
      </w:rPr>
      <w:t xml:space="preserve">, Issue </w:t>
    </w:r>
    <w:r w:rsidR="009B283D">
      <w:rPr>
        <w:rFonts w:ascii="Garamond" w:hAnsi="Garamond"/>
        <w:sz w:val="20"/>
        <w:szCs w:val="22"/>
      </w:rPr>
      <w:t>1</w:t>
    </w:r>
    <w:r>
      <w:rPr>
        <w:rFonts w:ascii="Garamond" w:hAnsi="Garamond"/>
        <w:sz w:val="20"/>
        <w:szCs w:val="22"/>
      </w:rPr>
      <w:t xml:space="preserve"> – </w:t>
    </w:r>
    <w:r w:rsidR="004B5CD3">
      <w:rPr>
        <w:rFonts w:ascii="Garamond" w:hAnsi="Garamond"/>
        <w:sz w:val="20"/>
        <w:szCs w:val="22"/>
      </w:rPr>
      <w:t>March</w:t>
    </w:r>
    <w:r>
      <w:rPr>
        <w:rFonts w:ascii="Garamond" w:hAnsi="Garamond"/>
        <w:sz w:val="20"/>
        <w:szCs w:val="22"/>
      </w:rPr>
      <w:t>, 202</w:t>
    </w:r>
    <w:r w:rsidR="009B283D">
      <w:rPr>
        <w:rFonts w:ascii="Garamond" w:hAnsi="Garamond"/>
        <w:sz w:val="20"/>
        <w:szCs w:val="22"/>
      </w:rPr>
      <w:t>6</w:t>
    </w:r>
  </w:p>
  <w:p w14:paraId="176A5AA9" w14:textId="77777777" w:rsidR="00363AB5" w:rsidRPr="00363AB5" w:rsidRDefault="00363AB5" w:rsidP="00363AB5">
    <w:pPr>
      <w:pStyle w:val="Header"/>
      <w:tabs>
        <w:tab w:val="left" w:pos="630"/>
      </w:tabs>
      <w:rPr>
        <w:rFonts w:ascii="Garamond" w:hAnsi="Garamond"/>
        <w:sz w:val="20"/>
        <w:szCs w:val="22"/>
      </w:rPr>
    </w:pPr>
    <w:r w:rsidRPr="00363AB5">
      <w:rPr>
        <w:rFonts w:ascii="Garamond" w:hAnsi="Garamond"/>
        <w:sz w:val="20"/>
        <w:szCs w:val="22"/>
      </w:rPr>
      <w:t>Evaluation of therapeutic education in diabetic patients in the city of Kenitra (Morocco)</w:t>
    </w:r>
  </w:p>
  <w:p w14:paraId="6624C41C" w14:textId="77777777" w:rsidR="00363AB5" w:rsidRDefault="00363AB5" w:rsidP="00363AB5">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Taouda</w:t>
    </w:r>
    <w:proofErr w:type="spellEnd"/>
    <w:r>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4C2CA4"/>
    <w:multiLevelType w:val="hybridMultilevel"/>
    <w:tmpl w:val="902EA1CE"/>
    <w:lvl w:ilvl="0" w:tplc="D9BED7DA">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81320"/>
    <w:multiLevelType w:val="hybridMultilevel"/>
    <w:tmpl w:val="992E1604"/>
    <w:lvl w:ilvl="0" w:tplc="ABD0F6E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157B8B"/>
    <w:multiLevelType w:val="hybridMultilevel"/>
    <w:tmpl w:val="B9C41FE4"/>
    <w:lvl w:ilvl="0" w:tplc="0E14895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E4247D"/>
    <w:multiLevelType w:val="hybridMultilevel"/>
    <w:tmpl w:val="E8D2574A"/>
    <w:lvl w:ilvl="0" w:tplc="FD02D8F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5F4482"/>
    <w:multiLevelType w:val="hybridMultilevel"/>
    <w:tmpl w:val="1146160A"/>
    <w:lvl w:ilvl="0" w:tplc="D1FEA3C6">
      <w:start w:val="1"/>
      <w:numFmt w:val="upperRoman"/>
      <w:lvlText w:val="%1."/>
      <w:lvlJc w:val="left"/>
      <w:pPr>
        <w:ind w:left="1080" w:hanging="720"/>
      </w:pPr>
      <w:rPr>
        <w:rFonts w:asciiTheme="majorBidi" w:hAnsiTheme="majorBidi" w:cstheme="majorBidi"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6"/>
  </w:num>
  <w:num w:numId="4" w16cid:durableId="1129132120">
    <w:abstractNumId w:val="14"/>
  </w:num>
  <w:num w:numId="5" w16cid:durableId="970405640">
    <w:abstractNumId w:val="4"/>
  </w:num>
  <w:num w:numId="6" w16cid:durableId="1155297297">
    <w:abstractNumId w:val="0"/>
  </w:num>
  <w:num w:numId="7" w16cid:durableId="1289319636">
    <w:abstractNumId w:val="18"/>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5"/>
  </w:num>
  <w:num w:numId="10" w16cid:durableId="1714503964">
    <w:abstractNumId w:val="17"/>
  </w:num>
  <w:num w:numId="11" w16cid:durableId="624430197">
    <w:abstractNumId w:val="10"/>
  </w:num>
  <w:num w:numId="12" w16cid:durableId="1779639381">
    <w:abstractNumId w:val="20"/>
  </w:num>
  <w:num w:numId="13" w16cid:durableId="52851340">
    <w:abstractNumId w:val="21"/>
  </w:num>
  <w:num w:numId="14" w16cid:durableId="1055860988">
    <w:abstractNumId w:val="13"/>
  </w:num>
  <w:num w:numId="15" w16cid:durableId="1380934824">
    <w:abstractNumId w:val="22"/>
  </w:num>
  <w:num w:numId="16" w16cid:durableId="1314261793">
    <w:abstractNumId w:val="5"/>
  </w:num>
  <w:num w:numId="17" w16cid:durableId="1221361593">
    <w:abstractNumId w:val="27"/>
  </w:num>
  <w:num w:numId="18" w16cid:durableId="377054002">
    <w:abstractNumId w:val="8"/>
  </w:num>
  <w:num w:numId="19" w16cid:durableId="5133750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4"/>
  </w:num>
  <w:num w:numId="21" w16cid:durableId="299457719">
    <w:abstractNumId w:val="9"/>
  </w:num>
  <w:num w:numId="22" w16cid:durableId="1575044381">
    <w:abstractNumId w:val="19"/>
  </w:num>
  <w:num w:numId="23" w16cid:durableId="1550071572">
    <w:abstractNumId w:val="28"/>
  </w:num>
  <w:num w:numId="24" w16cid:durableId="1200505831">
    <w:abstractNumId w:val="26"/>
  </w:num>
  <w:num w:numId="25" w16cid:durableId="1501195848">
    <w:abstractNumId w:val="3"/>
  </w:num>
  <w:num w:numId="26" w16cid:durableId="720059972">
    <w:abstractNumId w:val="11"/>
  </w:num>
  <w:num w:numId="27" w16cid:durableId="2138833734">
    <w:abstractNumId w:val="23"/>
  </w:num>
  <w:num w:numId="28" w16cid:durableId="13266675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987749">
    <w:abstractNumId w:val="25"/>
  </w:num>
  <w:num w:numId="30" w16cid:durableId="15430581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7874"/>
    <w:rsid w:val="00030449"/>
    <w:rsid w:val="00030481"/>
    <w:rsid w:val="000304B6"/>
    <w:rsid w:val="000372C5"/>
    <w:rsid w:val="00040ADD"/>
    <w:rsid w:val="000413D3"/>
    <w:rsid w:val="00044076"/>
    <w:rsid w:val="00045140"/>
    <w:rsid w:val="00047BAC"/>
    <w:rsid w:val="0005619D"/>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0EFE"/>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67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93239"/>
    <w:rsid w:val="002A2C5B"/>
    <w:rsid w:val="002A61BC"/>
    <w:rsid w:val="002B2F96"/>
    <w:rsid w:val="002B703D"/>
    <w:rsid w:val="002B73EA"/>
    <w:rsid w:val="002C202A"/>
    <w:rsid w:val="002C3C99"/>
    <w:rsid w:val="002C5B38"/>
    <w:rsid w:val="002C5D0E"/>
    <w:rsid w:val="002C6DD9"/>
    <w:rsid w:val="002D2DC8"/>
    <w:rsid w:val="002E1E5C"/>
    <w:rsid w:val="002E2DB5"/>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53F2A"/>
    <w:rsid w:val="00363AB5"/>
    <w:rsid w:val="003656A7"/>
    <w:rsid w:val="00366B4C"/>
    <w:rsid w:val="00367B7D"/>
    <w:rsid w:val="00367E3D"/>
    <w:rsid w:val="00376CF8"/>
    <w:rsid w:val="0037723C"/>
    <w:rsid w:val="00377C61"/>
    <w:rsid w:val="00380E05"/>
    <w:rsid w:val="00382163"/>
    <w:rsid w:val="00382AAF"/>
    <w:rsid w:val="00386B3D"/>
    <w:rsid w:val="00387D94"/>
    <w:rsid w:val="00390BA8"/>
    <w:rsid w:val="0039305C"/>
    <w:rsid w:val="0039476D"/>
    <w:rsid w:val="003949A7"/>
    <w:rsid w:val="00397C0F"/>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5A9"/>
    <w:rsid w:val="00472E78"/>
    <w:rsid w:val="00474FFF"/>
    <w:rsid w:val="004754AA"/>
    <w:rsid w:val="004777AF"/>
    <w:rsid w:val="00480046"/>
    <w:rsid w:val="0049178F"/>
    <w:rsid w:val="00491DAB"/>
    <w:rsid w:val="0049425B"/>
    <w:rsid w:val="00495CD0"/>
    <w:rsid w:val="004A0153"/>
    <w:rsid w:val="004A1730"/>
    <w:rsid w:val="004A21AD"/>
    <w:rsid w:val="004A2C77"/>
    <w:rsid w:val="004B0F2C"/>
    <w:rsid w:val="004B1DD6"/>
    <w:rsid w:val="004B3D60"/>
    <w:rsid w:val="004B5CD3"/>
    <w:rsid w:val="004B72E3"/>
    <w:rsid w:val="004C1161"/>
    <w:rsid w:val="004C397E"/>
    <w:rsid w:val="004C55C9"/>
    <w:rsid w:val="004C5B71"/>
    <w:rsid w:val="004C5C38"/>
    <w:rsid w:val="004C739E"/>
    <w:rsid w:val="004D35CD"/>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873CA"/>
    <w:rsid w:val="007909CA"/>
    <w:rsid w:val="007923D6"/>
    <w:rsid w:val="00793E6B"/>
    <w:rsid w:val="00796693"/>
    <w:rsid w:val="00796F61"/>
    <w:rsid w:val="00797726"/>
    <w:rsid w:val="007A0094"/>
    <w:rsid w:val="007A0C63"/>
    <w:rsid w:val="007A1526"/>
    <w:rsid w:val="007A1819"/>
    <w:rsid w:val="007A388F"/>
    <w:rsid w:val="007A4598"/>
    <w:rsid w:val="007A6375"/>
    <w:rsid w:val="007A67B5"/>
    <w:rsid w:val="007A68E1"/>
    <w:rsid w:val="007B45CA"/>
    <w:rsid w:val="007B465B"/>
    <w:rsid w:val="007C01A5"/>
    <w:rsid w:val="007C3E18"/>
    <w:rsid w:val="007C6312"/>
    <w:rsid w:val="007D514C"/>
    <w:rsid w:val="007D6D5C"/>
    <w:rsid w:val="007E1025"/>
    <w:rsid w:val="007E201B"/>
    <w:rsid w:val="007E2794"/>
    <w:rsid w:val="007E363E"/>
    <w:rsid w:val="007E5F99"/>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2719B"/>
    <w:rsid w:val="0083118D"/>
    <w:rsid w:val="00831E16"/>
    <w:rsid w:val="0083208E"/>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564F"/>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57305"/>
    <w:rsid w:val="00963338"/>
    <w:rsid w:val="00964502"/>
    <w:rsid w:val="009662DD"/>
    <w:rsid w:val="00966D1A"/>
    <w:rsid w:val="0097221A"/>
    <w:rsid w:val="00974723"/>
    <w:rsid w:val="00977787"/>
    <w:rsid w:val="00980044"/>
    <w:rsid w:val="00983CCB"/>
    <w:rsid w:val="00983E73"/>
    <w:rsid w:val="009855A3"/>
    <w:rsid w:val="00992231"/>
    <w:rsid w:val="0099493A"/>
    <w:rsid w:val="00995AF9"/>
    <w:rsid w:val="00995CE9"/>
    <w:rsid w:val="009A4328"/>
    <w:rsid w:val="009B283D"/>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5373"/>
    <w:rsid w:val="00A277A9"/>
    <w:rsid w:val="00A33286"/>
    <w:rsid w:val="00A337ED"/>
    <w:rsid w:val="00A36667"/>
    <w:rsid w:val="00A41D2E"/>
    <w:rsid w:val="00A41DF1"/>
    <w:rsid w:val="00A421BC"/>
    <w:rsid w:val="00A44D5D"/>
    <w:rsid w:val="00A46D12"/>
    <w:rsid w:val="00A57EED"/>
    <w:rsid w:val="00A642D9"/>
    <w:rsid w:val="00A7208F"/>
    <w:rsid w:val="00A72C0A"/>
    <w:rsid w:val="00A74B40"/>
    <w:rsid w:val="00A7575B"/>
    <w:rsid w:val="00A76763"/>
    <w:rsid w:val="00A812B6"/>
    <w:rsid w:val="00A822A5"/>
    <w:rsid w:val="00A9005E"/>
    <w:rsid w:val="00A937F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29B3"/>
    <w:rsid w:val="00BB56DF"/>
    <w:rsid w:val="00BB5B6D"/>
    <w:rsid w:val="00BB645C"/>
    <w:rsid w:val="00BD05B4"/>
    <w:rsid w:val="00BD28A0"/>
    <w:rsid w:val="00BD2FC8"/>
    <w:rsid w:val="00BD4010"/>
    <w:rsid w:val="00BD47D7"/>
    <w:rsid w:val="00BD4BEC"/>
    <w:rsid w:val="00BD589A"/>
    <w:rsid w:val="00BE1D20"/>
    <w:rsid w:val="00BE2AA5"/>
    <w:rsid w:val="00BE3D43"/>
    <w:rsid w:val="00BE648A"/>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327B"/>
    <w:rsid w:val="00CF5612"/>
    <w:rsid w:val="00CF72A7"/>
    <w:rsid w:val="00D006C5"/>
    <w:rsid w:val="00D01C0B"/>
    <w:rsid w:val="00D025CE"/>
    <w:rsid w:val="00D02C05"/>
    <w:rsid w:val="00D03AB2"/>
    <w:rsid w:val="00D04F93"/>
    <w:rsid w:val="00D05E95"/>
    <w:rsid w:val="00D07CFF"/>
    <w:rsid w:val="00D11798"/>
    <w:rsid w:val="00D120FB"/>
    <w:rsid w:val="00D12671"/>
    <w:rsid w:val="00D133F9"/>
    <w:rsid w:val="00D1576A"/>
    <w:rsid w:val="00D20D3F"/>
    <w:rsid w:val="00D227AF"/>
    <w:rsid w:val="00D248E3"/>
    <w:rsid w:val="00D26169"/>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3897"/>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23B4"/>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192"/>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image" Target="media/image3.jpeg"/><Relationship Id="rId42" Type="http://schemas.openxmlformats.org/officeDocument/2006/relationships/hyperlink" Target="https://doi.org/10.1016/j.biopha.2022.113089" TargetMode="External"/><Relationship Id="rId47" Type="http://schemas.openxmlformats.org/officeDocument/2006/relationships/hyperlink" Target="https://doi.org/10.1007/s12325-022-02394-w" TargetMode="External"/><Relationship Id="rId63" Type="http://schemas.openxmlformats.org/officeDocument/2006/relationships/hyperlink" Target="https://doi.org/10.2337/dc15-0730" TargetMode="External"/><Relationship Id="rId68" Type="http://schemas.openxmlformats.org/officeDocument/2006/relationships/hyperlink" Target="https://doi.org/10.1186/2251-6581-13-10" TargetMode="External"/><Relationship Id="rId16" Type="http://schemas.openxmlformats.org/officeDocument/2006/relationships/header" Target="header5.xml"/><Relationship Id="rId11" Type="http://schemas.openxmlformats.org/officeDocument/2006/relationships/footer" Target="footer1.xml"/><Relationship Id="rId32" Type="http://schemas.openxmlformats.org/officeDocument/2006/relationships/hyperlink" Target="https://doi.org/10.1186/s12889-025-22067-x" TargetMode="External"/><Relationship Id="rId37" Type="http://schemas.openxmlformats.org/officeDocument/2006/relationships/hyperlink" Target="https://doi.org/10.2147/ITT.S499605" TargetMode="External"/><Relationship Id="rId53" Type="http://schemas.openxmlformats.org/officeDocument/2006/relationships/hyperlink" Target="https://doi.org/10.1186/s40359-024-02274-8" TargetMode="External"/><Relationship Id="rId58" Type="http://schemas.openxmlformats.org/officeDocument/2006/relationships/hyperlink" Target="https://doi.org/10.1007/s40200-020-00567-4" TargetMode="External"/><Relationship Id="rId74" Type="http://schemas.openxmlformats.org/officeDocument/2006/relationships/hyperlink" Target="https://doi.org/10.3390/%20nu11030607" TargetMode="External"/><Relationship Id="rId79" Type="http://schemas.openxmlformats.org/officeDocument/2006/relationships/hyperlink" Target="https://doi.org/10.1016/j.mayocp.2025.01.004" TargetMode="External"/><Relationship Id="rId5" Type="http://schemas.openxmlformats.org/officeDocument/2006/relationships/webSettings" Target="webSettings.xml"/><Relationship Id="rId61" Type="http://schemas.openxmlformats.org/officeDocument/2006/relationships/hyperlink" Target="https://doi.org/10.1111/hex.70054" TargetMode="External"/><Relationship Id="rId19" Type="http://schemas.openxmlformats.org/officeDocument/2006/relationships/header" Target="header6.xml"/><Relationship Id="rId14" Type="http://schemas.openxmlformats.org/officeDocument/2006/relationships/footer" Target="footer3.xml"/><Relationship Id="rId22" Type="http://schemas.openxmlformats.org/officeDocument/2006/relationships/hyperlink" Target="https://doi.org/10.71637/tnhj.v26i1.1224" TargetMode="External"/><Relationship Id="rId27" Type="http://schemas.openxmlformats.org/officeDocument/2006/relationships/hyperlink" Target="https://doi.org/10.1186/s12889-024-18024-9" TargetMode="External"/><Relationship Id="rId30" Type="http://schemas.openxmlformats.org/officeDocument/2006/relationships/hyperlink" Target="https://doi.org/" TargetMode="External"/><Relationship Id="rId35" Type="http://schemas.openxmlformats.org/officeDocument/2006/relationships/hyperlink" Target="https://doi.org/10.1007/s42000-025-00662-2" TargetMode="External"/><Relationship Id="rId43" Type="http://schemas.openxmlformats.org/officeDocument/2006/relationships/hyperlink" Target="https://doi.org/10.5281/zenodo.10631511" TargetMode="External"/><Relationship Id="rId48" Type="http://schemas.openxmlformats.org/officeDocument/2006/relationships/hyperlink" Target="https://doi.org/10.30442/ahr.1003-01-241" TargetMode="External"/><Relationship Id="rId56" Type="http://schemas.openxmlformats.org/officeDocument/2006/relationships/hyperlink" Target="https://doi.org/10.1016/j.respe.2022.10.008" TargetMode="External"/><Relationship Id="rId64" Type="http://schemas.openxmlformats.org/officeDocument/2006/relationships/hyperlink" Target="https://doi.org/10.1177/1932296817713506" TargetMode="External"/><Relationship Id="rId69" Type="http://schemas.openxmlformats.org/officeDocument/2006/relationships/hyperlink" Target="https://doi.org/10.36347/sasjm.2021.v07i02.005" TargetMode="External"/><Relationship Id="rId77" Type="http://schemas.openxmlformats.org/officeDocument/2006/relationships/hyperlink" Target="https://doi.org/10.1177/0145721716648017" TargetMode="External"/><Relationship Id="rId8" Type="http://schemas.openxmlformats.org/officeDocument/2006/relationships/hyperlink" Target="mailto:slimnaoual1974@gmail.com.%2000212774175766" TargetMode="External"/><Relationship Id="rId51" Type="http://schemas.openxmlformats.org/officeDocument/2006/relationships/hyperlink" Target="https://doi.org/10.1016/j.cpha.2024.05.005" TargetMode="External"/><Relationship Id="rId72" Type="http://schemas.openxmlformats.org/officeDocument/2006/relationships/hyperlink" Target="http://dx.doi.org/10.1016/j.diabet.2013.05.006"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33" Type="http://schemas.openxmlformats.org/officeDocument/2006/relationships/hyperlink" Target="https://doi.org/10.1186/s12939-023-01826-5" TargetMode="External"/><Relationship Id="rId38" Type="http://schemas.openxmlformats.org/officeDocument/2006/relationships/hyperlink" Target="https://doi.org/10.2337/dbi17-0044" TargetMode="External"/><Relationship Id="rId46" Type="http://schemas.openxmlformats.org/officeDocument/2006/relationships/hyperlink" Target="https://doi.org/%2010.3390/ph14080806" TargetMode="External"/><Relationship Id="rId59" Type="http://schemas.openxmlformats.org/officeDocument/2006/relationships/hyperlink" Target="https://doi.org/10.3390/s25041017" TargetMode="External"/><Relationship Id="rId67" Type="http://schemas.openxmlformats.org/officeDocument/2006/relationships/hyperlink" Target="https://doi.org/10&#65294;3760&#65295;cma&#65294;issn&#65294;0366&#65294;6999_20131776" TargetMode="External"/><Relationship Id="rId20" Type="http://schemas.openxmlformats.org/officeDocument/2006/relationships/footer" Target="footer6.xml"/><Relationship Id="rId41" Type="http://schemas.openxmlformats.org/officeDocument/2006/relationships/hyperlink" Target="http://dx.doi.org/10.1097/MD.0000000000035285" TargetMode="External"/><Relationship Id="rId54" Type="http://schemas.openxmlformats.org/officeDocument/2006/relationships/hyperlink" Target="https://doi.org/10.2147/PPA.S121892" TargetMode="External"/><Relationship Id="rId62" Type="http://schemas.openxmlformats.org/officeDocument/2006/relationships/hyperlink" Target="https://doi.org/10.15584/ejcem.2024.1.28" TargetMode="External"/><Relationship Id="rId70" Type="http://schemas.openxmlformats.org/officeDocument/2006/relationships/hyperlink" Target="https://doi.org/10.1186/s12889-020-09622-4" TargetMode="External"/><Relationship Id="rId75" Type="http://schemas.openxmlformats.org/officeDocument/2006/relationships/hyperlink" Target="https://doi.org/10.1089/dia.2021.016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doi.org/10.71637/tnhj.v26i1.1224" TargetMode="External"/><Relationship Id="rId28" Type="http://schemas.openxmlformats.org/officeDocument/2006/relationships/hyperlink" Target="https://doi.org/10.1007/s10389-025-02448-7" TargetMode="External"/><Relationship Id="rId36" Type="http://schemas.openxmlformats.org/officeDocument/2006/relationships/hyperlink" Target="https://doi.org/10.1016/j.fbio.2025.106406" TargetMode="External"/><Relationship Id="rId49" Type="http://schemas.openxmlformats.org/officeDocument/2006/relationships/hyperlink" Target="https://doi.org/10.5603/DK.2021.0001" TargetMode="External"/><Relationship Id="rId57" Type="http://schemas.openxmlformats.org/officeDocument/2006/relationships/hyperlink" Target="https://doi.org/10.21767/2471-299X.1000049" TargetMode="External"/><Relationship Id="rId10" Type="http://schemas.openxmlformats.org/officeDocument/2006/relationships/header" Target="header2.xml"/><Relationship Id="rId31" Type="http://schemas.openxmlformats.org/officeDocument/2006/relationships/hyperlink" Target="https://doi.org/10.22059/jitm.2021.82604" TargetMode="External"/><Relationship Id="rId44" Type="http://schemas.openxmlformats.org/officeDocument/2006/relationships/hyperlink" Target="https://doi.org/10.7759/cureus.46243" TargetMode="External"/><Relationship Id="rId52" Type="http://schemas.openxmlformats.org/officeDocument/2006/relationships/hyperlink" Target="https://doi.org/%2010.3390/healthcare12232322" TargetMode="External"/><Relationship Id="rId60" Type="http://schemas.openxmlformats.org/officeDocument/2006/relationships/hyperlink" Target="https://doi.org/10.3390/healthcare12141457" TargetMode="External"/><Relationship Id="rId65" Type="http://schemas.openxmlformats.org/officeDocument/2006/relationships/hyperlink" Target="https://doi.org/10.1111/dme.14284" TargetMode="External"/><Relationship Id="rId73" Type="http://schemas.openxmlformats.org/officeDocument/2006/relationships/hyperlink" Target="http://dx.doi.org/10.1016/j.dsx.2016.09.010" TargetMode="External"/><Relationship Id="rId78" Type="http://schemas.openxmlformats.org/officeDocument/2006/relationships/hyperlink" Target="https://doi.org/"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hyperlink" Target="https://doi.org/%2010.3390/ijms24119352" TargetMode="External"/><Relationship Id="rId34" Type="http://schemas.openxmlformats.org/officeDocument/2006/relationships/hyperlink" Target="https://doi.org/10.1016/j.dsx.2016.06.023" TargetMode="External"/><Relationship Id="rId50" Type="http://schemas.openxmlformats.org/officeDocument/2006/relationships/hyperlink" Target="https://doi.org/" TargetMode="External"/><Relationship Id="rId55" Type="http://schemas.openxmlformats.org/officeDocument/2006/relationships/hyperlink" Target="https://doi.org/10.2337/dc16-1728" TargetMode="External"/><Relationship Id="rId76" Type="http://schemas.openxmlformats.org/officeDocument/2006/relationships/hyperlink" Target="https://doi.org/%2010.3390/nu14040823" TargetMode="External"/><Relationship Id="rId7" Type="http://schemas.openxmlformats.org/officeDocument/2006/relationships/endnotes" Target="endnotes.xml"/><Relationship Id="rId71" Type="http://schemas.openxmlformats.org/officeDocument/2006/relationships/hyperlink" Target="https://doi.org/10.5812/ijem-128392" TargetMode="External"/><Relationship Id="rId2" Type="http://schemas.openxmlformats.org/officeDocument/2006/relationships/numbering" Target="numbering.xml"/><Relationship Id="rId29" Type="http://schemas.openxmlformats.org/officeDocument/2006/relationships/hyperlink" Target="https://doi.org/10.1055/s-0038-1676248" TargetMode="External"/><Relationship Id="rId24" Type="http://schemas.openxmlformats.org/officeDocument/2006/relationships/hyperlink" Target="http://creativecommons.org/licenses/by/3.0/" TargetMode="External"/><Relationship Id="rId40" Type="http://schemas.openxmlformats.org/officeDocument/2006/relationships/hyperlink" Target="https://doi.org/10.7759/cureus.45835" TargetMode="External"/><Relationship Id="rId45" Type="http://schemas.openxmlformats.org/officeDocument/2006/relationships/hyperlink" Target="https://doi.org/10.1136/bmjph-2024-001353" TargetMode="External"/><Relationship Id="rId66" Type="http://schemas.openxmlformats.org/officeDocument/2006/relationships/hyperlink" Target="https://doi.org/%2010.3390/nu14183807"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6293</Words>
  <Characters>35873</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2026-04-06T06:38:00Z</dcterms:created>
  <dcterms:modified xsi:type="dcterms:W3CDTF">2026-04-06T06:38:00Z</dcterms:modified>
</cp:coreProperties>
</file>