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58C67329" w:rsidR="006732D7" w:rsidRPr="000931E7" w:rsidRDefault="00836FDC"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Original</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4B7D30C3">
                <wp:simplePos x="0" y="0"/>
                <wp:positionH relativeFrom="column">
                  <wp:posOffset>-239486</wp:posOffset>
                </wp:positionH>
                <wp:positionV relativeFrom="paragraph">
                  <wp:posOffset>121104</wp:posOffset>
                </wp:positionV>
                <wp:extent cx="6419850" cy="1208314"/>
                <wp:effectExtent l="0" t="0" r="19050" b="11430"/>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1208314"/>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8514DE7" id="Round Diagonal Corner Rectangle 262" o:spid="_x0000_s1026" style="position:absolute;margin-left:-18.85pt;margin-top:9.55pt;width:505.5pt;height:95.1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12083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" path="m201390,l6419850,r,l6419850,1006924v,111225,-90165,201390,-201390,201390l,1208314r,l,201390c,90165,90165,,201390,xe" fillcolor="#1a601c" strokecolor="#385723" strokeweight="1pt">
                <v:stroke joinstyle="miter"/>
                <v:path arrowok="t" o:connecttype="custom" o:connectlocs="201390,0;6419850,0;6419850,0;6419850,1006924;6218460,1208314;0,1208314;0,1208314;0,201390;201390,0" o:connectangles="0,0,0,0,0,0,0,0,0"/>
              </v:shape>
            </w:pict>
          </mc:Fallback>
        </mc:AlternateContent>
      </w:r>
    </w:p>
    <w:p w14:paraId="0F2C83B8" w14:textId="43A56AB1" w:rsidR="00B94E6E" w:rsidRPr="00B94E6E" w:rsidRDefault="00F40976" w:rsidP="00B94E6E">
      <w:pPr>
        <w:pBdr>
          <w:bottom w:val="single" w:sz="6" w:space="1" w:color="auto"/>
        </w:pBdr>
        <w:jc w:val="both"/>
        <w:rPr>
          <w:rFonts w:ascii="Garamond" w:hAnsi="Garamond" w:cs="Times New Roman"/>
          <w:b/>
          <w:bCs/>
          <w:color w:val="FFFFFF" w:themeColor="background1"/>
          <w:sz w:val="32"/>
          <w:szCs w:val="32"/>
          <w:lang w:val="en-NG"/>
        </w:rPr>
      </w:pPr>
      <w:bookmarkStart w:id="1" w:name="_top"/>
      <w:bookmarkStart w:id="2" w:name="_Hlk192762964"/>
      <w:bookmarkStart w:id="3" w:name="_Hlk192836332"/>
      <w:bookmarkEnd w:id="1"/>
      <w:r w:rsidRPr="00B94E6E">
        <w:rPr>
          <w:rFonts w:ascii="Garamond" w:hAnsi="Garamond" w:cs="Times New Roman"/>
          <w:b/>
          <w:bCs/>
          <w:color w:val="FFFFFF" w:themeColor="background1"/>
          <w:sz w:val="32"/>
          <w:szCs w:val="32"/>
          <w:lang w:val="en-NG"/>
        </w:rPr>
        <w:t xml:space="preserve">In Vivo Antiplasmodial Activity and Safety Evaluation of the Methanolic Stem-Bark Extract of Artocarpus Heterophyllus in </w:t>
      </w:r>
      <w:r w:rsidRPr="00B94E6E">
        <w:rPr>
          <w:rFonts w:ascii="Garamond" w:hAnsi="Garamond" w:cs="Times New Roman"/>
          <w:b/>
          <w:bCs/>
          <w:i/>
          <w:iCs/>
          <w:color w:val="FFFFFF" w:themeColor="background1"/>
          <w:sz w:val="32"/>
          <w:szCs w:val="32"/>
          <w:lang w:val="en-NG"/>
        </w:rPr>
        <w:t>Plasmodium Berghei</w:t>
      </w:r>
      <w:r w:rsidRPr="00B94E6E">
        <w:rPr>
          <w:rFonts w:ascii="Garamond" w:hAnsi="Garamond" w:cs="Times New Roman"/>
          <w:b/>
          <w:bCs/>
          <w:color w:val="FFFFFF" w:themeColor="background1"/>
          <w:sz w:val="32"/>
          <w:szCs w:val="32"/>
          <w:lang w:val="en-NG"/>
        </w:rPr>
        <w:t>-Infected Mice</w:t>
      </w:r>
    </w:p>
    <w:p w14:paraId="5823892D" w14:textId="77777777" w:rsidR="0084061C" w:rsidRDefault="0084061C" w:rsidP="00B711E0">
      <w:pPr>
        <w:pBdr>
          <w:bottom w:val="single" w:sz="6" w:space="1" w:color="auto"/>
        </w:pBdr>
        <w:jc w:val="both"/>
        <w:rPr>
          <w:rFonts w:ascii="Garamond" w:hAnsi="Garamond" w:cs="Times New Roman"/>
          <w:color w:val="FFFFFF" w:themeColor="background1"/>
          <w:sz w:val="20"/>
          <w:szCs w:val="20"/>
        </w:rPr>
      </w:pPr>
      <w:bookmarkStart w:id="4" w:name="_Hlk209348096"/>
      <w:bookmarkEnd w:id="2"/>
      <w:bookmarkEnd w:id="3"/>
      <w:r w:rsidRPr="00B116F1">
        <w:rPr>
          <w:rFonts w:ascii="Garamond" w:hAnsi="Garamond" w:cs="Times New Roman"/>
          <w:b/>
          <w:bCs/>
          <w:i/>
          <w:iCs/>
          <w:color w:val="FFFFFF" w:themeColor="background1"/>
          <w:sz w:val="22"/>
          <w:szCs w:val="22"/>
          <w:vertAlign w:val="superscript"/>
        </w:rPr>
        <w:t>1</w:t>
      </w:r>
      <w:r w:rsidRPr="00B116F1">
        <w:rPr>
          <w:rFonts w:ascii="Garamond" w:hAnsi="Garamond" w:cs="Times New Roman"/>
          <w:b/>
          <w:bCs/>
          <w:i/>
          <w:iCs/>
          <w:color w:val="FFFFFF" w:themeColor="background1"/>
          <w:sz w:val="22"/>
          <w:szCs w:val="22"/>
        </w:rPr>
        <w:t xml:space="preserve">Anthony </w:t>
      </w:r>
      <w:proofErr w:type="spellStart"/>
      <w:r w:rsidRPr="00B116F1">
        <w:rPr>
          <w:rFonts w:ascii="Garamond" w:hAnsi="Garamond" w:cs="Times New Roman"/>
          <w:b/>
          <w:bCs/>
          <w:i/>
          <w:iCs/>
          <w:color w:val="FFFFFF" w:themeColor="background1"/>
          <w:sz w:val="22"/>
          <w:szCs w:val="22"/>
        </w:rPr>
        <w:t>Achizie</w:t>
      </w:r>
      <w:proofErr w:type="spellEnd"/>
      <w:r w:rsidRPr="00B116F1">
        <w:rPr>
          <w:rFonts w:ascii="Garamond" w:hAnsi="Garamond" w:cs="Times New Roman"/>
          <w:b/>
          <w:bCs/>
          <w:i/>
          <w:iCs/>
          <w:color w:val="FFFFFF" w:themeColor="background1"/>
          <w:sz w:val="22"/>
          <w:szCs w:val="22"/>
        </w:rPr>
        <w:t xml:space="preserve"> Iwuafor, </w:t>
      </w:r>
      <w:r w:rsidRPr="00B116F1">
        <w:rPr>
          <w:rFonts w:ascii="Garamond" w:hAnsi="Garamond" w:cs="Times New Roman"/>
          <w:b/>
          <w:bCs/>
          <w:i/>
          <w:iCs/>
          <w:color w:val="FFFFFF" w:themeColor="background1"/>
          <w:sz w:val="22"/>
          <w:szCs w:val="22"/>
          <w:vertAlign w:val="superscript"/>
        </w:rPr>
        <w:t>2</w:t>
      </w:r>
      <w:r w:rsidRPr="00B116F1">
        <w:rPr>
          <w:rFonts w:ascii="Garamond" w:hAnsi="Garamond" w:cs="Times New Roman"/>
          <w:b/>
          <w:bCs/>
          <w:i/>
          <w:iCs/>
          <w:color w:val="FFFFFF" w:themeColor="background1"/>
          <w:sz w:val="22"/>
          <w:szCs w:val="22"/>
        </w:rPr>
        <w:t xml:space="preserve">Ola Matthias Ekpenukpang, </w:t>
      </w:r>
      <w:r w:rsidRPr="00B116F1">
        <w:rPr>
          <w:rFonts w:ascii="Garamond" w:hAnsi="Garamond" w:cs="Times New Roman"/>
          <w:b/>
          <w:bCs/>
          <w:i/>
          <w:iCs/>
          <w:color w:val="FFFFFF" w:themeColor="background1"/>
          <w:sz w:val="22"/>
          <w:szCs w:val="22"/>
          <w:vertAlign w:val="superscript"/>
        </w:rPr>
        <w:t>3</w:t>
      </w:r>
      <w:r w:rsidRPr="00B116F1">
        <w:rPr>
          <w:rFonts w:ascii="Garamond" w:hAnsi="Garamond" w:cs="Times New Roman"/>
          <w:b/>
          <w:bCs/>
          <w:i/>
          <w:iCs/>
          <w:color w:val="FFFFFF" w:themeColor="background1"/>
          <w:sz w:val="22"/>
          <w:szCs w:val="22"/>
        </w:rPr>
        <w:t xml:space="preserve">Promise </w:t>
      </w:r>
      <w:proofErr w:type="spellStart"/>
      <w:r w:rsidRPr="00B116F1">
        <w:rPr>
          <w:rFonts w:ascii="Garamond" w:hAnsi="Garamond" w:cs="Times New Roman"/>
          <w:b/>
          <w:bCs/>
          <w:i/>
          <w:iCs/>
          <w:color w:val="FFFFFF" w:themeColor="background1"/>
          <w:sz w:val="22"/>
          <w:szCs w:val="22"/>
        </w:rPr>
        <w:t>Akugom</w:t>
      </w:r>
      <w:proofErr w:type="spellEnd"/>
      <w:r w:rsidRPr="00B116F1">
        <w:rPr>
          <w:rFonts w:ascii="Garamond" w:hAnsi="Garamond" w:cs="Times New Roman"/>
          <w:b/>
          <w:bCs/>
          <w:i/>
          <w:iCs/>
          <w:color w:val="FFFFFF" w:themeColor="background1"/>
          <w:sz w:val="22"/>
          <w:szCs w:val="22"/>
        </w:rPr>
        <w:t xml:space="preserve"> </w:t>
      </w:r>
      <w:proofErr w:type="spellStart"/>
      <w:r w:rsidRPr="00B116F1">
        <w:rPr>
          <w:rFonts w:ascii="Garamond" w:hAnsi="Garamond" w:cs="Times New Roman"/>
          <w:b/>
          <w:bCs/>
          <w:i/>
          <w:iCs/>
          <w:color w:val="FFFFFF" w:themeColor="background1"/>
          <w:sz w:val="22"/>
          <w:szCs w:val="22"/>
        </w:rPr>
        <w:t>Owai</w:t>
      </w:r>
      <w:proofErr w:type="spellEnd"/>
      <w:r w:rsidRPr="00B116F1">
        <w:rPr>
          <w:rFonts w:ascii="Garamond" w:hAnsi="Garamond" w:cs="Times New Roman"/>
          <w:b/>
          <w:bCs/>
          <w:i/>
          <w:iCs/>
          <w:color w:val="FFFFFF" w:themeColor="background1"/>
          <w:sz w:val="22"/>
          <w:szCs w:val="22"/>
        </w:rPr>
        <w:t xml:space="preserve">, </w:t>
      </w:r>
      <w:r w:rsidRPr="00B116F1">
        <w:rPr>
          <w:rFonts w:ascii="Garamond" w:hAnsi="Garamond" w:cs="Times New Roman"/>
          <w:b/>
          <w:bCs/>
          <w:i/>
          <w:iCs/>
          <w:color w:val="FFFFFF" w:themeColor="background1"/>
          <w:sz w:val="22"/>
          <w:szCs w:val="22"/>
          <w:vertAlign w:val="superscript"/>
        </w:rPr>
        <w:t>4</w:t>
      </w:r>
      <w:r w:rsidRPr="00B116F1">
        <w:rPr>
          <w:rFonts w:ascii="Garamond" w:hAnsi="Garamond" w:cs="Times New Roman"/>
          <w:b/>
          <w:bCs/>
          <w:i/>
          <w:iCs/>
          <w:color w:val="FFFFFF" w:themeColor="background1"/>
          <w:sz w:val="22"/>
          <w:szCs w:val="22"/>
        </w:rPr>
        <w:t xml:space="preserve">Chibuzor Onyinye Okonkwo, </w:t>
      </w:r>
      <w:r w:rsidRPr="00B116F1">
        <w:rPr>
          <w:rFonts w:ascii="Garamond" w:hAnsi="Garamond" w:cs="Times New Roman"/>
          <w:b/>
          <w:bCs/>
          <w:i/>
          <w:iCs/>
          <w:color w:val="FFFFFF" w:themeColor="background1"/>
          <w:sz w:val="22"/>
          <w:szCs w:val="22"/>
          <w:vertAlign w:val="superscript"/>
        </w:rPr>
        <w:t>5</w:t>
      </w:r>
      <w:r w:rsidRPr="00B116F1">
        <w:rPr>
          <w:rFonts w:ascii="Garamond" w:hAnsi="Garamond" w:cs="Times New Roman"/>
          <w:b/>
          <w:bCs/>
          <w:i/>
          <w:iCs/>
          <w:color w:val="FFFFFF" w:themeColor="background1"/>
          <w:sz w:val="22"/>
          <w:szCs w:val="22"/>
        </w:rPr>
        <w:t xml:space="preserve">Anthony Bassey Offiong, </w:t>
      </w:r>
      <w:r w:rsidRPr="00B116F1">
        <w:rPr>
          <w:rFonts w:ascii="Garamond" w:hAnsi="Garamond" w:cs="Times New Roman"/>
          <w:b/>
          <w:bCs/>
          <w:i/>
          <w:iCs/>
          <w:color w:val="FFFFFF" w:themeColor="background1"/>
          <w:sz w:val="22"/>
          <w:szCs w:val="22"/>
          <w:vertAlign w:val="superscript"/>
        </w:rPr>
        <w:t>5</w:t>
      </w:r>
      <w:r w:rsidRPr="00B116F1">
        <w:rPr>
          <w:rFonts w:ascii="Garamond" w:hAnsi="Garamond" w:cs="Times New Roman"/>
          <w:b/>
          <w:bCs/>
          <w:i/>
          <w:iCs/>
          <w:color w:val="FFFFFF" w:themeColor="background1"/>
          <w:sz w:val="22"/>
          <w:szCs w:val="22"/>
        </w:rPr>
        <w:t xml:space="preserve">Christian Junior Ide, </w:t>
      </w:r>
      <w:r w:rsidRPr="00B116F1">
        <w:rPr>
          <w:rFonts w:ascii="Garamond" w:hAnsi="Garamond" w:cs="Times New Roman"/>
          <w:b/>
          <w:bCs/>
          <w:i/>
          <w:iCs/>
          <w:color w:val="FFFFFF" w:themeColor="background1"/>
          <w:sz w:val="22"/>
          <w:szCs w:val="22"/>
          <w:vertAlign w:val="superscript"/>
        </w:rPr>
        <w:t>5</w:t>
      </w:r>
      <w:r w:rsidRPr="00B116F1">
        <w:rPr>
          <w:rFonts w:ascii="Garamond" w:hAnsi="Garamond" w:cs="Times New Roman"/>
          <w:b/>
          <w:bCs/>
          <w:i/>
          <w:iCs/>
          <w:color w:val="FFFFFF" w:themeColor="background1"/>
          <w:sz w:val="22"/>
          <w:szCs w:val="22"/>
        </w:rPr>
        <w:t xml:space="preserve">Bassey Ewa Ekeng, </w:t>
      </w:r>
      <w:r w:rsidRPr="00B116F1">
        <w:rPr>
          <w:rFonts w:ascii="Garamond" w:hAnsi="Garamond" w:cs="Times New Roman"/>
          <w:b/>
          <w:bCs/>
          <w:i/>
          <w:iCs/>
          <w:color w:val="FFFFFF" w:themeColor="background1"/>
          <w:sz w:val="22"/>
          <w:szCs w:val="22"/>
          <w:vertAlign w:val="superscript"/>
        </w:rPr>
        <w:t>1</w:t>
      </w:r>
      <w:r w:rsidRPr="00B116F1">
        <w:rPr>
          <w:rFonts w:ascii="Garamond" w:hAnsi="Garamond" w:cs="Times New Roman"/>
          <w:b/>
          <w:bCs/>
          <w:i/>
          <w:iCs/>
          <w:color w:val="FFFFFF" w:themeColor="background1"/>
          <w:sz w:val="22"/>
          <w:szCs w:val="22"/>
        </w:rPr>
        <w:t xml:space="preserve">Ubleni </w:t>
      </w:r>
      <w:proofErr w:type="spellStart"/>
      <w:r w:rsidRPr="00B116F1">
        <w:rPr>
          <w:rFonts w:ascii="Garamond" w:hAnsi="Garamond" w:cs="Times New Roman"/>
          <w:b/>
          <w:bCs/>
          <w:i/>
          <w:iCs/>
          <w:color w:val="FFFFFF" w:themeColor="background1"/>
          <w:sz w:val="22"/>
          <w:szCs w:val="22"/>
        </w:rPr>
        <w:t>Ettah</w:t>
      </w:r>
      <w:proofErr w:type="spellEnd"/>
      <w:r w:rsidRPr="00B116F1">
        <w:rPr>
          <w:rFonts w:ascii="Garamond" w:hAnsi="Garamond" w:cs="Times New Roman"/>
          <w:b/>
          <w:bCs/>
          <w:i/>
          <w:iCs/>
          <w:color w:val="FFFFFF" w:themeColor="background1"/>
          <w:sz w:val="22"/>
          <w:szCs w:val="22"/>
        </w:rPr>
        <w:t xml:space="preserve"> </w:t>
      </w:r>
      <w:proofErr w:type="spellStart"/>
      <w:r w:rsidRPr="00B116F1">
        <w:rPr>
          <w:rFonts w:ascii="Garamond" w:hAnsi="Garamond" w:cs="Times New Roman"/>
          <w:b/>
          <w:bCs/>
          <w:i/>
          <w:iCs/>
          <w:color w:val="FFFFFF" w:themeColor="background1"/>
          <w:sz w:val="22"/>
          <w:szCs w:val="22"/>
        </w:rPr>
        <w:t>Emanghe</w:t>
      </w:r>
      <w:proofErr w:type="spellEnd"/>
      <w:r w:rsidRPr="00B116F1">
        <w:rPr>
          <w:rFonts w:ascii="Garamond" w:hAnsi="Garamond" w:cs="Times New Roman"/>
          <w:b/>
          <w:bCs/>
          <w:i/>
          <w:iCs/>
          <w:color w:val="FFFFFF" w:themeColor="background1"/>
          <w:sz w:val="22"/>
          <w:szCs w:val="22"/>
        </w:rPr>
        <w:t xml:space="preserve">, </w:t>
      </w:r>
      <w:r w:rsidRPr="00B116F1">
        <w:rPr>
          <w:rFonts w:ascii="Garamond" w:hAnsi="Garamond" w:cs="Times New Roman"/>
          <w:b/>
          <w:bCs/>
          <w:i/>
          <w:iCs/>
          <w:color w:val="FFFFFF" w:themeColor="background1"/>
          <w:sz w:val="22"/>
          <w:szCs w:val="22"/>
          <w:vertAlign w:val="superscript"/>
        </w:rPr>
        <w:t>1</w:t>
      </w:r>
      <w:r w:rsidRPr="00B116F1">
        <w:rPr>
          <w:rFonts w:ascii="Garamond" w:hAnsi="Garamond" w:cs="Times New Roman"/>
          <w:b/>
          <w:bCs/>
          <w:i/>
          <w:iCs/>
          <w:color w:val="FFFFFF" w:themeColor="background1"/>
          <w:sz w:val="22"/>
          <w:szCs w:val="22"/>
        </w:rPr>
        <w:t xml:space="preserve">Godwin </w:t>
      </w:r>
      <w:proofErr w:type="spellStart"/>
      <w:r w:rsidRPr="00B116F1">
        <w:rPr>
          <w:rFonts w:ascii="Garamond" w:hAnsi="Garamond" w:cs="Times New Roman"/>
          <w:b/>
          <w:bCs/>
          <w:i/>
          <w:iCs/>
          <w:color w:val="FFFFFF" w:themeColor="background1"/>
          <w:sz w:val="22"/>
          <w:szCs w:val="22"/>
        </w:rPr>
        <w:t>Ibitham</w:t>
      </w:r>
      <w:proofErr w:type="spellEnd"/>
      <w:r w:rsidRPr="00B116F1">
        <w:rPr>
          <w:rFonts w:ascii="Garamond" w:hAnsi="Garamond" w:cs="Times New Roman"/>
          <w:b/>
          <w:bCs/>
          <w:i/>
          <w:iCs/>
          <w:color w:val="FFFFFF" w:themeColor="background1"/>
          <w:sz w:val="22"/>
          <w:szCs w:val="22"/>
        </w:rPr>
        <w:t xml:space="preserve"> </w:t>
      </w:r>
      <w:proofErr w:type="spellStart"/>
      <w:r w:rsidRPr="00B116F1">
        <w:rPr>
          <w:rFonts w:ascii="Garamond" w:hAnsi="Garamond" w:cs="Times New Roman"/>
          <w:b/>
          <w:bCs/>
          <w:i/>
          <w:iCs/>
          <w:color w:val="FFFFFF" w:themeColor="background1"/>
          <w:sz w:val="22"/>
          <w:szCs w:val="22"/>
        </w:rPr>
        <w:t>Ogban</w:t>
      </w:r>
      <w:proofErr w:type="spellEnd"/>
      <w:r w:rsidRPr="00B116F1">
        <w:rPr>
          <w:rFonts w:ascii="Garamond" w:hAnsi="Garamond" w:cs="Times New Roman"/>
          <w:color w:val="FFFFFF" w:themeColor="background1"/>
          <w:sz w:val="20"/>
          <w:szCs w:val="20"/>
        </w:rPr>
        <w:t xml:space="preserve"> </w:t>
      </w:r>
    </w:p>
    <w:p w14:paraId="34753B43" w14:textId="77777777" w:rsidR="0084061C" w:rsidRPr="00B116F1" w:rsidRDefault="0084061C" w:rsidP="0084061C">
      <w:pPr>
        <w:rPr>
          <w:rFonts w:ascii="Garamond" w:hAnsi="Garamond"/>
          <w:i/>
          <w:iCs/>
          <w:sz w:val="20"/>
          <w:szCs w:val="20"/>
        </w:rPr>
      </w:pPr>
      <w:r w:rsidRPr="00B116F1">
        <w:rPr>
          <w:rFonts w:ascii="Garamond" w:hAnsi="Garamond"/>
          <w:i/>
          <w:iCs/>
          <w:sz w:val="20"/>
          <w:szCs w:val="20"/>
          <w:vertAlign w:val="superscript"/>
        </w:rPr>
        <w:t>1</w:t>
      </w:r>
      <w:r w:rsidRPr="00B116F1">
        <w:rPr>
          <w:rFonts w:ascii="Garamond" w:hAnsi="Garamond"/>
          <w:i/>
          <w:iCs/>
          <w:sz w:val="20"/>
          <w:szCs w:val="20"/>
        </w:rPr>
        <w:t>Department of Medical Microbiology and Parasitology, Faculty of Basic Clinical Sciences, University of Calabar, Calabar, Nigeria;</w:t>
      </w:r>
    </w:p>
    <w:p w14:paraId="106F501C" w14:textId="77777777" w:rsidR="0084061C" w:rsidRPr="00B116F1" w:rsidRDefault="0084061C" w:rsidP="0084061C">
      <w:pPr>
        <w:rPr>
          <w:rFonts w:ascii="Garamond" w:hAnsi="Garamond" w:cs="Times New Roman"/>
          <w:i/>
          <w:iCs/>
          <w:sz w:val="20"/>
          <w:szCs w:val="20"/>
        </w:rPr>
      </w:pPr>
      <w:r w:rsidRPr="00B116F1">
        <w:rPr>
          <w:rFonts w:ascii="Garamond" w:hAnsi="Garamond" w:cs="Times New Roman"/>
          <w:i/>
          <w:iCs/>
          <w:sz w:val="20"/>
          <w:szCs w:val="20"/>
          <w:vertAlign w:val="superscript"/>
        </w:rPr>
        <w:t>2</w:t>
      </w:r>
      <w:r w:rsidRPr="00B116F1">
        <w:rPr>
          <w:rFonts w:ascii="Garamond" w:hAnsi="Garamond" w:cs="Times New Roman"/>
          <w:i/>
          <w:iCs/>
          <w:sz w:val="20"/>
          <w:szCs w:val="20"/>
        </w:rPr>
        <w:t>Department of Pathology, University of Calabar Teaching Hospital, Calabar, Nigeria;</w:t>
      </w:r>
    </w:p>
    <w:p w14:paraId="196102B0" w14:textId="77777777" w:rsidR="0084061C" w:rsidRPr="00B116F1" w:rsidRDefault="0084061C" w:rsidP="0084061C">
      <w:pPr>
        <w:rPr>
          <w:rFonts w:ascii="Garamond" w:hAnsi="Garamond"/>
          <w:i/>
          <w:iCs/>
          <w:sz w:val="20"/>
          <w:szCs w:val="20"/>
        </w:rPr>
      </w:pPr>
      <w:r w:rsidRPr="00B116F1">
        <w:rPr>
          <w:rFonts w:ascii="Garamond" w:hAnsi="Garamond"/>
          <w:i/>
          <w:iCs/>
          <w:sz w:val="20"/>
          <w:szCs w:val="20"/>
          <w:vertAlign w:val="superscript"/>
        </w:rPr>
        <w:t>3</w:t>
      </w:r>
      <w:r w:rsidRPr="00B116F1">
        <w:rPr>
          <w:rFonts w:ascii="Garamond" w:hAnsi="Garamond"/>
          <w:i/>
          <w:iCs/>
          <w:sz w:val="20"/>
          <w:szCs w:val="20"/>
        </w:rPr>
        <w:t>Global Healthcare Management, Coventry University, United Kingdom.</w:t>
      </w:r>
    </w:p>
    <w:p w14:paraId="39B0DC79" w14:textId="77777777" w:rsidR="0084061C" w:rsidRPr="00B116F1" w:rsidRDefault="0084061C" w:rsidP="0084061C">
      <w:pPr>
        <w:rPr>
          <w:rFonts w:ascii="Garamond" w:hAnsi="Garamond" w:cs="Times New Roman"/>
          <w:i/>
          <w:iCs/>
          <w:sz w:val="20"/>
          <w:szCs w:val="20"/>
        </w:rPr>
      </w:pPr>
      <w:r w:rsidRPr="00B116F1">
        <w:rPr>
          <w:rFonts w:ascii="Garamond" w:hAnsi="Garamond" w:cs="Times New Roman"/>
          <w:i/>
          <w:iCs/>
          <w:sz w:val="20"/>
          <w:szCs w:val="20"/>
          <w:vertAlign w:val="superscript"/>
        </w:rPr>
        <w:t>4</w:t>
      </w:r>
      <w:r w:rsidRPr="00B116F1">
        <w:rPr>
          <w:rFonts w:ascii="Garamond" w:hAnsi="Garamond" w:cs="Times New Roman"/>
          <w:i/>
          <w:iCs/>
          <w:sz w:val="20"/>
          <w:szCs w:val="20"/>
        </w:rPr>
        <w:t>Department of Biochemistry, Faculty of Basic Medical Sciences, University of Calabar, Calabar, Nigeria.</w:t>
      </w:r>
    </w:p>
    <w:p w14:paraId="01DB371C" w14:textId="5106F32F" w:rsidR="00B711E0" w:rsidRPr="002265FA" w:rsidRDefault="0084061C" w:rsidP="0084061C">
      <w:pPr>
        <w:pBdr>
          <w:bottom w:val="single" w:sz="6" w:space="1" w:color="auto"/>
        </w:pBdr>
        <w:jc w:val="both"/>
        <w:rPr>
          <w:rFonts w:ascii="Garamond" w:hAnsi="Garamond"/>
          <w:i/>
          <w:iCs/>
          <w:sz w:val="20"/>
          <w:szCs w:val="20"/>
        </w:rPr>
      </w:pPr>
      <w:r w:rsidRPr="00B116F1">
        <w:rPr>
          <w:rFonts w:ascii="Garamond" w:hAnsi="Garamond" w:cs="Times New Roman"/>
          <w:i/>
          <w:iCs/>
          <w:sz w:val="20"/>
          <w:szCs w:val="20"/>
          <w:vertAlign w:val="superscript"/>
        </w:rPr>
        <w:t>5</w:t>
      </w:r>
      <w:r w:rsidRPr="00B116F1">
        <w:rPr>
          <w:rFonts w:ascii="Garamond" w:hAnsi="Garamond" w:cs="Times New Roman"/>
          <w:i/>
          <w:iCs/>
          <w:sz w:val="20"/>
          <w:szCs w:val="20"/>
        </w:rPr>
        <w:t>Department of Medical Microbiology and Parasitology, University of Calabar Teaching Hospital, Calabar, Nigeria.</w:t>
      </w:r>
    </w:p>
    <w:bookmarkEnd w:id="4"/>
    <w:p w14:paraId="529C4624" w14:textId="010F37CE" w:rsidR="00B711E0" w:rsidRDefault="001D4D3C" w:rsidP="00855308">
      <w:pPr>
        <w:pBdr>
          <w:bottom w:val="single" w:sz="6" w:space="1" w:color="auto"/>
        </w:pBdr>
        <w:jc w:val="both"/>
        <w:rPr>
          <w:rFonts w:ascii="Garamond" w:hAnsi="Garamond"/>
          <w:bCs/>
          <w:sz w:val="20"/>
          <w:szCs w:val="20"/>
        </w:rPr>
      </w:pPr>
      <w:r w:rsidRPr="000931E7">
        <w:rPr>
          <w:rFonts w:ascii="Garamond" w:hAnsi="Garamond"/>
          <w:b/>
          <w:sz w:val="20"/>
          <w:szCs w:val="20"/>
        </w:rPr>
        <w:t>Corresponding author</w:t>
      </w:r>
      <w:r w:rsidR="009E0ABE" w:rsidRPr="000931E7">
        <w:rPr>
          <w:rFonts w:ascii="Garamond" w:hAnsi="Garamond"/>
          <w:b/>
          <w:sz w:val="20"/>
          <w:szCs w:val="20"/>
        </w:rPr>
        <w:t>:</w:t>
      </w:r>
      <w:r w:rsidR="00D66B3D" w:rsidRPr="000931E7">
        <w:rPr>
          <w:rFonts w:ascii="Garamond" w:hAnsi="Garamond"/>
          <w:b/>
          <w:sz w:val="20"/>
          <w:szCs w:val="20"/>
        </w:rPr>
        <w:t xml:space="preserve"> </w:t>
      </w:r>
      <w:r w:rsidR="00B711E0" w:rsidRPr="00B711E0">
        <w:rPr>
          <w:rFonts w:ascii="Garamond" w:hAnsi="Garamond" w:cs="Segoe UI"/>
          <w:b/>
          <w:bCs/>
          <w:sz w:val="20"/>
          <w:szCs w:val="20"/>
          <w:shd w:val="clear" w:color="auto" w:fill="FFFFFF"/>
          <w:lang w:val="en-NG"/>
        </w:rPr>
        <w:t>Anthony A. Iwuafor</w:t>
      </w:r>
      <w:r w:rsidR="00CC5867" w:rsidRPr="00CC5867">
        <w:rPr>
          <w:rFonts w:ascii="Garamond" w:hAnsi="Garamond" w:cs="Segoe UI"/>
          <w:b/>
          <w:bCs/>
          <w:sz w:val="20"/>
          <w:szCs w:val="20"/>
          <w:shd w:val="clear" w:color="auto" w:fill="FFFFFF"/>
          <w:lang w:val="en-GB"/>
        </w:rPr>
        <w:t>,</w:t>
      </w:r>
      <w:r w:rsidR="00CC5867">
        <w:rPr>
          <w:rFonts w:ascii="Garamond" w:hAnsi="Garamond" w:cs="Segoe UI"/>
          <w:b/>
          <w:bCs/>
          <w:sz w:val="20"/>
          <w:szCs w:val="20"/>
          <w:shd w:val="clear" w:color="auto" w:fill="FFFFFF"/>
          <w:lang w:val="en-GB"/>
        </w:rPr>
        <w:t xml:space="preserve"> </w:t>
      </w:r>
      <w:r w:rsidR="00B711E0" w:rsidRPr="00B711E0">
        <w:rPr>
          <w:rFonts w:ascii="Garamond" w:hAnsi="Garamond"/>
          <w:bCs/>
          <w:sz w:val="20"/>
          <w:szCs w:val="20"/>
          <w:lang w:val="en-NG"/>
        </w:rPr>
        <w:t>Department of Medical Microbiology and Parasitology, Faculty of Basic Clinical Sciences, University of Calabar, Calabar, Nigeria</w:t>
      </w:r>
      <w:r w:rsidR="00B711E0" w:rsidRPr="00B711E0">
        <w:rPr>
          <w:rFonts w:ascii="Garamond" w:hAnsi="Garamond"/>
          <w:bCs/>
          <w:sz w:val="20"/>
          <w:szCs w:val="20"/>
        </w:rPr>
        <w:t xml:space="preserve"> </w:t>
      </w:r>
      <w:hyperlink r:id="rId8" w:history="1">
        <w:r w:rsidR="00F33268" w:rsidRPr="00F33268">
          <w:rPr>
            <w:rStyle w:val="Hyperlink"/>
            <w:rFonts w:ascii="Garamond" w:hAnsi="Garamond"/>
            <w:bCs/>
            <w:sz w:val="20"/>
            <w:szCs w:val="20"/>
            <w:lang w:val="en-NG"/>
          </w:rPr>
          <w:t>tonyiwuafor@unical.edu.ng</w:t>
        </w:r>
      </w:hyperlink>
      <w:r w:rsidR="00F33268" w:rsidRPr="00F33268">
        <w:rPr>
          <w:rFonts w:ascii="Garamond" w:hAnsi="Garamond"/>
          <w:bCs/>
          <w:sz w:val="20"/>
          <w:szCs w:val="20"/>
          <w:lang w:val="en-NG"/>
        </w:rPr>
        <w:t>; +2348033441539</w:t>
      </w:r>
    </w:p>
    <w:p w14:paraId="42A40409" w14:textId="5BC381AE" w:rsidR="00F20CA0" w:rsidRDefault="00F20CA0" w:rsidP="00D66B3D">
      <w:pPr>
        <w:pBdr>
          <w:bottom w:val="single" w:sz="6" w:space="1" w:color="auto"/>
        </w:pBdr>
        <w:jc w:val="both"/>
        <w:rPr>
          <w:rFonts w:ascii="Garamond" w:hAnsi="Garamond"/>
          <w:bCs/>
          <w:sz w:val="20"/>
          <w:szCs w:val="20"/>
        </w:rPr>
      </w:pPr>
    </w:p>
    <w:p w14:paraId="15BB8056" w14:textId="5301AF03"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Received </w:t>
      </w:r>
      <w:r w:rsidR="001B3E91">
        <w:rPr>
          <w:rFonts w:ascii="Garamond" w:hAnsi="Garamond"/>
          <w:sz w:val="16"/>
          <w:szCs w:val="16"/>
        </w:rPr>
        <w:t>15</w:t>
      </w:r>
      <w:r w:rsidR="00943E61" w:rsidRPr="00F30FAF">
        <w:rPr>
          <w:rFonts w:ascii="Garamond" w:hAnsi="Garamond"/>
          <w:sz w:val="16"/>
          <w:szCs w:val="16"/>
        </w:rPr>
        <w:t xml:space="preserve"> </w:t>
      </w:r>
      <w:r w:rsidR="001B3E91">
        <w:rPr>
          <w:rFonts w:ascii="Garamond" w:hAnsi="Garamond"/>
          <w:sz w:val="16"/>
          <w:szCs w:val="16"/>
        </w:rPr>
        <w:t>November</w:t>
      </w:r>
      <w:r w:rsidR="00943E61" w:rsidRPr="00F30FAF">
        <w:rPr>
          <w:rFonts w:ascii="Garamond" w:hAnsi="Garamond"/>
          <w:sz w:val="16"/>
          <w:szCs w:val="16"/>
        </w:rPr>
        <w:t xml:space="preserve"> 202</w:t>
      </w:r>
      <w:r w:rsidR="006E1FEB">
        <w:rPr>
          <w:rFonts w:ascii="Garamond" w:hAnsi="Garamond"/>
          <w:sz w:val="16"/>
          <w:szCs w:val="16"/>
        </w:rPr>
        <w:t>5</w:t>
      </w:r>
      <w:r w:rsidR="00943E61" w:rsidRPr="00F30FAF">
        <w:rPr>
          <w:rFonts w:ascii="Garamond" w:hAnsi="Garamond"/>
          <w:sz w:val="16"/>
          <w:szCs w:val="16"/>
        </w:rPr>
        <w:t xml:space="preserve">, Reviewed </w:t>
      </w:r>
      <w:r w:rsidR="001B3E91">
        <w:rPr>
          <w:rFonts w:ascii="Garamond" w:hAnsi="Garamond"/>
          <w:sz w:val="16"/>
          <w:szCs w:val="16"/>
        </w:rPr>
        <w:t>07</w:t>
      </w:r>
      <w:r w:rsidR="00943E61" w:rsidRPr="00F30FAF">
        <w:rPr>
          <w:rFonts w:ascii="Garamond" w:hAnsi="Garamond"/>
          <w:sz w:val="16"/>
          <w:szCs w:val="16"/>
        </w:rPr>
        <w:t xml:space="preserve"> </w:t>
      </w:r>
      <w:r w:rsidR="001B3E91">
        <w:rPr>
          <w:rFonts w:ascii="Garamond" w:hAnsi="Garamond"/>
          <w:sz w:val="16"/>
          <w:szCs w:val="16"/>
        </w:rPr>
        <w:t>February</w:t>
      </w:r>
      <w:r w:rsidR="00943E61" w:rsidRPr="00F30FAF">
        <w:rPr>
          <w:rFonts w:ascii="Garamond" w:hAnsi="Garamond"/>
          <w:sz w:val="16"/>
          <w:szCs w:val="16"/>
        </w:rPr>
        <w:t xml:space="preserve"> 202</w:t>
      </w:r>
      <w:r w:rsidR="001B3E91">
        <w:rPr>
          <w:rFonts w:ascii="Garamond" w:hAnsi="Garamond"/>
          <w:sz w:val="16"/>
          <w:szCs w:val="16"/>
        </w:rPr>
        <w:t>6</w:t>
      </w:r>
      <w:r w:rsidRPr="00F30FAF">
        <w:rPr>
          <w:rFonts w:ascii="Garamond" w:hAnsi="Garamond"/>
          <w:sz w:val="16"/>
          <w:szCs w:val="16"/>
        </w:rPr>
        <w:t>, Accepted for pub</w:t>
      </w:r>
      <w:r w:rsidR="00943E61" w:rsidRPr="00F30FAF">
        <w:rPr>
          <w:rFonts w:ascii="Garamond" w:hAnsi="Garamond"/>
          <w:sz w:val="16"/>
          <w:szCs w:val="16"/>
        </w:rPr>
        <w:t xml:space="preserve">lication </w:t>
      </w:r>
      <w:r w:rsidR="002E3587">
        <w:rPr>
          <w:rFonts w:ascii="Garamond" w:hAnsi="Garamond"/>
          <w:sz w:val="16"/>
          <w:szCs w:val="16"/>
        </w:rPr>
        <w:t>17</w:t>
      </w:r>
      <w:r w:rsidR="0023667C" w:rsidRPr="00F30FAF">
        <w:rPr>
          <w:rFonts w:ascii="Garamond" w:hAnsi="Garamond"/>
          <w:sz w:val="16"/>
          <w:szCs w:val="16"/>
        </w:rPr>
        <w:t xml:space="preserve"> </w:t>
      </w:r>
      <w:r w:rsidR="002E3587">
        <w:rPr>
          <w:rFonts w:ascii="Garamond" w:hAnsi="Garamond"/>
          <w:sz w:val="16"/>
          <w:szCs w:val="16"/>
        </w:rPr>
        <w:t>March</w:t>
      </w:r>
      <w:r w:rsidRPr="00F30FAF">
        <w:rPr>
          <w:rFonts w:ascii="Garamond" w:hAnsi="Garamond"/>
          <w:sz w:val="16"/>
          <w:szCs w:val="16"/>
        </w:rPr>
        <w:t xml:space="preserve"> 202</w:t>
      </w:r>
      <w:r w:rsidR="002E3587">
        <w:rPr>
          <w:rFonts w:ascii="Garamond" w:hAnsi="Garamond"/>
          <w:sz w:val="16"/>
          <w:szCs w:val="16"/>
        </w:rPr>
        <w:t>6</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47703AD9" w:rsidR="006732D7" w:rsidRPr="000931E7" w:rsidRDefault="00682789" w:rsidP="006732D7">
      <w:pPr>
        <w:jc w:val="both"/>
        <w:rPr>
          <w:rFonts w:ascii="Garamond" w:hAnsi="Garamond"/>
          <w:sz w:val="22"/>
          <w:szCs w:val="22"/>
        </w:rPr>
      </w:pPr>
      <w:r w:rsidRPr="000931E7">
        <w:rPr>
          <w:rFonts w:ascii="Garamond" w:hAnsi="Garamond"/>
          <w:b/>
          <w:sz w:val="22"/>
          <w:szCs w:val="20"/>
        </w:rPr>
        <w:t>ABSTRACT</w:t>
      </w:r>
    </w:p>
    <w:p w14:paraId="50EBCA36" w14:textId="296C6B3F" w:rsidR="00A62AD8" w:rsidRPr="00A62AD8" w:rsidRDefault="0017507F" w:rsidP="00A62AD8">
      <w:pPr>
        <w:jc w:val="both"/>
        <w:rPr>
          <w:rFonts w:ascii="Garamond" w:eastAsiaTheme="minorHAnsi" w:hAnsi="Garamond" w:cstheme="minorHAnsi"/>
          <w:bCs/>
          <w:sz w:val="20"/>
          <w:szCs w:val="20"/>
          <w:lang w:val="en-GB"/>
        </w:rPr>
      </w:pPr>
      <w:r w:rsidRPr="000931E7">
        <w:rPr>
          <w:rFonts w:ascii="Garamond" w:eastAsiaTheme="minorHAnsi" w:hAnsi="Garamond" w:cstheme="minorHAnsi"/>
          <w:b/>
          <w:sz w:val="20"/>
          <w:szCs w:val="20"/>
          <w:lang w:val="en-NG"/>
        </w:rPr>
        <w:t>Background</w:t>
      </w:r>
      <w:r w:rsidR="00C56DA5" w:rsidRPr="00C56DA5">
        <w:rPr>
          <w:rFonts w:ascii="Garamond" w:eastAsiaTheme="minorHAnsi" w:hAnsi="Garamond" w:cstheme="minorHAnsi"/>
          <w:b/>
          <w:bCs/>
          <w:sz w:val="20"/>
          <w:szCs w:val="20"/>
          <w:lang w:val="en-GB"/>
        </w:rPr>
        <w:t>:</w:t>
      </w:r>
      <w:r w:rsidR="00A62AD8" w:rsidRPr="00A62AD8">
        <w:rPr>
          <w:rFonts w:ascii="Garamond" w:eastAsiaTheme="minorHAnsi" w:hAnsi="Garamond" w:cstheme="minorHAnsi"/>
          <w:bCs/>
          <w:sz w:val="20"/>
          <w:szCs w:val="20"/>
        </w:rPr>
        <w:t xml:space="preserve"> </w:t>
      </w:r>
      <w:r w:rsidR="00A62AD8" w:rsidRPr="00A62AD8">
        <w:rPr>
          <w:rFonts w:ascii="Garamond" w:eastAsiaTheme="minorHAnsi" w:hAnsi="Garamond" w:cstheme="minorHAnsi"/>
          <w:bCs/>
          <w:sz w:val="20"/>
          <w:szCs w:val="20"/>
          <w:lang w:val="en-GB"/>
        </w:rPr>
        <w:t xml:space="preserve">Emergence of antimalarial drug resistance and the limited availability of new agents underscore the need to evaluate traditional medicinal plants as potential sources of novel therapies. </w:t>
      </w:r>
      <w:r w:rsidR="00A62AD8" w:rsidRPr="00A62AD8">
        <w:rPr>
          <w:rFonts w:ascii="Garamond" w:eastAsiaTheme="minorHAnsi" w:hAnsi="Garamond" w:cstheme="minorHAnsi"/>
          <w:bCs/>
          <w:i/>
          <w:iCs/>
          <w:sz w:val="20"/>
          <w:szCs w:val="20"/>
          <w:lang w:val="en-GB"/>
        </w:rPr>
        <w:t>Artocarpus heterophyllus</w:t>
      </w:r>
      <w:r w:rsidR="00A62AD8" w:rsidRPr="00A62AD8">
        <w:rPr>
          <w:rFonts w:ascii="Garamond" w:eastAsiaTheme="minorHAnsi" w:hAnsi="Garamond" w:cstheme="minorHAnsi"/>
          <w:bCs/>
          <w:sz w:val="20"/>
          <w:szCs w:val="20"/>
          <w:lang w:val="en-GB"/>
        </w:rPr>
        <w:t xml:space="preserve"> stem-bark is used in ethnomedicine for febrile illnesses, but robust in vivo efficacy and safety data are limited. This study evaluated the </w:t>
      </w:r>
      <w:proofErr w:type="spellStart"/>
      <w:r w:rsidR="00A62AD8" w:rsidRPr="00A62AD8">
        <w:rPr>
          <w:rFonts w:ascii="Garamond" w:eastAsiaTheme="minorHAnsi" w:hAnsi="Garamond" w:cstheme="minorHAnsi"/>
          <w:bCs/>
          <w:sz w:val="20"/>
          <w:szCs w:val="20"/>
          <w:lang w:val="en-GB"/>
        </w:rPr>
        <w:t>chemosuppressive</w:t>
      </w:r>
      <w:proofErr w:type="spellEnd"/>
      <w:r w:rsidR="00A62AD8" w:rsidRPr="00A62AD8">
        <w:rPr>
          <w:rFonts w:ascii="Garamond" w:eastAsiaTheme="minorHAnsi" w:hAnsi="Garamond" w:cstheme="minorHAnsi"/>
          <w:bCs/>
          <w:sz w:val="20"/>
          <w:szCs w:val="20"/>
          <w:lang w:val="en-GB"/>
        </w:rPr>
        <w:t xml:space="preserve"> </w:t>
      </w:r>
      <w:proofErr w:type="spellStart"/>
      <w:r w:rsidR="00A62AD8" w:rsidRPr="00A62AD8">
        <w:rPr>
          <w:rFonts w:ascii="Garamond" w:eastAsiaTheme="minorHAnsi" w:hAnsi="Garamond" w:cstheme="minorHAnsi"/>
          <w:bCs/>
          <w:sz w:val="20"/>
          <w:szCs w:val="20"/>
          <w:lang w:val="en-GB"/>
        </w:rPr>
        <w:t>antiplasmodial</w:t>
      </w:r>
      <w:proofErr w:type="spellEnd"/>
      <w:r w:rsidR="00A62AD8" w:rsidRPr="00A62AD8">
        <w:rPr>
          <w:rFonts w:ascii="Garamond" w:eastAsiaTheme="minorHAnsi" w:hAnsi="Garamond" w:cstheme="minorHAnsi"/>
          <w:bCs/>
          <w:sz w:val="20"/>
          <w:szCs w:val="20"/>
          <w:lang w:val="en-GB"/>
        </w:rPr>
        <w:t xml:space="preserve"> activity and acute oral safety of the methanolic stem-bark extract of </w:t>
      </w:r>
      <w:r w:rsidR="00A62AD8" w:rsidRPr="00A62AD8">
        <w:rPr>
          <w:rFonts w:ascii="Garamond" w:eastAsiaTheme="minorHAnsi" w:hAnsi="Garamond" w:cstheme="minorHAnsi"/>
          <w:bCs/>
          <w:i/>
          <w:iCs/>
          <w:sz w:val="20"/>
          <w:szCs w:val="20"/>
          <w:lang w:val="en-GB"/>
        </w:rPr>
        <w:t>A. heterophyllus</w:t>
      </w:r>
      <w:r w:rsidR="00A62AD8" w:rsidRPr="00A62AD8">
        <w:rPr>
          <w:rFonts w:ascii="Garamond" w:eastAsiaTheme="minorHAnsi" w:hAnsi="Garamond" w:cstheme="minorHAnsi"/>
          <w:bCs/>
          <w:sz w:val="20"/>
          <w:szCs w:val="20"/>
          <w:lang w:val="en-GB"/>
        </w:rPr>
        <w:t xml:space="preserve"> in a murine malaria model.</w:t>
      </w:r>
    </w:p>
    <w:p w14:paraId="00B953FC" w14:textId="77777777" w:rsidR="00A62AD8" w:rsidRPr="00A62AD8" w:rsidRDefault="00A62AD8" w:rsidP="00A62AD8">
      <w:pPr>
        <w:jc w:val="both"/>
        <w:rPr>
          <w:rFonts w:ascii="Garamond" w:eastAsiaTheme="minorHAnsi" w:hAnsi="Garamond" w:cstheme="minorHAnsi"/>
          <w:bCs/>
          <w:sz w:val="20"/>
          <w:szCs w:val="20"/>
          <w:lang w:val="en-GB"/>
        </w:rPr>
      </w:pPr>
      <w:r w:rsidRPr="00A62AD8">
        <w:rPr>
          <w:rFonts w:ascii="Garamond" w:eastAsiaTheme="minorHAnsi" w:hAnsi="Garamond" w:cstheme="minorHAnsi"/>
          <w:b/>
          <w:bCs/>
          <w:sz w:val="20"/>
          <w:szCs w:val="20"/>
          <w:lang w:val="en-GB"/>
        </w:rPr>
        <w:t>Methods:</w:t>
      </w:r>
      <w:r w:rsidRPr="00A62AD8">
        <w:rPr>
          <w:rFonts w:ascii="Garamond" w:eastAsiaTheme="minorHAnsi" w:hAnsi="Garamond" w:cstheme="minorHAnsi"/>
          <w:bCs/>
          <w:sz w:val="20"/>
          <w:szCs w:val="20"/>
          <w:lang w:val="en-GB"/>
        </w:rPr>
        <w:t xml:space="preserve"> This randomized controlled preclinical experimental study used adult female Swiss albino mice experimentally infected with chloroquine-sensitive </w:t>
      </w:r>
      <w:r w:rsidRPr="00A62AD8">
        <w:rPr>
          <w:rFonts w:ascii="Garamond" w:eastAsiaTheme="minorHAnsi" w:hAnsi="Garamond" w:cstheme="minorHAnsi"/>
          <w:bCs/>
          <w:i/>
          <w:iCs/>
          <w:sz w:val="20"/>
          <w:szCs w:val="20"/>
          <w:lang w:val="en-GB"/>
        </w:rPr>
        <w:t xml:space="preserve">Plasmodium </w:t>
      </w:r>
      <w:proofErr w:type="spellStart"/>
      <w:r w:rsidRPr="00A62AD8">
        <w:rPr>
          <w:rFonts w:ascii="Garamond" w:eastAsiaTheme="minorHAnsi" w:hAnsi="Garamond" w:cstheme="minorHAnsi"/>
          <w:bCs/>
          <w:i/>
          <w:iCs/>
          <w:sz w:val="20"/>
          <w:szCs w:val="20"/>
          <w:lang w:val="en-GB"/>
        </w:rPr>
        <w:t>berghei</w:t>
      </w:r>
      <w:proofErr w:type="spellEnd"/>
      <w:r w:rsidRPr="00A62AD8">
        <w:rPr>
          <w:rFonts w:ascii="Garamond" w:eastAsiaTheme="minorHAnsi" w:hAnsi="Garamond" w:cstheme="minorHAnsi"/>
          <w:bCs/>
          <w:sz w:val="20"/>
          <w:szCs w:val="20"/>
          <w:lang w:val="en-GB"/>
        </w:rPr>
        <w:t xml:space="preserve">. Stem-bark of </w:t>
      </w:r>
      <w:r w:rsidRPr="00A62AD8">
        <w:rPr>
          <w:rFonts w:ascii="Garamond" w:eastAsiaTheme="minorHAnsi" w:hAnsi="Garamond" w:cstheme="minorHAnsi"/>
          <w:bCs/>
          <w:i/>
          <w:iCs/>
          <w:sz w:val="20"/>
          <w:szCs w:val="20"/>
          <w:lang w:val="en-GB"/>
        </w:rPr>
        <w:t>A. heterophyllus</w:t>
      </w:r>
      <w:r w:rsidRPr="00A62AD8">
        <w:rPr>
          <w:rFonts w:ascii="Garamond" w:eastAsiaTheme="minorHAnsi" w:hAnsi="Garamond" w:cstheme="minorHAnsi"/>
          <w:bCs/>
          <w:sz w:val="20"/>
          <w:szCs w:val="20"/>
          <w:lang w:val="en-GB"/>
        </w:rPr>
        <w:t xml:space="preserve"> was air-dried, pulverized, and extracted with methanol. Mice were randomly allocated into treatment groups (n = 5 per group) and administered graded oral doses of the extract (25–200 mg/kg) using the standard 4-day suppressive test (Peters’ test). Parasitaemia, and body temperature were recorded. The median effective dose (ED</w:t>
      </w:r>
      <w:r w:rsidRPr="00A62AD8">
        <w:rPr>
          <w:rFonts w:ascii="Cambria Math" w:eastAsiaTheme="minorHAnsi" w:hAnsi="Cambria Math" w:cs="Cambria Math"/>
          <w:bCs/>
          <w:sz w:val="20"/>
          <w:szCs w:val="20"/>
          <w:lang w:val="en-GB"/>
        </w:rPr>
        <w:t>₅₀</w:t>
      </w:r>
      <w:r w:rsidRPr="00A62AD8">
        <w:rPr>
          <w:rFonts w:ascii="Garamond" w:eastAsiaTheme="minorHAnsi" w:hAnsi="Garamond" w:cstheme="minorHAnsi"/>
          <w:bCs/>
          <w:sz w:val="20"/>
          <w:szCs w:val="20"/>
          <w:lang w:val="en-GB"/>
        </w:rPr>
        <w:t>) was estimated using four-parameter logistic regression. Acute oral toxicity was assessed using the OECD up-and-down/limit test to estimate the median lethal dose (LD</w:t>
      </w:r>
      <w:r w:rsidRPr="00A62AD8">
        <w:rPr>
          <w:rFonts w:ascii="Cambria Math" w:eastAsiaTheme="minorHAnsi" w:hAnsi="Cambria Math" w:cs="Cambria Math"/>
          <w:bCs/>
          <w:sz w:val="20"/>
          <w:szCs w:val="20"/>
          <w:lang w:val="en-GB"/>
        </w:rPr>
        <w:t>₅₀</w:t>
      </w:r>
      <w:r w:rsidRPr="00A62AD8">
        <w:rPr>
          <w:rFonts w:ascii="Garamond" w:eastAsiaTheme="minorHAnsi" w:hAnsi="Garamond" w:cstheme="minorHAnsi"/>
          <w:bCs/>
          <w:sz w:val="20"/>
          <w:szCs w:val="20"/>
          <w:lang w:val="en-GB"/>
        </w:rPr>
        <w:t>) and therapeutic index.</w:t>
      </w:r>
    </w:p>
    <w:p w14:paraId="60D7A045" w14:textId="77777777" w:rsidR="00A62AD8" w:rsidRPr="00A62AD8" w:rsidRDefault="00A62AD8" w:rsidP="00A62AD8">
      <w:pPr>
        <w:jc w:val="both"/>
        <w:rPr>
          <w:rFonts w:ascii="Garamond" w:eastAsiaTheme="minorHAnsi" w:hAnsi="Garamond" w:cstheme="minorHAnsi"/>
          <w:bCs/>
          <w:sz w:val="20"/>
          <w:szCs w:val="20"/>
          <w:lang w:val="en-GB"/>
        </w:rPr>
      </w:pPr>
      <w:r w:rsidRPr="00A62AD8">
        <w:rPr>
          <w:rFonts w:ascii="Garamond" w:eastAsiaTheme="minorHAnsi" w:hAnsi="Garamond" w:cstheme="minorHAnsi"/>
          <w:b/>
          <w:bCs/>
          <w:sz w:val="20"/>
          <w:szCs w:val="20"/>
          <w:lang w:val="en-GB"/>
        </w:rPr>
        <w:t>Results:</w:t>
      </w:r>
      <w:r w:rsidRPr="00A62AD8">
        <w:rPr>
          <w:rFonts w:ascii="Garamond" w:eastAsiaTheme="minorHAnsi" w:hAnsi="Garamond" w:cstheme="minorHAnsi"/>
          <w:bCs/>
          <w:sz w:val="20"/>
          <w:szCs w:val="20"/>
          <w:lang w:val="en-GB"/>
        </w:rPr>
        <w:t xml:space="preserve"> The extract produced dose-dependent parasitaemia suppression and significantly prolonged survival compared with untreated controls. The highest suppression (63.45%) occurred at 200 mg/kg. The ED</w:t>
      </w:r>
      <w:r w:rsidRPr="00A62AD8">
        <w:rPr>
          <w:rFonts w:ascii="Cambria Math" w:eastAsiaTheme="minorHAnsi" w:hAnsi="Cambria Math" w:cs="Cambria Math"/>
          <w:bCs/>
          <w:sz w:val="20"/>
          <w:szCs w:val="20"/>
          <w:lang w:val="en-GB"/>
        </w:rPr>
        <w:t>₅₀</w:t>
      </w:r>
      <w:r w:rsidRPr="00A62AD8">
        <w:rPr>
          <w:rFonts w:ascii="Garamond" w:eastAsiaTheme="minorHAnsi" w:hAnsi="Garamond" w:cstheme="minorHAnsi"/>
          <w:bCs/>
          <w:sz w:val="20"/>
          <w:szCs w:val="20"/>
          <w:lang w:val="en-GB"/>
        </w:rPr>
        <w:t xml:space="preserve"> was 95.85 mg/kg, while the LD</w:t>
      </w:r>
      <w:r w:rsidRPr="00A62AD8">
        <w:rPr>
          <w:rFonts w:ascii="Cambria Math" w:eastAsiaTheme="minorHAnsi" w:hAnsi="Cambria Math" w:cs="Cambria Math"/>
          <w:bCs/>
          <w:sz w:val="20"/>
          <w:szCs w:val="20"/>
          <w:lang w:val="en-GB"/>
        </w:rPr>
        <w:t>₅₀</w:t>
      </w:r>
      <w:r w:rsidRPr="00A62AD8">
        <w:rPr>
          <w:rFonts w:ascii="Garamond" w:eastAsiaTheme="minorHAnsi" w:hAnsi="Garamond" w:cstheme="minorHAnsi"/>
          <w:bCs/>
          <w:sz w:val="20"/>
          <w:szCs w:val="20"/>
          <w:lang w:val="en-GB"/>
        </w:rPr>
        <w:t xml:space="preserve"> exceeded 2000 mg/kg, yielding a therapeutic index &gt;21. Mild hepatorenal changes were observed at high exposure on histopathologic examination.</w:t>
      </w:r>
    </w:p>
    <w:p w14:paraId="4B2C59F9" w14:textId="77777777" w:rsidR="00A62AD8" w:rsidRPr="00A62AD8" w:rsidRDefault="00A62AD8" w:rsidP="00A62AD8">
      <w:pPr>
        <w:jc w:val="both"/>
        <w:rPr>
          <w:rFonts w:ascii="Garamond" w:eastAsiaTheme="minorHAnsi" w:hAnsi="Garamond" w:cstheme="minorHAnsi"/>
          <w:bCs/>
          <w:sz w:val="20"/>
          <w:szCs w:val="20"/>
          <w:lang w:val="en-GB"/>
        </w:rPr>
      </w:pPr>
      <w:r w:rsidRPr="00A62AD8">
        <w:rPr>
          <w:rFonts w:ascii="Garamond" w:eastAsiaTheme="minorHAnsi" w:hAnsi="Garamond" w:cstheme="minorHAnsi"/>
          <w:b/>
          <w:bCs/>
          <w:sz w:val="20"/>
          <w:szCs w:val="20"/>
          <w:lang w:val="en-GB"/>
        </w:rPr>
        <w:t>Conclusion:</w:t>
      </w:r>
      <w:r w:rsidRPr="00A62AD8">
        <w:rPr>
          <w:rFonts w:ascii="Garamond" w:eastAsiaTheme="minorHAnsi" w:hAnsi="Garamond" w:cstheme="minorHAnsi"/>
          <w:bCs/>
          <w:sz w:val="20"/>
          <w:szCs w:val="20"/>
          <w:lang w:val="en-GB"/>
        </w:rPr>
        <w:t xml:space="preserve"> Methanolic stem-bark extract of </w:t>
      </w:r>
      <w:r w:rsidRPr="00A62AD8">
        <w:rPr>
          <w:rFonts w:ascii="Garamond" w:eastAsiaTheme="minorHAnsi" w:hAnsi="Garamond" w:cstheme="minorHAnsi"/>
          <w:bCs/>
          <w:i/>
          <w:iCs/>
          <w:sz w:val="20"/>
          <w:szCs w:val="20"/>
          <w:lang w:val="en-GB"/>
        </w:rPr>
        <w:t>A. heterophyllus</w:t>
      </w:r>
      <w:r w:rsidRPr="00A62AD8">
        <w:rPr>
          <w:rFonts w:ascii="Garamond" w:eastAsiaTheme="minorHAnsi" w:hAnsi="Garamond" w:cstheme="minorHAnsi"/>
          <w:bCs/>
          <w:sz w:val="20"/>
          <w:szCs w:val="20"/>
          <w:lang w:val="en-GB"/>
        </w:rPr>
        <w:t xml:space="preserve"> demonstrates significant in vivo </w:t>
      </w:r>
      <w:proofErr w:type="spellStart"/>
      <w:r w:rsidRPr="00A62AD8">
        <w:rPr>
          <w:rFonts w:ascii="Garamond" w:eastAsiaTheme="minorHAnsi" w:hAnsi="Garamond" w:cstheme="minorHAnsi"/>
          <w:bCs/>
          <w:sz w:val="20"/>
          <w:szCs w:val="20"/>
          <w:lang w:val="en-GB"/>
        </w:rPr>
        <w:t>antiplasmodial</w:t>
      </w:r>
      <w:proofErr w:type="spellEnd"/>
      <w:r w:rsidRPr="00A62AD8">
        <w:rPr>
          <w:rFonts w:ascii="Garamond" w:eastAsiaTheme="minorHAnsi" w:hAnsi="Garamond" w:cstheme="minorHAnsi"/>
          <w:bCs/>
          <w:sz w:val="20"/>
          <w:szCs w:val="20"/>
          <w:lang w:val="en-GB"/>
        </w:rPr>
        <w:t xml:space="preserve"> activity with a favourable safety margin in mice, supporting further bioactivity-guided isolation of active compounds and preclinical development.</w:t>
      </w:r>
    </w:p>
    <w:p w14:paraId="7F8481C4" w14:textId="77777777" w:rsidR="00A62AD8" w:rsidRPr="00A62AD8" w:rsidRDefault="00A62AD8" w:rsidP="00A62AD8">
      <w:pPr>
        <w:jc w:val="both"/>
        <w:rPr>
          <w:rFonts w:ascii="Garamond" w:eastAsiaTheme="minorHAnsi" w:hAnsi="Garamond" w:cstheme="minorHAnsi"/>
          <w:bCs/>
          <w:sz w:val="20"/>
          <w:szCs w:val="20"/>
          <w:lang w:val="en-NG"/>
        </w:rPr>
      </w:pPr>
    </w:p>
    <w:p w14:paraId="19733404" w14:textId="77777777" w:rsidR="00A62AD8" w:rsidRPr="00A62AD8" w:rsidRDefault="00A62AD8" w:rsidP="00A62AD8">
      <w:pPr>
        <w:jc w:val="both"/>
        <w:rPr>
          <w:rFonts w:ascii="Garamond" w:eastAsiaTheme="minorHAnsi" w:hAnsi="Garamond" w:cstheme="minorHAnsi"/>
          <w:bCs/>
          <w:sz w:val="20"/>
          <w:szCs w:val="20"/>
          <w:lang w:val="en-NG"/>
        </w:rPr>
      </w:pPr>
      <w:r w:rsidRPr="00A62AD8">
        <w:rPr>
          <w:rFonts w:ascii="Garamond" w:eastAsiaTheme="minorHAnsi" w:hAnsi="Garamond" w:cstheme="minorHAnsi"/>
          <w:b/>
          <w:bCs/>
          <w:sz w:val="20"/>
          <w:szCs w:val="20"/>
          <w:lang w:val="en-NG"/>
        </w:rPr>
        <w:t>Keywords:</w:t>
      </w:r>
      <w:r w:rsidRPr="00A62AD8">
        <w:rPr>
          <w:rFonts w:ascii="Garamond" w:eastAsiaTheme="minorHAnsi" w:hAnsi="Garamond" w:cstheme="minorHAnsi"/>
          <w:bCs/>
          <w:sz w:val="20"/>
          <w:szCs w:val="20"/>
          <w:lang w:val="en-NG"/>
        </w:rPr>
        <w:t xml:space="preserve"> </w:t>
      </w:r>
      <w:r w:rsidRPr="00A62AD8">
        <w:rPr>
          <w:rFonts w:ascii="Garamond" w:eastAsiaTheme="minorHAnsi" w:hAnsi="Garamond" w:cstheme="minorHAnsi"/>
          <w:bCs/>
          <w:i/>
          <w:iCs/>
          <w:sz w:val="20"/>
          <w:szCs w:val="20"/>
          <w:lang w:val="en-NG"/>
        </w:rPr>
        <w:t>Artocarpus heterophyllus</w:t>
      </w:r>
      <w:r w:rsidRPr="00A62AD8">
        <w:rPr>
          <w:rFonts w:ascii="Garamond" w:eastAsiaTheme="minorHAnsi" w:hAnsi="Garamond" w:cstheme="minorHAnsi"/>
          <w:bCs/>
          <w:sz w:val="20"/>
          <w:szCs w:val="20"/>
          <w:lang w:val="en-NG"/>
        </w:rPr>
        <w:t xml:space="preserve">, antiplasmodial activity, </w:t>
      </w:r>
      <w:r w:rsidRPr="00A62AD8">
        <w:rPr>
          <w:rFonts w:ascii="Garamond" w:eastAsiaTheme="minorHAnsi" w:hAnsi="Garamond" w:cstheme="minorHAnsi"/>
          <w:bCs/>
          <w:i/>
          <w:iCs/>
          <w:sz w:val="20"/>
          <w:szCs w:val="20"/>
          <w:lang w:val="en-NG"/>
        </w:rPr>
        <w:t>Plasmodium berghei</w:t>
      </w:r>
      <w:r w:rsidRPr="00A62AD8">
        <w:rPr>
          <w:rFonts w:ascii="Garamond" w:eastAsiaTheme="minorHAnsi" w:hAnsi="Garamond" w:cstheme="minorHAnsi"/>
          <w:bCs/>
          <w:sz w:val="20"/>
          <w:szCs w:val="20"/>
          <w:lang w:val="en-NG"/>
        </w:rPr>
        <w:t>, therapeutic index, ethnopharmacology, malaria treatment.</w:t>
      </w:r>
    </w:p>
    <w:p w14:paraId="173ABDBA" w14:textId="285B36B4" w:rsidR="006732D7" w:rsidRPr="005030CD" w:rsidRDefault="006732D7" w:rsidP="006732D7">
      <w:pPr>
        <w:jc w:val="both"/>
        <w:rPr>
          <w:rFonts w:ascii="Garamond" w:eastAsiaTheme="minorHAnsi" w:hAnsi="Garamond" w:cstheme="minorHAnsi"/>
          <w:bCs/>
          <w:sz w:val="20"/>
          <w:szCs w:val="20"/>
        </w:rPr>
        <w:sectPr w:rsidR="006732D7" w:rsidRPr="005030CD" w:rsidSect="00682789">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pgNumType w:start="169"/>
          <w:cols w:space="720"/>
          <w:docGrid w:linePitch="326"/>
        </w:sectPr>
      </w:pP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303E25EB" w14:textId="37670E72" w:rsidR="006732D7" w:rsidRDefault="006732D7" w:rsidP="006732D7">
      <w:pPr>
        <w:jc w:val="both"/>
        <w:rPr>
          <w:rFonts w:ascii="Garamond" w:hAnsi="Garamond"/>
          <w:b/>
          <w:bCs/>
          <w:sz w:val="22"/>
          <w:szCs w:val="20"/>
        </w:rPr>
      </w:pPr>
      <w:r w:rsidRPr="000931E7">
        <w:rPr>
          <w:rFonts w:ascii="Garamond" w:hAnsi="Garamond"/>
          <w:noProof/>
          <w:sz w:val="20"/>
          <w:szCs w:val="20"/>
        </w:rPr>
        <w:drawing>
          <wp:inline distT="0" distB="0" distL="0" distR="0" wp14:anchorId="2CDA4C7E" wp14:editId="7722AC73">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7EA89543" w14:textId="3D48EFE2" w:rsidR="0080277A" w:rsidRPr="000931E7" w:rsidRDefault="0080277A"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4B5FC556">
                <wp:simplePos x="0" y="0"/>
                <wp:positionH relativeFrom="margin">
                  <wp:posOffset>3254829</wp:posOffset>
                </wp:positionH>
                <wp:positionV relativeFrom="paragraph">
                  <wp:posOffset>27486</wp:posOffset>
                </wp:positionV>
                <wp:extent cx="2925535" cy="1077686"/>
                <wp:effectExtent l="0" t="0" r="8255" b="14605"/>
                <wp:wrapNone/>
                <wp:docPr id="8" name="Text Box 8"/>
                <wp:cNvGraphicFramePr/>
                <a:graphic xmlns:a="http://schemas.openxmlformats.org/drawingml/2006/main">
                  <a:graphicData uri="http://schemas.microsoft.com/office/word/2010/wordprocessingShape">
                    <wps:wsp>
                      <wps:cNvSpPr txBox="1"/>
                      <wps:spPr>
                        <a:xfrm>
                          <a:off x="0" y="0"/>
                          <a:ext cx="2925535" cy="1077686"/>
                        </a:xfrm>
                        <a:prstGeom prst="rect">
                          <a:avLst/>
                        </a:prstGeom>
                        <a:solidFill>
                          <a:sysClr val="window" lastClr="FFFFFF"/>
                        </a:solidFill>
                        <a:ln w="6350">
                          <a:solidFill>
                            <a:srgbClr val="70AD47">
                              <a:lumMod val="75000"/>
                            </a:srgbClr>
                          </a:solidFill>
                        </a:ln>
                      </wps:spPr>
                      <wps:txbx>
                        <w:txbxContent>
                          <w:p w14:paraId="65562D4D" w14:textId="6C36648F" w:rsidR="00576722" w:rsidRPr="00F33268" w:rsidRDefault="0084061C" w:rsidP="0084061C">
                            <w:pPr>
                              <w:rPr>
                                <w:rFonts w:ascii="Garamond" w:hAnsi="Garamond" w:cs="Segoe UI"/>
                                <w:color w:val="000000" w:themeColor="text1"/>
                                <w:sz w:val="20"/>
                                <w:szCs w:val="20"/>
                                <w:shd w:val="clear" w:color="auto" w:fill="FFFFFF"/>
                              </w:rPr>
                            </w:pPr>
                            <w:proofErr w:type="spellStart"/>
                            <w:r w:rsidRPr="00B116F1">
                              <w:rPr>
                                <w:rFonts w:ascii="Garamond" w:hAnsi="Garamond" w:cs="Times New Roman"/>
                                <w:i/>
                                <w:iCs/>
                                <w:sz w:val="20"/>
                                <w:szCs w:val="20"/>
                              </w:rPr>
                              <w:t>Iwuafor</w:t>
                            </w:r>
                            <w:proofErr w:type="spellEnd"/>
                            <w:r w:rsidRPr="00B116F1">
                              <w:rPr>
                                <w:rFonts w:ascii="Garamond" w:hAnsi="Garamond" w:cs="Times New Roman"/>
                                <w:i/>
                                <w:iCs/>
                                <w:sz w:val="20"/>
                                <w:szCs w:val="20"/>
                              </w:rPr>
                              <w:t xml:space="preserve"> AA, </w:t>
                            </w:r>
                            <w:proofErr w:type="spellStart"/>
                            <w:r w:rsidRPr="00B116F1">
                              <w:rPr>
                                <w:rFonts w:ascii="Garamond" w:hAnsi="Garamond" w:cs="Times New Roman"/>
                                <w:i/>
                                <w:iCs/>
                                <w:sz w:val="20"/>
                                <w:szCs w:val="20"/>
                              </w:rPr>
                              <w:t>Ekpenukpang</w:t>
                            </w:r>
                            <w:proofErr w:type="spellEnd"/>
                            <w:r w:rsidRPr="00B116F1">
                              <w:rPr>
                                <w:rFonts w:ascii="Garamond" w:hAnsi="Garamond" w:cs="Times New Roman"/>
                                <w:i/>
                                <w:iCs/>
                                <w:sz w:val="20"/>
                                <w:szCs w:val="20"/>
                              </w:rPr>
                              <w:t xml:space="preserve"> OM, </w:t>
                            </w:r>
                            <w:proofErr w:type="spellStart"/>
                            <w:r w:rsidRPr="00B116F1">
                              <w:rPr>
                                <w:rFonts w:ascii="Garamond" w:hAnsi="Garamond" w:cs="Times New Roman"/>
                                <w:i/>
                                <w:iCs/>
                                <w:sz w:val="20"/>
                                <w:szCs w:val="20"/>
                              </w:rPr>
                              <w:t>Owai</w:t>
                            </w:r>
                            <w:proofErr w:type="spellEnd"/>
                            <w:r w:rsidRPr="00B116F1">
                              <w:rPr>
                                <w:rFonts w:ascii="Garamond" w:hAnsi="Garamond" w:cs="Times New Roman"/>
                                <w:i/>
                                <w:iCs/>
                                <w:sz w:val="20"/>
                                <w:szCs w:val="20"/>
                              </w:rPr>
                              <w:t xml:space="preserve"> PA, Okonkwo CO, Offiong AB, Ide CJ</w:t>
                            </w:r>
                            <w:r>
                              <w:rPr>
                                <w:rFonts w:ascii="Garamond" w:hAnsi="Garamond" w:cs="Times New Roman"/>
                                <w:i/>
                                <w:iCs/>
                                <w:sz w:val="20"/>
                                <w:szCs w:val="20"/>
                              </w:rPr>
                              <w:t xml:space="preserve">, </w:t>
                            </w:r>
                            <w:proofErr w:type="spellStart"/>
                            <w:r w:rsidRPr="00B116F1">
                              <w:rPr>
                                <w:rFonts w:ascii="Garamond" w:hAnsi="Garamond" w:cs="Times New Roman"/>
                                <w:i/>
                                <w:iCs/>
                                <w:sz w:val="20"/>
                                <w:szCs w:val="20"/>
                              </w:rPr>
                              <w:t>Ekeng</w:t>
                            </w:r>
                            <w:proofErr w:type="spellEnd"/>
                            <w:r w:rsidRPr="00B116F1">
                              <w:rPr>
                                <w:rFonts w:ascii="Garamond" w:hAnsi="Garamond" w:cs="Times New Roman"/>
                                <w:i/>
                                <w:iCs/>
                                <w:sz w:val="20"/>
                                <w:szCs w:val="20"/>
                              </w:rPr>
                              <w:t xml:space="preserve"> BE, </w:t>
                            </w:r>
                            <w:proofErr w:type="spellStart"/>
                            <w:r w:rsidRPr="00B116F1">
                              <w:rPr>
                                <w:rFonts w:ascii="Garamond" w:hAnsi="Garamond" w:cs="Times New Roman"/>
                                <w:i/>
                                <w:iCs/>
                                <w:sz w:val="20"/>
                                <w:szCs w:val="20"/>
                              </w:rPr>
                              <w:t>Emanghe</w:t>
                            </w:r>
                            <w:proofErr w:type="spellEnd"/>
                            <w:r w:rsidRPr="00B116F1">
                              <w:rPr>
                                <w:rFonts w:ascii="Garamond" w:hAnsi="Garamond" w:cs="Times New Roman"/>
                                <w:i/>
                                <w:iCs/>
                                <w:sz w:val="20"/>
                                <w:szCs w:val="20"/>
                              </w:rPr>
                              <w:t xml:space="preserve"> UE, </w:t>
                            </w:r>
                            <w:proofErr w:type="spellStart"/>
                            <w:r w:rsidRPr="00B116F1">
                              <w:rPr>
                                <w:rFonts w:ascii="Garamond" w:hAnsi="Garamond" w:cs="Times New Roman"/>
                                <w:i/>
                                <w:iCs/>
                                <w:sz w:val="20"/>
                                <w:szCs w:val="20"/>
                              </w:rPr>
                              <w:t>Ogban</w:t>
                            </w:r>
                            <w:proofErr w:type="spellEnd"/>
                            <w:r w:rsidRPr="00B116F1">
                              <w:rPr>
                                <w:rFonts w:ascii="Garamond" w:hAnsi="Garamond" w:cs="Times New Roman"/>
                                <w:i/>
                                <w:iCs/>
                                <w:sz w:val="20"/>
                                <w:szCs w:val="20"/>
                              </w:rPr>
                              <w:t xml:space="preserve"> GI</w:t>
                            </w:r>
                            <w:r>
                              <w:rPr>
                                <w:rFonts w:ascii="Garamond" w:hAnsi="Garamond" w:cs="Segoe UI"/>
                                <w:i/>
                                <w:iCs/>
                                <w:sz w:val="20"/>
                                <w:szCs w:val="20"/>
                                <w:shd w:val="clear" w:color="auto" w:fill="FFFFFF"/>
                                <w:lang w:val="en-NG"/>
                              </w:rPr>
                              <w:t xml:space="preserve">. </w:t>
                            </w:r>
                            <w:r w:rsidR="00F33268" w:rsidRPr="0084061C">
                              <w:rPr>
                                <w:rFonts w:ascii="Garamond" w:hAnsi="Garamond" w:cs="Segoe UI"/>
                                <w:sz w:val="20"/>
                                <w:szCs w:val="20"/>
                                <w:shd w:val="clear" w:color="auto" w:fill="FFFFFF"/>
                                <w:lang w:val="en-NG"/>
                              </w:rPr>
                              <w:t>In Vivo Antiplasmodial Activity and Safety Evaluation of the Methanolic Stem-Bark Extract of Artocarpus Heterophyllus in Plasmodium Berghei-Infected Mice.</w:t>
                            </w:r>
                            <w:r w:rsidR="00F33268" w:rsidRPr="00F33268">
                              <w:rPr>
                                <w:rFonts w:ascii="Garamond" w:hAnsi="Garamond" w:cs="Segoe UI"/>
                                <w:i/>
                                <w:iCs/>
                                <w:sz w:val="20"/>
                                <w:szCs w:val="20"/>
                                <w:shd w:val="clear" w:color="auto" w:fill="FFFFFF"/>
                                <w:lang w:val="en-NG"/>
                              </w:rPr>
                              <w:t xml:space="preserve"> </w:t>
                            </w:r>
                            <w:r w:rsidR="00576722" w:rsidRPr="00F33268">
                              <w:rPr>
                                <w:rFonts w:ascii="Garamond" w:hAnsi="Garamond" w:cs="Segoe UI"/>
                                <w:color w:val="000000" w:themeColor="text1"/>
                                <w:sz w:val="20"/>
                                <w:szCs w:val="20"/>
                                <w:shd w:val="clear" w:color="auto" w:fill="FFFFFF"/>
                              </w:rPr>
                              <w:t>The Nigerian Health Journal 202</w:t>
                            </w:r>
                            <w:r w:rsidR="00347612" w:rsidRPr="00F33268">
                              <w:rPr>
                                <w:rFonts w:ascii="Garamond" w:hAnsi="Garamond" w:cs="Segoe UI"/>
                                <w:color w:val="000000" w:themeColor="text1"/>
                                <w:sz w:val="20"/>
                                <w:szCs w:val="20"/>
                                <w:shd w:val="clear" w:color="auto" w:fill="FFFFFF"/>
                              </w:rPr>
                              <w:t>6</w:t>
                            </w:r>
                            <w:r w:rsidR="00576722" w:rsidRPr="00F33268">
                              <w:rPr>
                                <w:rFonts w:ascii="Garamond" w:hAnsi="Garamond" w:cs="Segoe UI"/>
                                <w:color w:val="000000" w:themeColor="text1"/>
                                <w:sz w:val="20"/>
                                <w:szCs w:val="20"/>
                                <w:shd w:val="clear" w:color="auto" w:fill="FFFFFF"/>
                              </w:rPr>
                              <w:t>; 2</w:t>
                            </w:r>
                            <w:r w:rsidR="00347612" w:rsidRPr="00F33268">
                              <w:rPr>
                                <w:rFonts w:ascii="Garamond" w:hAnsi="Garamond" w:cs="Segoe UI"/>
                                <w:color w:val="000000" w:themeColor="text1"/>
                                <w:sz w:val="20"/>
                                <w:szCs w:val="20"/>
                                <w:shd w:val="clear" w:color="auto" w:fill="FFFFFF"/>
                              </w:rPr>
                              <w:t>6</w:t>
                            </w:r>
                            <w:r w:rsidR="00576722" w:rsidRPr="00F33268">
                              <w:rPr>
                                <w:rFonts w:ascii="Garamond" w:hAnsi="Garamond" w:cs="Segoe UI"/>
                                <w:color w:val="000000" w:themeColor="text1"/>
                                <w:sz w:val="20"/>
                                <w:szCs w:val="20"/>
                                <w:shd w:val="clear" w:color="auto" w:fill="FFFFFF"/>
                              </w:rPr>
                              <w:t>(</w:t>
                            </w:r>
                            <w:r w:rsidR="00347612" w:rsidRPr="00F33268">
                              <w:rPr>
                                <w:rFonts w:ascii="Garamond" w:hAnsi="Garamond" w:cs="Segoe UI"/>
                                <w:color w:val="000000" w:themeColor="text1"/>
                                <w:sz w:val="20"/>
                                <w:szCs w:val="20"/>
                                <w:shd w:val="clear" w:color="auto" w:fill="FFFFFF"/>
                              </w:rPr>
                              <w:t>1</w:t>
                            </w:r>
                            <w:r w:rsidR="00576722" w:rsidRPr="00F33268">
                              <w:rPr>
                                <w:rFonts w:ascii="Garamond" w:hAnsi="Garamond" w:cs="Segoe UI"/>
                                <w:color w:val="000000" w:themeColor="text1"/>
                                <w:sz w:val="20"/>
                                <w:szCs w:val="20"/>
                                <w:shd w:val="clear" w:color="auto" w:fill="FFFFFF"/>
                              </w:rPr>
                              <w:t>)</w:t>
                            </w:r>
                            <w:r w:rsidR="00682789">
                              <w:rPr>
                                <w:rFonts w:ascii="Garamond" w:hAnsi="Garamond" w:cs="Segoe UI"/>
                                <w:color w:val="000000" w:themeColor="text1"/>
                                <w:sz w:val="20"/>
                                <w:szCs w:val="20"/>
                                <w:shd w:val="clear" w:color="auto" w:fill="FFFFFF"/>
                              </w:rPr>
                              <w:t xml:space="preserve">: 169-176. </w:t>
                            </w:r>
                            <w:hyperlink r:id="rId22" w:history="1">
                              <w:r w:rsidR="00682789" w:rsidRPr="008D4B15">
                                <w:rPr>
                                  <w:rStyle w:val="Hyperlink"/>
                                  <w:rFonts w:ascii="Garamond" w:hAnsi="Garamond" w:cs="Arial"/>
                                  <w:sz w:val="20"/>
                                  <w:szCs w:val="20"/>
                                </w:rPr>
                                <w:t>https://doi.org/10.71637/tnhj.v26i1.1267</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256.3pt;margin-top:2.15pt;width:230.35pt;height:84.8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" fillcolor="window" strokecolor="#548235" strokeweight=".5pt">
                <v:textbox>
                  <w:txbxContent>
                    <w:p w14:paraId="65562D4D" w14:textId="6C36648F" w:rsidR="00576722" w:rsidRPr="00F33268" w:rsidRDefault="0084061C" w:rsidP="0084061C">
                      <w:pPr>
                        <w:rPr>
                          <w:rFonts w:ascii="Garamond" w:hAnsi="Garamond" w:cs="Segoe UI"/>
                          <w:color w:val="000000" w:themeColor="text1"/>
                          <w:sz w:val="20"/>
                          <w:szCs w:val="20"/>
                          <w:shd w:val="clear" w:color="auto" w:fill="FFFFFF"/>
                        </w:rPr>
                      </w:pPr>
                      <w:proofErr w:type="spellStart"/>
                      <w:r w:rsidRPr="00B116F1">
                        <w:rPr>
                          <w:rFonts w:ascii="Garamond" w:hAnsi="Garamond" w:cs="Times New Roman"/>
                          <w:i/>
                          <w:iCs/>
                          <w:sz w:val="20"/>
                          <w:szCs w:val="20"/>
                        </w:rPr>
                        <w:t>Iwuafor</w:t>
                      </w:r>
                      <w:proofErr w:type="spellEnd"/>
                      <w:r w:rsidRPr="00B116F1">
                        <w:rPr>
                          <w:rFonts w:ascii="Garamond" w:hAnsi="Garamond" w:cs="Times New Roman"/>
                          <w:i/>
                          <w:iCs/>
                          <w:sz w:val="20"/>
                          <w:szCs w:val="20"/>
                        </w:rPr>
                        <w:t xml:space="preserve"> AA, </w:t>
                      </w:r>
                      <w:proofErr w:type="spellStart"/>
                      <w:r w:rsidRPr="00B116F1">
                        <w:rPr>
                          <w:rFonts w:ascii="Garamond" w:hAnsi="Garamond" w:cs="Times New Roman"/>
                          <w:i/>
                          <w:iCs/>
                          <w:sz w:val="20"/>
                          <w:szCs w:val="20"/>
                        </w:rPr>
                        <w:t>Ekpenukpang</w:t>
                      </w:r>
                      <w:proofErr w:type="spellEnd"/>
                      <w:r w:rsidRPr="00B116F1">
                        <w:rPr>
                          <w:rFonts w:ascii="Garamond" w:hAnsi="Garamond" w:cs="Times New Roman"/>
                          <w:i/>
                          <w:iCs/>
                          <w:sz w:val="20"/>
                          <w:szCs w:val="20"/>
                        </w:rPr>
                        <w:t xml:space="preserve"> OM, </w:t>
                      </w:r>
                      <w:proofErr w:type="spellStart"/>
                      <w:r w:rsidRPr="00B116F1">
                        <w:rPr>
                          <w:rFonts w:ascii="Garamond" w:hAnsi="Garamond" w:cs="Times New Roman"/>
                          <w:i/>
                          <w:iCs/>
                          <w:sz w:val="20"/>
                          <w:szCs w:val="20"/>
                        </w:rPr>
                        <w:t>Owai</w:t>
                      </w:r>
                      <w:proofErr w:type="spellEnd"/>
                      <w:r w:rsidRPr="00B116F1">
                        <w:rPr>
                          <w:rFonts w:ascii="Garamond" w:hAnsi="Garamond" w:cs="Times New Roman"/>
                          <w:i/>
                          <w:iCs/>
                          <w:sz w:val="20"/>
                          <w:szCs w:val="20"/>
                        </w:rPr>
                        <w:t xml:space="preserve"> PA, Okonkwo CO, Offiong AB, Ide CJ</w:t>
                      </w:r>
                      <w:r>
                        <w:rPr>
                          <w:rFonts w:ascii="Garamond" w:hAnsi="Garamond" w:cs="Times New Roman"/>
                          <w:i/>
                          <w:iCs/>
                          <w:sz w:val="20"/>
                          <w:szCs w:val="20"/>
                        </w:rPr>
                        <w:t xml:space="preserve">, </w:t>
                      </w:r>
                      <w:proofErr w:type="spellStart"/>
                      <w:r w:rsidRPr="00B116F1">
                        <w:rPr>
                          <w:rFonts w:ascii="Garamond" w:hAnsi="Garamond" w:cs="Times New Roman"/>
                          <w:i/>
                          <w:iCs/>
                          <w:sz w:val="20"/>
                          <w:szCs w:val="20"/>
                        </w:rPr>
                        <w:t>Ekeng</w:t>
                      </w:r>
                      <w:proofErr w:type="spellEnd"/>
                      <w:r w:rsidRPr="00B116F1">
                        <w:rPr>
                          <w:rFonts w:ascii="Garamond" w:hAnsi="Garamond" w:cs="Times New Roman"/>
                          <w:i/>
                          <w:iCs/>
                          <w:sz w:val="20"/>
                          <w:szCs w:val="20"/>
                        </w:rPr>
                        <w:t xml:space="preserve"> BE, </w:t>
                      </w:r>
                      <w:proofErr w:type="spellStart"/>
                      <w:r w:rsidRPr="00B116F1">
                        <w:rPr>
                          <w:rFonts w:ascii="Garamond" w:hAnsi="Garamond" w:cs="Times New Roman"/>
                          <w:i/>
                          <w:iCs/>
                          <w:sz w:val="20"/>
                          <w:szCs w:val="20"/>
                        </w:rPr>
                        <w:t>Emanghe</w:t>
                      </w:r>
                      <w:proofErr w:type="spellEnd"/>
                      <w:r w:rsidRPr="00B116F1">
                        <w:rPr>
                          <w:rFonts w:ascii="Garamond" w:hAnsi="Garamond" w:cs="Times New Roman"/>
                          <w:i/>
                          <w:iCs/>
                          <w:sz w:val="20"/>
                          <w:szCs w:val="20"/>
                        </w:rPr>
                        <w:t xml:space="preserve"> UE, </w:t>
                      </w:r>
                      <w:proofErr w:type="spellStart"/>
                      <w:r w:rsidRPr="00B116F1">
                        <w:rPr>
                          <w:rFonts w:ascii="Garamond" w:hAnsi="Garamond" w:cs="Times New Roman"/>
                          <w:i/>
                          <w:iCs/>
                          <w:sz w:val="20"/>
                          <w:szCs w:val="20"/>
                        </w:rPr>
                        <w:t>Ogban</w:t>
                      </w:r>
                      <w:proofErr w:type="spellEnd"/>
                      <w:r w:rsidRPr="00B116F1">
                        <w:rPr>
                          <w:rFonts w:ascii="Garamond" w:hAnsi="Garamond" w:cs="Times New Roman"/>
                          <w:i/>
                          <w:iCs/>
                          <w:sz w:val="20"/>
                          <w:szCs w:val="20"/>
                        </w:rPr>
                        <w:t xml:space="preserve"> GI</w:t>
                      </w:r>
                      <w:r>
                        <w:rPr>
                          <w:rFonts w:ascii="Garamond" w:hAnsi="Garamond" w:cs="Segoe UI"/>
                          <w:i/>
                          <w:iCs/>
                          <w:sz w:val="20"/>
                          <w:szCs w:val="20"/>
                          <w:shd w:val="clear" w:color="auto" w:fill="FFFFFF"/>
                          <w:lang w:val="en-NG"/>
                        </w:rPr>
                        <w:t xml:space="preserve">. </w:t>
                      </w:r>
                      <w:r w:rsidR="00F33268" w:rsidRPr="0084061C">
                        <w:rPr>
                          <w:rFonts w:ascii="Garamond" w:hAnsi="Garamond" w:cs="Segoe UI"/>
                          <w:sz w:val="20"/>
                          <w:szCs w:val="20"/>
                          <w:shd w:val="clear" w:color="auto" w:fill="FFFFFF"/>
                          <w:lang w:val="en-NG"/>
                        </w:rPr>
                        <w:t>In Vivo Antiplasmodial Activity and Safety Evaluation of the Methanolic Stem-Bark Extract of Artocarpus Heterophyllus in Plasmodium Berghei-Infected Mice.</w:t>
                      </w:r>
                      <w:r w:rsidR="00F33268" w:rsidRPr="00F33268">
                        <w:rPr>
                          <w:rFonts w:ascii="Garamond" w:hAnsi="Garamond" w:cs="Segoe UI"/>
                          <w:i/>
                          <w:iCs/>
                          <w:sz w:val="20"/>
                          <w:szCs w:val="20"/>
                          <w:shd w:val="clear" w:color="auto" w:fill="FFFFFF"/>
                          <w:lang w:val="en-NG"/>
                        </w:rPr>
                        <w:t xml:space="preserve"> </w:t>
                      </w:r>
                      <w:r w:rsidR="00576722" w:rsidRPr="00F33268">
                        <w:rPr>
                          <w:rFonts w:ascii="Garamond" w:hAnsi="Garamond" w:cs="Segoe UI"/>
                          <w:color w:val="000000" w:themeColor="text1"/>
                          <w:sz w:val="20"/>
                          <w:szCs w:val="20"/>
                          <w:shd w:val="clear" w:color="auto" w:fill="FFFFFF"/>
                        </w:rPr>
                        <w:t>The Nigerian Health Journal 202</w:t>
                      </w:r>
                      <w:r w:rsidR="00347612" w:rsidRPr="00F33268">
                        <w:rPr>
                          <w:rFonts w:ascii="Garamond" w:hAnsi="Garamond" w:cs="Segoe UI"/>
                          <w:color w:val="000000" w:themeColor="text1"/>
                          <w:sz w:val="20"/>
                          <w:szCs w:val="20"/>
                          <w:shd w:val="clear" w:color="auto" w:fill="FFFFFF"/>
                        </w:rPr>
                        <w:t>6</w:t>
                      </w:r>
                      <w:r w:rsidR="00576722" w:rsidRPr="00F33268">
                        <w:rPr>
                          <w:rFonts w:ascii="Garamond" w:hAnsi="Garamond" w:cs="Segoe UI"/>
                          <w:color w:val="000000" w:themeColor="text1"/>
                          <w:sz w:val="20"/>
                          <w:szCs w:val="20"/>
                          <w:shd w:val="clear" w:color="auto" w:fill="FFFFFF"/>
                        </w:rPr>
                        <w:t>; 2</w:t>
                      </w:r>
                      <w:r w:rsidR="00347612" w:rsidRPr="00F33268">
                        <w:rPr>
                          <w:rFonts w:ascii="Garamond" w:hAnsi="Garamond" w:cs="Segoe UI"/>
                          <w:color w:val="000000" w:themeColor="text1"/>
                          <w:sz w:val="20"/>
                          <w:szCs w:val="20"/>
                          <w:shd w:val="clear" w:color="auto" w:fill="FFFFFF"/>
                        </w:rPr>
                        <w:t>6</w:t>
                      </w:r>
                      <w:r w:rsidR="00576722" w:rsidRPr="00F33268">
                        <w:rPr>
                          <w:rFonts w:ascii="Garamond" w:hAnsi="Garamond" w:cs="Segoe UI"/>
                          <w:color w:val="000000" w:themeColor="text1"/>
                          <w:sz w:val="20"/>
                          <w:szCs w:val="20"/>
                          <w:shd w:val="clear" w:color="auto" w:fill="FFFFFF"/>
                        </w:rPr>
                        <w:t>(</w:t>
                      </w:r>
                      <w:r w:rsidR="00347612" w:rsidRPr="00F33268">
                        <w:rPr>
                          <w:rFonts w:ascii="Garamond" w:hAnsi="Garamond" w:cs="Segoe UI"/>
                          <w:color w:val="000000" w:themeColor="text1"/>
                          <w:sz w:val="20"/>
                          <w:szCs w:val="20"/>
                          <w:shd w:val="clear" w:color="auto" w:fill="FFFFFF"/>
                        </w:rPr>
                        <w:t>1</w:t>
                      </w:r>
                      <w:r w:rsidR="00576722" w:rsidRPr="00F33268">
                        <w:rPr>
                          <w:rFonts w:ascii="Garamond" w:hAnsi="Garamond" w:cs="Segoe UI"/>
                          <w:color w:val="000000" w:themeColor="text1"/>
                          <w:sz w:val="20"/>
                          <w:szCs w:val="20"/>
                          <w:shd w:val="clear" w:color="auto" w:fill="FFFFFF"/>
                        </w:rPr>
                        <w:t>)</w:t>
                      </w:r>
                      <w:r w:rsidR="00682789">
                        <w:rPr>
                          <w:rFonts w:ascii="Garamond" w:hAnsi="Garamond" w:cs="Segoe UI"/>
                          <w:color w:val="000000" w:themeColor="text1"/>
                          <w:sz w:val="20"/>
                          <w:szCs w:val="20"/>
                          <w:shd w:val="clear" w:color="auto" w:fill="FFFFFF"/>
                        </w:rPr>
                        <w:t xml:space="preserve">: 169-176. </w:t>
                      </w:r>
                      <w:hyperlink r:id="rId23" w:history="1">
                        <w:r w:rsidR="00682789" w:rsidRPr="008D4B15">
                          <w:rPr>
                            <w:rStyle w:val="Hyperlink"/>
                            <w:rFonts w:ascii="Garamond" w:hAnsi="Garamond" w:cs="Arial"/>
                            <w:sz w:val="20"/>
                            <w:szCs w:val="20"/>
                          </w:rPr>
                          <w:t>https://doi.org/10.71637/tnhj.v26i1.1267</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Non-Commercial, ShareAlike</w:t>
                            </w:r>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&#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31F1B041" w:rsidR="000720E5" w:rsidRDefault="008E5356"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5EDDA108" w14:textId="07A1F91E" w:rsidR="00A62AD8" w:rsidRDefault="00A62AD8" w:rsidP="00A62AD8">
      <w:pPr>
        <w:spacing w:line="259" w:lineRule="auto"/>
        <w:jc w:val="both"/>
        <w:rPr>
          <w:rFonts w:ascii="Garamond" w:hAnsi="Garamond"/>
          <w:bCs/>
          <w:iCs/>
          <w:sz w:val="20"/>
          <w:szCs w:val="20"/>
          <w:lang w:val="en-NG"/>
        </w:rPr>
      </w:pPr>
      <w:r w:rsidRPr="00A62AD8">
        <w:rPr>
          <w:rFonts w:ascii="Garamond" w:hAnsi="Garamond"/>
          <w:bCs/>
          <w:iCs/>
          <w:sz w:val="20"/>
          <w:szCs w:val="20"/>
          <w:lang w:val="en-NG"/>
        </w:rPr>
        <w:t>Malaria remains a major global public-health problem, with an estimated 249 million cases and 608,000 deaths reported in 2022; sub-Saharan Africa bears the overwhelming share of this burden.</w:t>
      </w:r>
      <w:r w:rsidRPr="00A62AD8">
        <w:rPr>
          <w:rFonts w:ascii="Garamond" w:hAnsi="Garamond"/>
          <w:bCs/>
          <w:iCs/>
          <w:sz w:val="20"/>
          <w:szCs w:val="20"/>
          <w:vertAlign w:val="superscript"/>
          <w:lang w:val="en-NG"/>
        </w:rPr>
        <w:t>1</w:t>
      </w:r>
      <w:r w:rsidRPr="00A62AD8">
        <w:rPr>
          <w:rFonts w:ascii="Garamond" w:hAnsi="Garamond"/>
          <w:bCs/>
          <w:iCs/>
          <w:sz w:val="20"/>
          <w:szCs w:val="20"/>
          <w:lang w:val="en-NG"/>
        </w:rPr>
        <w:t xml:space="preserve"> Children under five years and pregnant women are particularly vulnerable.</w:t>
      </w:r>
      <w:r w:rsidRPr="00A62AD8">
        <w:rPr>
          <w:rFonts w:ascii="Garamond" w:hAnsi="Garamond"/>
          <w:bCs/>
          <w:iCs/>
          <w:sz w:val="20"/>
          <w:szCs w:val="20"/>
          <w:vertAlign w:val="superscript"/>
          <w:lang w:val="en-NG"/>
        </w:rPr>
        <w:t>2</w:t>
      </w:r>
      <w:r w:rsidRPr="00A62AD8">
        <w:rPr>
          <w:rFonts w:ascii="Garamond" w:hAnsi="Garamond"/>
          <w:bCs/>
          <w:iCs/>
          <w:sz w:val="20"/>
          <w:szCs w:val="20"/>
          <w:lang w:val="en-NG"/>
        </w:rPr>
        <w:t xml:space="preserve"> The disease is caused by protozoan parasites of the genus </w:t>
      </w:r>
      <w:r w:rsidRPr="00A62AD8">
        <w:rPr>
          <w:rFonts w:ascii="Garamond" w:hAnsi="Garamond"/>
          <w:bCs/>
          <w:i/>
          <w:iCs/>
          <w:sz w:val="20"/>
          <w:szCs w:val="20"/>
          <w:lang w:val="en-NG"/>
        </w:rPr>
        <w:t>Plasmodium</w:t>
      </w:r>
      <w:r w:rsidRPr="00A62AD8">
        <w:rPr>
          <w:rFonts w:ascii="Garamond" w:hAnsi="Garamond"/>
          <w:bCs/>
          <w:iCs/>
          <w:sz w:val="20"/>
          <w:szCs w:val="20"/>
          <w:lang w:val="en-NG"/>
        </w:rPr>
        <w:t xml:space="preserve"> transmitted by infected </w:t>
      </w:r>
      <w:r w:rsidRPr="00A62AD8">
        <w:rPr>
          <w:rFonts w:ascii="Garamond" w:hAnsi="Garamond"/>
          <w:bCs/>
          <w:i/>
          <w:iCs/>
          <w:sz w:val="20"/>
          <w:szCs w:val="20"/>
          <w:lang w:val="en-NG"/>
        </w:rPr>
        <w:t>Anopheles</w:t>
      </w:r>
      <w:r w:rsidRPr="00A62AD8">
        <w:rPr>
          <w:rFonts w:ascii="Garamond" w:hAnsi="Garamond"/>
          <w:bCs/>
          <w:iCs/>
          <w:sz w:val="20"/>
          <w:szCs w:val="20"/>
          <w:lang w:val="en-NG"/>
        </w:rPr>
        <w:t xml:space="preserve"> mosquitoes; </w:t>
      </w:r>
      <w:r w:rsidRPr="00A62AD8">
        <w:rPr>
          <w:rFonts w:ascii="Garamond" w:hAnsi="Garamond"/>
          <w:bCs/>
          <w:i/>
          <w:iCs/>
          <w:sz w:val="20"/>
          <w:szCs w:val="20"/>
          <w:lang w:val="en-NG"/>
        </w:rPr>
        <w:t>P. falciparum</w:t>
      </w:r>
      <w:r w:rsidRPr="00A62AD8">
        <w:rPr>
          <w:rFonts w:ascii="Garamond" w:hAnsi="Garamond"/>
          <w:bCs/>
          <w:iCs/>
          <w:sz w:val="20"/>
          <w:szCs w:val="20"/>
          <w:lang w:val="en-NG"/>
        </w:rPr>
        <w:t xml:space="preserve"> remains the most lethal species.</w:t>
      </w:r>
      <w:r w:rsidRPr="00A62AD8">
        <w:rPr>
          <w:rFonts w:ascii="Garamond" w:hAnsi="Garamond"/>
          <w:bCs/>
          <w:iCs/>
          <w:sz w:val="20"/>
          <w:szCs w:val="20"/>
          <w:vertAlign w:val="superscript"/>
          <w:lang w:val="en-NG"/>
        </w:rPr>
        <w:t>3</w:t>
      </w:r>
      <w:r w:rsidRPr="00A62AD8">
        <w:rPr>
          <w:rFonts w:ascii="Garamond" w:hAnsi="Garamond"/>
          <w:bCs/>
          <w:iCs/>
          <w:sz w:val="20"/>
          <w:szCs w:val="20"/>
          <w:lang w:val="en-NG"/>
        </w:rPr>
        <w:t xml:space="preserve"> The progressive emergence and spread of resistance to antimalarial drugs, including reports of delayed parasite clearance to artemisinin derivatives, has heightened the need to discover new, safe and affordable therapies.</w:t>
      </w:r>
      <w:r w:rsidRPr="00A62AD8">
        <w:rPr>
          <w:rFonts w:ascii="Garamond" w:hAnsi="Garamond"/>
          <w:bCs/>
          <w:iCs/>
          <w:sz w:val="20"/>
          <w:szCs w:val="20"/>
          <w:vertAlign w:val="superscript"/>
          <w:lang w:val="en-NG"/>
        </w:rPr>
        <w:t>4-5</w:t>
      </w:r>
    </w:p>
    <w:p w14:paraId="414AE648" w14:textId="6BDEB53C" w:rsidR="00A62AD8" w:rsidRDefault="00A62AD8" w:rsidP="00A62AD8">
      <w:pPr>
        <w:spacing w:line="259" w:lineRule="auto"/>
        <w:jc w:val="both"/>
        <w:rPr>
          <w:rFonts w:ascii="Garamond" w:hAnsi="Garamond"/>
          <w:bCs/>
          <w:iCs/>
          <w:sz w:val="20"/>
          <w:szCs w:val="20"/>
          <w:lang w:val="en-NG"/>
        </w:rPr>
      </w:pPr>
      <w:r w:rsidRPr="00A62AD8">
        <w:rPr>
          <w:rFonts w:ascii="Garamond" w:hAnsi="Garamond"/>
          <w:bCs/>
          <w:iCs/>
          <w:sz w:val="20"/>
          <w:szCs w:val="20"/>
          <w:lang w:val="en-NG"/>
        </w:rPr>
        <w:t>Historically, plant-derived compounds (e.g., quinine, artemisinin) have been critical to antimalarial chemotherapy, motivating renewed screening of ethnomedicinal plants for active leads.</w:t>
      </w:r>
      <w:r w:rsidRPr="00A62AD8">
        <w:rPr>
          <w:rFonts w:ascii="Garamond" w:hAnsi="Garamond"/>
          <w:bCs/>
          <w:iCs/>
          <w:sz w:val="20"/>
          <w:szCs w:val="20"/>
          <w:vertAlign w:val="superscript"/>
          <w:lang w:val="en-NG"/>
        </w:rPr>
        <w:t>6-7</w:t>
      </w:r>
      <w:r w:rsidRPr="00A62AD8">
        <w:rPr>
          <w:rFonts w:ascii="Garamond" w:hAnsi="Garamond"/>
          <w:bCs/>
          <w:iCs/>
          <w:sz w:val="20"/>
          <w:szCs w:val="20"/>
          <w:lang w:val="en-NG"/>
        </w:rPr>
        <w:t xml:space="preserve"> </w:t>
      </w:r>
      <w:r w:rsidRPr="00A62AD8">
        <w:rPr>
          <w:rFonts w:ascii="Garamond" w:hAnsi="Garamond"/>
          <w:bCs/>
          <w:i/>
          <w:iCs/>
          <w:sz w:val="20"/>
          <w:szCs w:val="20"/>
          <w:lang w:val="en-NG"/>
        </w:rPr>
        <w:t>Artocarpus heterophyllus</w:t>
      </w:r>
      <w:r w:rsidRPr="00A62AD8">
        <w:rPr>
          <w:rFonts w:ascii="Garamond" w:hAnsi="Garamond"/>
          <w:bCs/>
          <w:iCs/>
          <w:sz w:val="20"/>
          <w:szCs w:val="20"/>
          <w:lang w:val="en-NG"/>
        </w:rPr>
        <w:t xml:space="preserve"> Lam. (jackfruit) is used in traditional medicine across tropical regions for fever and febrile illnesses, including malaria.</w:t>
      </w:r>
      <w:r w:rsidRPr="00A62AD8">
        <w:rPr>
          <w:rFonts w:ascii="Garamond" w:hAnsi="Garamond"/>
          <w:bCs/>
          <w:iCs/>
          <w:sz w:val="20"/>
          <w:szCs w:val="20"/>
          <w:vertAlign w:val="superscript"/>
          <w:lang w:val="en-NG"/>
        </w:rPr>
        <w:t>8-10</w:t>
      </w:r>
      <w:r w:rsidRPr="00A62AD8">
        <w:rPr>
          <w:rFonts w:ascii="Garamond" w:hAnsi="Garamond"/>
          <w:bCs/>
          <w:iCs/>
          <w:sz w:val="20"/>
          <w:szCs w:val="20"/>
          <w:lang w:val="en-NG"/>
        </w:rPr>
        <w:t xml:space="preserve"> Phytochemical surveys of </w:t>
      </w:r>
      <w:r w:rsidRPr="00A62AD8">
        <w:rPr>
          <w:rFonts w:ascii="Garamond" w:hAnsi="Garamond"/>
          <w:bCs/>
          <w:i/>
          <w:iCs/>
          <w:sz w:val="20"/>
          <w:szCs w:val="20"/>
          <w:lang w:val="en-NG"/>
        </w:rPr>
        <w:t>Artocarpus</w:t>
      </w:r>
      <w:r w:rsidRPr="00A62AD8">
        <w:rPr>
          <w:rFonts w:ascii="Garamond" w:hAnsi="Garamond"/>
          <w:bCs/>
          <w:iCs/>
          <w:sz w:val="20"/>
          <w:szCs w:val="20"/>
          <w:lang w:val="en-NG"/>
        </w:rPr>
        <w:t xml:space="preserve"> species report flavonoids, stilbenoids, prenylated phenolics, saponins and other secondary metabolites with potential antiparasitic activity.</w:t>
      </w:r>
      <w:r w:rsidRPr="00A62AD8">
        <w:rPr>
          <w:rFonts w:ascii="Garamond" w:hAnsi="Garamond"/>
          <w:bCs/>
          <w:iCs/>
          <w:sz w:val="20"/>
          <w:szCs w:val="20"/>
          <w:vertAlign w:val="superscript"/>
          <w:lang w:val="en-NG"/>
        </w:rPr>
        <w:t>11-12</w:t>
      </w:r>
    </w:p>
    <w:p w14:paraId="71ABB100" w14:textId="777792E2" w:rsidR="00A62AD8" w:rsidRPr="00A62AD8" w:rsidRDefault="00A62AD8" w:rsidP="00A62AD8">
      <w:pPr>
        <w:spacing w:line="259" w:lineRule="auto"/>
        <w:jc w:val="both"/>
        <w:rPr>
          <w:rFonts w:ascii="Garamond" w:hAnsi="Garamond"/>
          <w:bCs/>
          <w:iCs/>
          <w:sz w:val="20"/>
          <w:szCs w:val="20"/>
          <w:lang w:val="en-NG"/>
        </w:rPr>
      </w:pPr>
      <w:r w:rsidRPr="00A62AD8">
        <w:rPr>
          <w:rFonts w:ascii="Garamond" w:hAnsi="Garamond"/>
          <w:bCs/>
          <w:iCs/>
          <w:sz w:val="20"/>
          <w:szCs w:val="20"/>
          <w:lang w:val="en-NG"/>
        </w:rPr>
        <w:t xml:space="preserve">Despite these reports, robust </w:t>
      </w:r>
      <w:r w:rsidRPr="00A62AD8">
        <w:rPr>
          <w:rFonts w:ascii="Garamond" w:hAnsi="Garamond"/>
          <w:bCs/>
          <w:i/>
          <w:iCs/>
          <w:sz w:val="20"/>
          <w:szCs w:val="20"/>
          <w:lang w:val="en-NG"/>
        </w:rPr>
        <w:t>in vivo</w:t>
      </w:r>
      <w:r w:rsidRPr="00A62AD8">
        <w:rPr>
          <w:rFonts w:ascii="Garamond" w:hAnsi="Garamond"/>
          <w:bCs/>
          <w:iCs/>
          <w:sz w:val="20"/>
          <w:szCs w:val="20"/>
          <w:lang w:val="en-NG"/>
        </w:rPr>
        <w:t xml:space="preserve"> pharmacological and safety data for </w:t>
      </w:r>
      <w:r w:rsidRPr="00A62AD8">
        <w:rPr>
          <w:rFonts w:ascii="Garamond" w:hAnsi="Garamond"/>
          <w:bCs/>
          <w:i/>
          <w:iCs/>
          <w:sz w:val="20"/>
          <w:szCs w:val="20"/>
          <w:lang w:val="en-NG"/>
        </w:rPr>
        <w:t>A. heterophyllus</w:t>
      </w:r>
      <w:r w:rsidRPr="00A62AD8">
        <w:rPr>
          <w:rFonts w:ascii="Garamond" w:hAnsi="Garamond"/>
          <w:bCs/>
          <w:iCs/>
          <w:sz w:val="20"/>
          <w:szCs w:val="20"/>
          <w:lang w:val="en-NG"/>
        </w:rPr>
        <w:t xml:space="preserve"> stem-bark are limited. The present study therefore evaluates the </w:t>
      </w:r>
      <w:r w:rsidRPr="00A62AD8">
        <w:rPr>
          <w:rFonts w:ascii="Garamond" w:hAnsi="Garamond"/>
          <w:bCs/>
          <w:i/>
          <w:iCs/>
          <w:sz w:val="20"/>
          <w:szCs w:val="20"/>
          <w:lang w:val="en-NG"/>
        </w:rPr>
        <w:t>in vivo</w:t>
      </w:r>
      <w:r w:rsidRPr="00A62AD8">
        <w:rPr>
          <w:rFonts w:ascii="Garamond" w:hAnsi="Garamond"/>
          <w:bCs/>
          <w:iCs/>
          <w:sz w:val="20"/>
          <w:szCs w:val="20"/>
          <w:lang w:val="en-NG"/>
        </w:rPr>
        <w:t xml:space="preserve"> antiplasmodial activity of the methanolic stem-bark extract of </w:t>
      </w:r>
      <w:r w:rsidRPr="00A62AD8">
        <w:rPr>
          <w:rFonts w:ascii="Garamond" w:hAnsi="Garamond"/>
          <w:bCs/>
          <w:i/>
          <w:iCs/>
          <w:sz w:val="20"/>
          <w:szCs w:val="20"/>
          <w:lang w:val="en-NG"/>
        </w:rPr>
        <w:t>A. heterophyllus</w:t>
      </w:r>
      <w:r w:rsidRPr="00A62AD8">
        <w:rPr>
          <w:rFonts w:ascii="Garamond" w:hAnsi="Garamond"/>
          <w:bCs/>
          <w:iCs/>
          <w:sz w:val="20"/>
          <w:szCs w:val="20"/>
          <w:lang w:val="en-NG"/>
        </w:rPr>
        <w:t xml:space="preserve"> using the Peters 4-day suppressive test in </w:t>
      </w:r>
      <w:r w:rsidRPr="00A62AD8">
        <w:rPr>
          <w:rFonts w:ascii="Garamond" w:hAnsi="Garamond"/>
          <w:bCs/>
          <w:i/>
          <w:iCs/>
          <w:sz w:val="20"/>
          <w:szCs w:val="20"/>
          <w:lang w:val="en-NG"/>
        </w:rPr>
        <w:t>P. berghei</w:t>
      </w:r>
      <w:r w:rsidRPr="00A62AD8">
        <w:rPr>
          <w:rFonts w:ascii="Garamond" w:hAnsi="Garamond"/>
          <w:bCs/>
          <w:iCs/>
          <w:sz w:val="20"/>
          <w:szCs w:val="20"/>
          <w:lang w:val="en-NG"/>
        </w:rPr>
        <w:t>-infected mice, and determines acute oral toxicity, ED</w:t>
      </w:r>
      <w:r w:rsidRPr="00A62AD8">
        <w:rPr>
          <w:rFonts w:ascii="Cambria Math" w:hAnsi="Cambria Math" w:cs="Cambria Math"/>
          <w:bCs/>
          <w:iCs/>
          <w:sz w:val="20"/>
          <w:szCs w:val="20"/>
          <w:lang w:val="en-NG"/>
        </w:rPr>
        <w:t>₅₀</w:t>
      </w:r>
      <w:r w:rsidRPr="00A62AD8">
        <w:rPr>
          <w:rFonts w:ascii="Garamond" w:hAnsi="Garamond"/>
          <w:bCs/>
          <w:iCs/>
          <w:sz w:val="20"/>
          <w:szCs w:val="20"/>
          <w:lang w:val="en-NG"/>
        </w:rPr>
        <w:t>, and histopathological effects on major organs.</w:t>
      </w:r>
      <w:r w:rsidRPr="00A62AD8">
        <w:rPr>
          <w:rFonts w:ascii="Garamond" w:hAnsi="Garamond"/>
          <w:bCs/>
          <w:iCs/>
          <w:sz w:val="20"/>
          <w:szCs w:val="20"/>
          <w:vertAlign w:val="superscript"/>
          <w:lang w:val="en-NG"/>
        </w:rPr>
        <w:t>13</w:t>
      </w:r>
      <w:r w:rsidRPr="00A62AD8">
        <w:rPr>
          <w:rFonts w:ascii="Garamond" w:hAnsi="Garamond"/>
          <w:bCs/>
          <w:iCs/>
          <w:sz w:val="20"/>
          <w:szCs w:val="20"/>
          <w:lang w:val="en-NG"/>
        </w:rPr>
        <w:t xml:space="preserve"> These data provide preclinical validation of traditional use and guide subsequent fractionation and lead-isolation efforts.</w:t>
      </w:r>
    </w:p>
    <w:p w14:paraId="1DEB5D12" w14:textId="77777777" w:rsidR="00A62AD8" w:rsidRDefault="00A62AD8" w:rsidP="00A62AD8">
      <w:pPr>
        <w:spacing w:line="259" w:lineRule="auto"/>
        <w:jc w:val="both"/>
        <w:rPr>
          <w:rFonts w:ascii="Garamond" w:hAnsi="Garamond"/>
          <w:b/>
          <w:bCs/>
          <w:iCs/>
          <w:sz w:val="20"/>
          <w:szCs w:val="20"/>
          <w:lang w:val="en-NG"/>
        </w:rPr>
      </w:pPr>
    </w:p>
    <w:p w14:paraId="62B23560" w14:textId="43591456" w:rsidR="00A62AD8" w:rsidRPr="008E5356" w:rsidRDefault="008E5356" w:rsidP="00A62AD8">
      <w:pPr>
        <w:spacing w:line="259" w:lineRule="auto"/>
        <w:jc w:val="both"/>
        <w:rPr>
          <w:rFonts w:ascii="Garamond" w:hAnsi="Garamond"/>
          <w:b/>
          <w:bCs/>
          <w:iCs/>
          <w:sz w:val="22"/>
          <w:szCs w:val="22"/>
          <w:lang w:val="en-NG"/>
        </w:rPr>
      </w:pPr>
      <w:r w:rsidRPr="008E5356">
        <w:rPr>
          <w:rFonts w:ascii="Garamond" w:hAnsi="Garamond"/>
          <w:b/>
          <w:bCs/>
          <w:iCs/>
          <w:sz w:val="22"/>
          <w:szCs w:val="22"/>
          <w:lang w:val="en-NG"/>
        </w:rPr>
        <w:t>METHODOLOGY</w:t>
      </w:r>
    </w:p>
    <w:p w14:paraId="5FC26128" w14:textId="1AF4A13B" w:rsidR="00A62AD8" w:rsidRPr="0084061C" w:rsidRDefault="00A62AD8" w:rsidP="00A62AD8">
      <w:pPr>
        <w:spacing w:line="259" w:lineRule="auto"/>
        <w:jc w:val="both"/>
        <w:rPr>
          <w:rFonts w:ascii="Garamond" w:hAnsi="Garamond"/>
          <w:bCs/>
          <w:iCs/>
          <w:sz w:val="20"/>
          <w:szCs w:val="20"/>
          <w:lang w:val="en-NG"/>
        </w:rPr>
      </w:pPr>
      <w:r w:rsidRPr="0084061C">
        <w:rPr>
          <w:rFonts w:ascii="Garamond" w:hAnsi="Garamond"/>
          <w:b/>
          <w:bCs/>
          <w:i/>
          <w:sz w:val="20"/>
          <w:szCs w:val="20"/>
          <w:lang w:val="en-NG"/>
        </w:rPr>
        <w:t>Study Design</w:t>
      </w:r>
      <w:r w:rsidR="0084061C" w:rsidRPr="0084061C">
        <w:rPr>
          <w:rFonts w:ascii="Garamond" w:hAnsi="Garamond"/>
          <w:b/>
          <w:bCs/>
          <w:i/>
          <w:sz w:val="20"/>
          <w:szCs w:val="20"/>
          <w:lang w:val="en-NG"/>
        </w:rPr>
        <w:t>:</w:t>
      </w:r>
      <w:r w:rsidR="0084061C">
        <w:rPr>
          <w:rFonts w:ascii="Garamond" w:hAnsi="Garamond"/>
          <w:b/>
          <w:bCs/>
          <w:iCs/>
          <w:sz w:val="20"/>
          <w:szCs w:val="20"/>
          <w:lang w:val="en-NG"/>
        </w:rPr>
        <w:t xml:space="preserve"> </w:t>
      </w:r>
      <w:r w:rsidRPr="00A62AD8">
        <w:rPr>
          <w:rFonts w:ascii="Garamond" w:hAnsi="Garamond"/>
          <w:bCs/>
          <w:iCs/>
          <w:sz w:val="20"/>
          <w:szCs w:val="20"/>
          <w:lang w:val="en-NG"/>
        </w:rPr>
        <w:t xml:space="preserve">A laboratory-based randomised controlled preclinical experimental study employing </w:t>
      </w:r>
      <w:r w:rsidRPr="00A62AD8">
        <w:rPr>
          <w:rFonts w:ascii="Garamond" w:hAnsi="Garamond"/>
          <w:bCs/>
          <w:i/>
          <w:iCs/>
          <w:sz w:val="20"/>
          <w:szCs w:val="20"/>
          <w:lang w:val="en-NG"/>
        </w:rPr>
        <w:t>Plasmodium berghei</w:t>
      </w:r>
      <w:r w:rsidRPr="00A62AD8">
        <w:rPr>
          <w:rFonts w:ascii="Garamond" w:hAnsi="Garamond"/>
          <w:bCs/>
          <w:iCs/>
          <w:sz w:val="20"/>
          <w:szCs w:val="20"/>
          <w:lang w:val="en-NG"/>
        </w:rPr>
        <w:t xml:space="preserve">-infected mice to evaluate the in vivo antiplasmodial efficacy and acute oral toxicity of methanolic stem-bark extract of </w:t>
      </w:r>
      <w:r w:rsidRPr="00A62AD8">
        <w:rPr>
          <w:rFonts w:ascii="Garamond" w:hAnsi="Garamond"/>
          <w:bCs/>
          <w:i/>
          <w:iCs/>
          <w:sz w:val="20"/>
          <w:szCs w:val="20"/>
          <w:lang w:val="en-NG"/>
        </w:rPr>
        <w:t>Artocarpus heterophyllus.</w:t>
      </w:r>
    </w:p>
    <w:p w14:paraId="5F4BD1FF" w14:textId="08E1D88E" w:rsidR="00A62AD8" w:rsidRPr="0084061C" w:rsidRDefault="00A62AD8" w:rsidP="00A62AD8">
      <w:pPr>
        <w:spacing w:line="259" w:lineRule="auto"/>
        <w:jc w:val="both"/>
        <w:rPr>
          <w:rFonts w:ascii="Garamond" w:hAnsi="Garamond"/>
          <w:bCs/>
          <w:iCs/>
          <w:sz w:val="20"/>
          <w:szCs w:val="20"/>
          <w:lang w:val="en-NG"/>
        </w:rPr>
      </w:pPr>
      <w:r w:rsidRPr="0084061C">
        <w:rPr>
          <w:rFonts w:ascii="Garamond" w:hAnsi="Garamond"/>
          <w:b/>
          <w:bCs/>
          <w:i/>
          <w:sz w:val="20"/>
          <w:szCs w:val="20"/>
          <w:lang w:val="en-NG"/>
        </w:rPr>
        <w:t>Plant material and extract preparation</w:t>
      </w:r>
      <w:r w:rsidR="0084061C">
        <w:rPr>
          <w:rFonts w:ascii="Garamond" w:hAnsi="Garamond"/>
          <w:b/>
          <w:bCs/>
          <w:iCs/>
          <w:sz w:val="20"/>
          <w:szCs w:val="20"/>
          <w:lang w:val="en-NG"/>
        </w:rPr>
        <w:t xml:space="preserve">: </w:t>
      </w:r>
      <w:r w:rsidRPr="00A62AD8">
        <w:rPr>
          <w:rFonts w:ascii="Garamond" w:hAnsi="Garamond"/>
          <w:bCs/>
          <w:iCs/>
          <w:sz w:val="20"/>
          <w:szCs w:val="20"/>
          <w:lang w:val="en-NG"/>
        </w:rPr>
        <w:t xml:space="preserve">Stem-bark of </w:t>
      </w:r>
      <w:r w:rsidRPr="00A62AD8">
        <w:rPr>
          <w:rFonts w:ascii="Garamond" w:hAnsi="Garamond"/>
          <w:bCs/>
          <w:i/>
          <w:iCs/>
          <w:sz w:val="20"/>
          <w:szCs w:val="20"/>
          <w:lang w:val="en-NG"/>
        </w:rPr>
        <w:t>A. heterophyllus</w:t>
      </w:r>
      <w:r w:rsidRPr="00A62AD8">
        <w:rPr>
          <w:rFonts w:ascii="Garamond" w:hAnsi="Garamond"/>
          <w:bCs/>
          <w:iCs/>
          <w:sz w:val="20"/>
          <w:szCs w:val="20"/>
          <w:lang w:val="en-NG"/>
        </w:rPr>
        <w:t xml:space="preserve"> was collected from the study region, authenticated by a botanist, air-dried, pulverized and extracted by maceration in methanol. The filtrate was concentrated under reduced pressure and stored at 4°C until use. Extraction procedures followed standard phytochemical methods.</w:t>
      </w:r>
      <w:r w:rsidRPr="00A62AD8">
        <w:rPr>
          <w:rFonts w:ascii="Garamond" w:hAnsi="Garamond"/>
          <w:bCs/>
          <w:iCs/>
          <w:sz w:val="20"/>
          <w:szCs w:val="20"/>
          <w:vertAlign w:val="superscript"/>
          <w:lang w:val="en-NG"/>
        </w:rPr>
        <w:t>14-15</w:t>
      </w:r>
    </w:p>
    <w:p w14:paraId="2BA777D8" w14:textId="59F0FC92" w:rsidR="00A62AD8" w:rsidRPr="0084061C" w:rsidRDefault="00A62AD8" w:rsidP="00A62AD8">
      <w:pPr>
        <w:spacing w:line="259" w:lineRule="auto"/>
        <w:jc w:val="both"/>
        <w:rPr>
          <w:rFonts w:ascii="Garamond" w:hAnsi="Garamond"/>
          <w:bCs/>
          <w:iCs/>
          <w:sz w:val="20"/>
          <w:szCs w:val="20"/>
          <w:lang w:val="en-NG"/>
        </w:rPr>
      </w:pPr>
      <w:r w:rsidRPr="0084061C">
        <w:rPr>
          <w:rFonts w:ascii="Garamond" w:hAnsi="Garamond"/>
          <w:b/>
          <w:bCs/>
          <w:i/>
          <w:sz w:val="20"/>
          <w:szCs w:val="20"/>
          <w:lang w:val="en-NG"/>
        </w:rPr>
        <w:t>Animals and ethical approval</w:t>
      </w:r>
      <w:r w:rsidR="0084061C" w:rsidRPr="0084061C">
        <w:rPr>
          <w:rFonts w:ascii="Garamond" w:hAnsi="Garamond"/>
          <w:b/>
          <w:bCs/>
          <w:i/>
          <w:sz w:val="20"/>
          <w:szCs w:val="20"/>
          <w:lang w:val="en-NG"/>
        </w:rPr>
        <w:t>:</w:t>
      </w:r>
      <w:r w:rsidR="0084061C">
        <w:rPr>
          <w:rFonts w:ascii="Garamond" w:hAnsi="Garamond"/>
          <w:b/>
          <w:bCs/>
          <w:iCs/>
          <w:sz w:val="20"/>
          <w:szCs w:val="20"/>
          <w:lang w:val="en-NG"/>
        </w:rPr>
        <w:t xml:space="preserve"> </w:t>
      </w:r>
      <w:r w:rsidRPr="00A62AD8">
        <w:rPr>
          <w:rFonts w:ascii="Garamond" w:hAnsi="Garamond"/>
          <w:bCs/>
          <w:iCs/>
          <w:sz w:val="20"/>
          <w:szCs w:val="20"/>
          <w:lang w:val="en-NG"/>
        </w:rPr>
        <w:t xml:space="preserve">Adult female Swiss albino mice (18–22 g) were acclimatized and kept under </w:t>
      </w:r>
      <w:r w:rsidRPr="00A62AD8">
        <w:rPr>
          <w:rFonts w:ascii="Garamond" w:hAnsi="Garamond"/>
          <w:bCs/>
          <w:iCs/>
          <w:sz w:val="20"/>
          <w:szCs w:val="20"/>
          <w:lang w:val="en-NG"/>
        </w:rPr>
        <w:t>standard conditions with food and water ad libitum. All procedures were approved by the Faculty Animal Research Ethics Committee of the Faculty of Basic Medical Sciences (FAREC-FBMS Committee Approval #: 322MBP3924) of University of Calabar</w:t>
      </w:r>
      <w:r w:rsidRPr="00A62AD8">
        <w:rPr>
          <w:rFonts w:ascii="Garamond" w:hAnsi="Garamond"/>
          <w:bCs/>
          <w:iCs/>
          <w:sz w:val="20"/>
          <w:szCs w:val="20"/>
        </w:rPr>
        <w:t xml:space="preserve"> on 18</w:t>
      </w:r>
      <w:r w:rsidRPr="00A62AD8">
        <w:rPr>
          <w:rFonts w:ascii="Garamond" w:hAnsi="Garamond"/>
          <w:bCs/>
          <w:iCs/>
          <w:sz w:val="20"/>
          <w:szCs w:val="20"/>
          <w:vertAlign w:val="superscript"/>
        </w:rPr>
        <w:t>th</w:t>
      </w:r>
      <w:r w:rsidRPr="00A62AD8">
        <w:rPr>
          <w:rFonts w:ascii="Garamond" w:hAnsi="Garamond"/>
          <w:bCs/>
          <w:iCs/>
          <w:sz w:val="20"/>
          <w:szCs w:val="20"/>
        </w:rPr>
        <w:t xml:space="preserve"> September, 2024,</w:t>
      </w:r>
      <w:r w:rsidRPr="00A62AD8">
        <w:rPr>
          <w:rFonts w:ascii="Garamond" w:hAnsi="Garamond"/>
          <w:bCs/>
          <w:iCs/>
          <w:sz w:val="20"/>
          <w:szCs w:val="20"/>
          <w:lang w:val="en-NG"/>
        </w:rPr>
        <w:t xml:space="preserve"> and conformed to OECD and National Code of Health Research Ethics.</w:t>
      </w:r>
      <w:r w:rsidRPr="00A62AD8">
        <w:rPr>
          <w:rFonts w:ascii="Garamond" w:hAnsi="Garamond"/>
          <w:bCs/>
          <w:iCs/>
          <w:sz w:val="20"/>
          <w:szCs w:val="20"/>
          <w:vertAlign w:val="superscript"/>
          <w:lang w:val="en-NG"/>
        </w:rPr>
        <w:t>13-16</w:t>
      </w:r>
    </w:p>
    <w:p w14:paraId="19849420" w14:textId="78BBF839" w:rsidR="00A62AD8" w:rsidRPr="0084061C" w:rsidRDefault="00A62AD8" w:rsidP="00A62AD8">
      <w:pPr>
        <w:spacing w:line="259" w:lineRule="auto"/>
        <w:jc w:val="both"/>
        <w:rPr>
          <w:rFonts w:ascii="Garamond" w:hAnsi="Garamond"/>
          <w:bCs/>
          <w:iCs/>
          <w:sz w:val="20"/>
          <w:szCs w:val="20"/>
          <w:lang w:val="en-NG"/>
        </w:rPr>
      </w:pPr>
      <w:r w:rsidRPr="0084061C">
        <w:rPr>
          <w:rFonts w:ascii="Garamond" w:hAnsi="Garamond"/>
          <w:b/>
          <w:bCs/>
          <w:i/>
          <w:sz w:val="20"/>
          <w:szCs w:val="20"/>
          <w:lang w:val="en-NG"/>
        </w:rPr>
        <w:t>Parasite strain and inoculation</w:t>
      </w:r>
      <w:r w:rsidR="0084061C" w:rsidRPr="0084061C">
        <w:rPr>
          <w:rFonts w:ascii="Garamond" w:hAnsi="Garamond"/>
          <w:b/>
          <w:bCs/>
          <w:i/>
          <w:sz w:val="20"/>
          <w:szCs w:val="20"/>
          <w:lang w:val="en-NG"/>
        </w:rPr>
        <w:t>:</w:t>
      </w:r>
      <w:r w:rsidR="0084061C">
        <w:rPr>
          <w:rFonts w:ascii="Garamond" w:hAnsi="Garamond"/>
          <w:b/>
          <w:bCs/>
          <w:iCs/>
          <w:sz w:val="20"/>
          <w:szCs w:val="20"/>
          <w:lang w:val="en-NG"/>
        </w:rPr>
        <w:t xml:space="preserve"> </w:t>
      </w:r>
      <w:r w:rsidRPr="00A62AD8">
        <w:rPr>
          <w:rFonts w:ascii="Garamond" w:hAnsi="Garamond"/>
          <w:bCs/>
          <w:iCs/>
          <w:sz w:val="20"/>
          <w:szCs w:val="20"/>
          <w:lang w:val="en-NG"/>
        </w:rPr>
        <w:t xml:space="preserve">Chloroquine-sensitive </w:t>
      </w:r>
      <w:r w:rsidRPr="00A62AD8">
        <w:rPr>
          <w:rFonts w:ascii="Garamond" w:hAnsi="Garamond"/>
          <w:bCs/>
          <w:i/>
          <w:iCs/>
          <w:sz w:val="20"/>
          <w:szCs w:val="20"/>
          <w:lang w:val="en-NG"/>
        </w:rPr>
        <w:t>Plasmodium berghei</w:t>
      </w:r>
      <w:r w:rsidRPr="00A62AD8">
        <w:rPr>
          <w:rFonts w:ascii="Garamond" w:hAnsi="Garamond"/>
          <w:bCs/>
          <w:iCs/>
          <w:sz w:val="20"/>
          <w:szCs w:val="20"/>
          <w:lang w:val="en-NG"/>
        </w:rPr>
        <w:t xml:space="preserve"> (NK65) was maintained by serial passage. Donor mice with 20–30% parasitaemia were used to prepare inocula containing ≈1×10</w:t>
      </w:r>
      <w:r w:rsidRPr="00A62AD8">
        <w:rPr>
          <w:rFonts w:ascii="Cambria Math" w:hAnsi="Cambria Math" w:cs="Cambria Math"/>
          <w:bCs/>
          <w:iCs/>
          <w:sz w:val="20"/>
          <w:szCs w:val="20"/>
          <w:lang w:val="en-NG"/>
        </w:rPr>
        <w:t>⁷</w:t>
      </w:r>
      <w:r w:rsidRPr="00A62AD8">
        <w:rPr>
          <w:rFonts w:ascii="Garamond" w:hAnsi="Garamond"/>
          <w:bCs/>
          <w:iCs/>
          <w:sz w:val="20"/>
          <w:szCs w:val="20"/>
          <w:lang w:val="en-NG"/>
        </w:rPr>
        <w:t xml:space="preserve"> parasitized RBCs per 0.2 mL for intraperitoneal injection.</w:t>
      </w:r>
      <w:r w:rsidRPr="00A62AD8">
        <w:rPr>
          <w:rFonts w:ascii="Garamond" w:hAnsi="Garamond"/>
          <w:bCs/>
          <w:iCs/>
          <w:sz w:val="20"/>
          <w:szCs w:val="20"/>
          <w:vertAlign w:val="superscript"/>
          <w:lang w:val="en-NG"/>
        </w:rPr>
        <w:t>13</w:t>
      </w:r>
    </w:p>
    <w:p w14:paraId="62E39382" w14:textId="0FE8B6F7" w:rsidR="00A62AD8" w:rsidRPr="0084061C" w:rsidRDefault="00A62AD8" w:rsidP="00A62AD8">
      <w:pPr>
        <w:spacing w:line="259" w:lineRule="auto"/>
        <w:jc w:val="both"/>
        <w:rPr>
          <w:rFonts w:ascii="Garamond" w:hAnsi="Garamond"/>
          <w:bCs/>
          <w:iCs/>
          <w:sz w:val="20"/>
          <w:szCs w:val="20"/>
          <w:lang w:val="en-NG"/>
        </w:rPr>
      </w:pPr>
      <w:r w:rsidRPr="0084061C">
        <w:rPr>
          <w:rFonts w:ascii="Garamond" w:hAnsi="Garamond"/>
          <w:b/>
          <w:bCs/>
          <w:i/>
          <w:sz w:val="20"/>
          <w:szCs w:val="20"/>
          <w:lang w:val="en-NG"/>
        </w:rPr>
        <w:t>In vivo antiplasmodial assay (4-day suppressive test)</w:t>
      </w:r>
      <w:r w:rsidR="0084061C" w:rsidRPr="0084061C">
        <w:rPr>
          <w:rFonts w:ascii="Garamond" w:hAnsi="Garamond"/>
          <w:b/>
          <w:bCs/>
          <w:i/>
          <w:sz w:val="20"/>
          <w:szCs w:val="20"/>
          <w:lang w:val="en-NG"/>
        </w:rPr>
        <w:t>:</w:t>
      </w:r>
      <w:r w:rsidR="0084061C">
        <w:rPr>
          <w:rFonts w:ascii="Garamond" w:hAnsi="Garamond"/>
          <w:b/>
          <w:bCs/>
          <w:iCs/>
          <w:sz w:val="20"/>
          <w:szCs w:val="20"/>
          <w:lang w:val="en-NG"/>
        </w:rPr>
        <w:t xml:space="preserve"> </w:t>
      </w:r>
      <w:r w:rsidRPr="00A62AD8">
        <w:rPr>
          <w:rFonts w:ascii="Garamond" w:hAnsi="Garamond"/>
          <w:bCs/>
          <w:iCs/>
          <w:sz w:val="20"/>
          <w:szCs w:val="20"/>
          <w:lang w:val="en-NG"/>
        </w:rPr>
        <w:t>Antiplasmodial activity was evaluated using the standard Peters 4-day suppressive protocol.</w:t>
      </w:r>
      <w:r w:rsidRPr="00A62AD8">
        <w:rPr>
          <w:rFonts w:ascii="Garamond" w:hAnsi="Garamond"/>
          <w:bCs/>
          <w:iCs/>
          <w:sz w:val="20"/>
          <w:szCs w:val="20"/>
          <w:vertAlign w:val="superscript"/>
          <w:lang w:val="en-NG"/>
        </w:rPr>
        <w:t>13</w:t>
      </w:r>
      <w:r w:rsidRPr="00A62AD8">
        <w:rPr>
          <w:rFonts w:ascii="Garamond" w:hAnsi="Garamond"/>
          <w:bCs/>
          <w:iCs/>
          <w:sz w:val="20"/>
          <w:szCs w:val="20"/>
          <w:lang w:val="en-NG"/>
        </w:rPr>
        <w:t xml:space="preserve"> Mice were randomized into groups (n = 5) and infected on day 0. Treatments (extract at 25, 50, 100, 200 mg/kg orally once daily) began 2 h post-infection and continued for 4 days (days 0–3). Artesunate (5 mg/kg) and normal saline were used as positive and negative controls, respectively. On day 4, thin blood smears were prepared, fixed and stained; parasitaemia (% infected RBCs per 1,000 erythrocytes) was determined microscopically. Percentage chemosuppression relative to control was calculated.</w:t>
      </w:r>
    </w:p>
    <w:p w14:paraId="4CD17419" w14:textId="498170D8" w:rsidR="00A62AD8" w:rsidRPr="0084061C" w:rsidRDefault="00A62AD8" w:rsidP="00A62AD8">
      <w:pPr>
        <w:spacing w:line="259" w:lineRule="auto"/>
        <w:jc w:val="both"/>
        <w:rPr>
          <w:rFonts w:ascii="Garamond" w:hAnsi="Garamond"/>
          <w:bCs/>
          <w:iCs/>
          <w:sz w:val="20"/>
          <w:szCs w:val="20"/>
          <w:lang w:val="en-NG"/>
        </w:rPr>
      </w:pPr>
      <w:r w:rsidRPr="0084061C">
        <w:rPr>
          <w:rFonts w:ascii="Garamond" w:hAnsi="Garamond"/>
          <w:b/>
          <w:bCs/>
          <w:i/>
          <w:sz w:val="20"/>
          <w:szCs w:val="20"/>
          <w:lang w:val="en-NG"/>
        </w:rPr>
        <w:t>Acute oral toxicity</w:t>
      </w:r>
      <w:r w:rsidR="0084061C" w:rsidRPr="0084061C">
        <w:rPr>
          <w:rFonts w:ascii="Garamond" w:hAnsi="Garamond"/>
          <w:b/>
          <w:bCs/>
          <w:i/>
          <w:sz w:val="20"/>
          <w:szCs w:val="20"/>
          <w:lang w:val="en-NG"/>
        </w:rPr>
        <w:t>:</w:t>
      </w:r>
      <w:r w:rsidR="0084061C">
        <w:rPr>
          <w:rFonts w:ascii="Garamond" w:hAnsi="Garamond"/>
          <w:b/>
          <w:bCs/>
          <w:iCs/>
          <w:sz w:val="20"/>
          <w:szCs w:val="20"/>
          <w:lang w:val="en-NG"/>
        </w:rPr>
        <w:t xml:space="preserve"> </w:t>
      </w:r>
      <w:r w:rsidRPr="00A62AD8">
        <w:rPr>
          <w:rFonts w:ascii="Garamond" w:hAnsi="Garamond"/>
          <w:bCs/>
          <w:iCs/>
          <w:sz w:val="20"/>
          <w:szCs w:val="20"/>
          <w:lang w:val="en-NG"/>
        </w:rPr>
        <w:t>Acute oral toxicity was conducted using the OECD 423 up-and-down/limit test: fasted mice received a single oral dose of 2,000 mg/kg extract and were monitored for clinical signs and mortality for 14 days. LD</w:t>
      </w:r>
      <w:r w:rsidRPr="00A62AD8">
        <w:rPr>
          <w:rFonts w:ascii="Cambria Math" w:hAnsi="Cambria Math" w:cs="Cambria Math"/>
          <w:bCs/>
          <w:iCs/>
          <w:sz w:val="20"/>
          <w:szCs w:val="20"/>
          <w:lang w:val="en-NG"/>
        </w:rPr>
        <w:t>₅₀</w:t>
      </w:r>
      <w:r w:rsidRPr="00A62AD8">
        <w:rPr>
          <w:rFonts w:ascii="Garamond" w:hAnsi="Garamond"/>
          <w:bCs/>
          <w:iCs/>
          <w:sz w:val="20"/>
          <w:szCs w:val="20"/>
          <w:lang w:val="en-NG"/>
        </w:rPr>
        <w:t xml:space="preserve"> was estimated per guideline procedures.</w:t>
      </w:r>
      <w:r w:rsidRPr="00A62AD8">
        <w:rPr>
          <w:rFonts w:ascii="Garamond" w:hAnsi="Garamond"/>
          <w:bCs/>
          <w:iCs/>
          <w:sz w:val="20"/>
          <w:szCs w:val="20"/>
          <w:vertAlign w:val="superscript"/>
          <w:lang w:val="en-NG"/>
        </w:rPr>
        <w:t>14</w:t>
      </w:r>
    </w:p>
    <w:p w14:paraId="544B6574" w14:textId="77F360AA" w:rsidR="00A62AD8" w:rsidRPr="00A62AD8" w:rsidRDefault="00A62AD8" w:rsidP="00A62AD8">
      <w:pPr>
        <w:spacing w:line="259" w:lineRule="auto"/>
        <w:jc w:val="both"/>
        <w:rPr>
          <w:rFonts w:ascii="Garamond" w:hAnsi="Garamond"/>
          <w:bCs/>
          <w:iCs/>
          <w:sz w:val="20"/>
          <w:szCs w:val="20"/>
          <w:lang w:val="en-NG"/>
        </w:rPr>
      </w:pPr>
      <w:r w:rsidRPr="0084061C">
        <w:rPr>
          <w:rFonts w:ascii="Garamond" w:hAnsi="Garamond"/>
          <w:b/>
          <w:bCs/>
          <w:i/>
          <w:sz w:val="20"/>
          <w:szCs w:val="20"/>
          <w:lang w:val="en-NG"/>
        </w:rPr>
        <w:t>Histopathology</w:t>
      </w:r>
      <w:r w:rsidR="0084061C" w:rsidRPr="0084061C">
        <w:rPr>
          <w:rFonts w:ascii="Garamond" w:hAnsi="Garamond"/>
          <w:b/>
          <w:bCs/>
          <w:i/>
          <w:sz w:val="20"/>
          <w:szCs w:val="20"/>
          <w:lang w:val="en-NG"/>
        </w:rPr>
        <w:t>:</w:t>
      </w:r>
      <w:r w:rsidR="0084061C">
        <w:rPr>
          <w:rFonts w:ascii="Garamond" w:hAnsi="Garamond"/>
          <w:b/>
          <w:bCs/>
          <w:iCs/>
          <w:sz w:val="20"/>
          <w:szCs w:val="20"/>
          <w:lang w:val="en-NG"/>
        </w:rPr>
        <w:t xml:space="preserve"> </w:t>
      </w:r>
      <w:r w:rsidRPr="00A62AD8">
        <w:rPr>
          <w:rFonts w:ascii="Garamond" w:hAnsi="Garamond"/>
          <w:bCs/>
          <w:iCs/>
          <w:sz w:val="20"/>
          <w:szCs w:val="20"/>
          <w:lang w:val="en-NG"/>
        </w:rPr>
        <w:t>At study end, selected animals were euthanized, and liver, kidney and spleen excised, fixed in 10% buffered formalin, processed and stained with hematoxylin–eosin for histopathological assessment following standard protocols.</w:t>
      </w:r>
      <w:r w:rsidRPr="00A62AD8">
        <w:rPr>
          <w:rFonts w:ascii="Garamond" w:hAnsi="Garamond"/>
          <w:bCs/>
          <w:iCs/>
          <w:sz w:val="20"/>
          <w:szCs w:val="20"/>
          <w:vertAlign w:val="superscript"/>
          <w:lang w:val="en-NG"/>
        </w:rPr>
        <w:t>17</w:t>
      </w:r>
    </w:p>
    <w:p w14:paraId="286DAB6E" w14:textId="1E2015AB" w:rsidR="00A62AD8" w:rsidRPr="00A62AD8" w:rsidRDefault="00A62AD8" w:rsidP="00A62AD8">
      <w:pPr>
        <w:spacing w:line="259" w:lineRule="auto"/>
        <w:jc w:val="both"/>
        <w:rPr>
          <w:rFonts w:ascii="Garamond" w:hAnsi="Garamond"/>
          <w:bCs/>
          <w:iCs/>
          <w:sz w:val="20"/>
          <w:szCs w:val="20"/>
          <w:lang w:val="en-NG"/>
        </w:rPr>
      </w:pPr>
      <w:r w:rsidRPr="0084061C">
        <w:rPr>
          <w:rFonts w:ascii="Garamond" w:hAnsi="Garamond"/>
          <w:b/>
          <w:bCs/>
          <w:i/>
          <w:sz w:val="20"/>
          <w:szCs w:val="20"/>
          <w:lang w:val="en-NG"/>
        </w:rPr>
        <w:t>Statistical analysis (expanded)</w:t>
      </w:r>
      <w:r w:rsidR="0084061C" w:rsidRPr="0084061C">
        <w:rPr>
          <w:rFonts w:ascii="Garamond" w:hAnsi="Garamond"/>
          <w:b/>
          <w:bCs/>
          <w:i/>
          <w:sz w:val="20"/>
          <w:szCs w:val="20"/>
          <w:lang w:val="en-NG"/>
        </w:rPr>
        <w:t>:</w:t>
      </w:r>
      <w:r w:rsidR="0084061C">
        <w:rPr>
          <w:rFonts w:ascii="Garamond" w:hAnsi="Garamond"/>
          <w:b/>
          <w:bCs/>
          <w:iCs/>
          <w:sz w:val="20"/>
          <w:szCs w:val="20"/>
          <w:lang w:val="en-NG"/>
        </w:rPr>
        <w:t xml:space="preserve"> </w:t>
      </w:r>
      <w:r w:rsidRPr="00A62AD8">
        <w:rPr>
          <w:rFonts w:ascii="Garamond" w:hAnsi="Garamond"/>
          <w:bCs/>
          <w:iCs/>
          <w:sz w:val="20"/>
          <w:szCs w:val="20"/>
          <w:lang w:val="en-NG"/>
        </w:rPr>
        <w:t xml:space="preserve">Data are presented as mean ± SEM. Data normality was assessed with the Shapiro–Wilk test. Group comparisons employed one-way ANOVA followed by Tukey’s post-hoc test; </w:t>
      </w:r>
      <w:r w:rsidRPr="00A62AD8">
        <w:rPr>
          <w:rFonts w:ascii="Garamond" w:hAnsi="Garamond"/>
          <w:bCs/>
          <w:i/>
          <w:iCs/>
          <w:sz w:val="20"/>
          <w:szCs w:val="20"/>
          <w:lang w:val="en-NG"/>
        </w:rPr>
        <w:t>p</w:t>
      </w:r>
      <w:r w:rsidRPr="00A62AD8">
        <w:rPr>
          <w:rFonts w:ascii="Garamond" w:hAnsi="Garamond"/>
          <w:bCs/>
          <w:iCs/>
          <w:sz w:val="20"/>
          <w:szCs w:val="20"/>
          <w:lang w:val="en-NG"/>
        </w:rPr>
        <w:t xml:space="preserve"> &lt; 0.05 was considered significant. ED</w:t>
      </w:r>
      <w:r w:rsidRPr="00A62AD8">
        <w:rPr>
          <w:rFonts w:ascii="Cambria Math" w:hAnsi="Cambria Math" w:cs="Cambria Math"/>
          <w:bCs/>
          <w:iCs/>
          <w:sz w:val="20"/>
          <w:szCs w:val="20"/>
          <w:lang w:val="en-NG"/>
        </w:rPr>
        <w:t>₅₀</w:t>
      </w:r>
      <w:r w:rsidRPr="00A62AD8">
        <w:rPr>
          <w:rFonts w:ascii="Garamond" w:hAnsi="Garamond"/>
          <w:bCs/>
          <w:iCs/>
          <w:sz w:val="20"/>
          <w:szCs w:val="20"/>
          <w:lang w:val="en-NG"/>
        </w:rPr>
        <w:t xml:space="preserve"> (median effective dose producing 50% chemosuppression) was estimated by nonlinear logistic regression (GraphPad Prism). Survival data were analyzed by Kaplan</w:t>
      </w:r>
      <w:r w:rsidRPr="00A62AD8">
        <w:rPr>
          <w:rFonts w:ascii="Garamond" w:hAnsi="Garamond" w:cs="Garamond"/>
          <w:bCs/>
          <w:iCs/>
          <w:sz w:val="20"/>
          <w:szCs w:val="20"/>
          <w:lang w:val="en-NG"/>
        </w:rPr>
        <w:t>–</w:t>
      </w:r>
      <w:r w:rsidRPr="00A62AD8">
        <w:rPr>
          <w:rFonts w:ascii="Garamond" w:hAnsi="Garamond"/>
          <w:bCs/>
          <w:iCs/>
          <w:sz w:val="20"/>
          <w:szCs w:val="20"/>
          <w:lang w:val="en-NG"/>
        </w:rPr>
        <w:t>Meier curves and compared using the log-rank test. Pearson correlation assessed dose</w:t>
      </w:r>
      <w:r w:rsidRPr="00A62AD8">
        <w:rPr>
          <w:rFonts w:ascii="Garamond" w:hAnsi="Garamond" w:cs="Garamond"/>
          <w:bCs/>
          <w:iCs/>
          <w:sz w:val="20"/>
          <w:szCs w:val="20"/>
          <w:lang w:val="en-NG"/>
        </w:rPr>
        <w:t>–</w:t>
      </w:r>
      <w:r w:rsidRPr="00A62AD8">
        <w:rPr>
          <w:rFonts w:ascii="Garamond" w:hAnsi="Garamond"/>
          <w:bCs/>
          <w:iCs/>
          <w:sz w:val="20"/>
          <w:szCs w:val="20"/>
          <w:lang w:val="en-NG"/>
        </w:rPr>
        <w:t>response association. Statistical methods follow established recommendations for biomedical studies.</w:t>
      </w:r>
      <w:r w:rsidRPr="00A62AD8">
        <w:rPr>
          <w:rFonts w:ascii="Garamond" w:hAnsi="Garamond"/>
          <w:bCs/>
          <w:iCs/>
          <w:sz w:val="20"/>
          <w:szCs w:val="20"/>
          <w:vertAlign w:val="superscript"/>
          <w:lang w:val="en-NG"/>
        </w:rPr>
        <w:t>18</w:t>
      </w:r>
    </w:p>
    <w:p w14:paraId="2E4C32A1" w14:textId="77777777" w:rsidR="0084061C" w:rsidRDefault="0084061C" w:rsidP="00A62AD8">
      <w:pPr>
        <w:spacing w:line="259" w:lineRule="auto"/>
        <w:jc w:val="both"/>
        <w:rPr>
          <w:rFonts w:ascii="Garamond" w:hAnsi="Garamond"/>
          <w:b/>
          <w:bCs/>
          <w:iCs/>
          <w:sz w:val="22"/>
          <w:szCs w:val="22"/>
          <w:lang w:val="en-NG"/>
        </w:rPr>
      </w:pPr>
    </w:p>
    <w:p w14:paraId="1924F5A6" w14:textId="4FEC10C5" w:rsidR="00A62AD8" w:rsidRPr="008E5356" w:rsidRDefault="008E5356" w:rsidP="00A62AD8">
      <w:pPr>
        <w:spacing w:line="259" w:lineRule="auto"/>
        <w:jc w:val="both"/>
        <w:rPr>
          <w:rFonts w:ascii="Garamond" w:hAnsi="Garamond"/>
          <w:b/>
          <w:bCs/>
          <w:iCs/>
          <w:sz w:val="22"/>
          <w:szCs w:val="22"/>
          <w:lang w:val="en-NG"/>
        </w:rPr>
      </w:pPr>
      <w:r w:rsidRPr="008E5356">
        <w:rPr>
          <w:rFonts w:ascii="Garamond" w:hAnsi="Garamond"/>
          <w:b/>
          <w:bCs/>
          <w:iCs/>
          <w:sz w:val="22"/>
          <w:szCs w:val="22"/>
          <w:lang w:val="en-NG"/>
        </w:rPr>
        <w:lastRenderedPageBreak/>
        <w:t>RESULTS</w:t>
      </w:r>
    </w:p>
    <w:p w14:paraId="39F09D2C" w14:textId="77777777" w:rsidR="00A62AD8" w:rsidRPr="00A62AD8" w:rsidRDefault="00A62AD8" w:rsidP="00A62AD8">
      <w:pPr>
        <w:spacing w:line="259" w:lineRule="auto"/>
        <w:jc w:val="both"/>
        <w:rPr>
          <w:rFonts w:ascii="Garamond" w:hAnsi="Garamond"/>
          <w:bCs/>
          <w:iCs/>
          <w:sz w:val="20"/>
          <w:szCs w:val="20"/>
          <w:lang w:val="en-NG"/>
        </w:rPr>
      </w:pPr>
      <w:r w:rsidRPr="00A62AD8">
        <w:rPr>
          <w:rFonts w:ascii="Garamond" w:hAnsi="Garamond"/>
          <w:bCs/>
          <w:iCs/>
          <w:sz w:val="20"/>
          <w:szCs w:val="20"/>
        </w:rPr>
        <w:t xml:space="preserve">Table 1 shows the results of the effect of administration of </w:t>
      </w:r>
      <w:r w:rsidRPr="00A62AD8">
        <w:rPr>
          <w:rFonts w:ascii="Garamond" w:hAnsi="Garamond"/>
          <w:bCs/>
          <w:i/>
          <w:iCs/>
          <w:sz w:val="20"/>
          <w:szCs w:val="20"/>
        </w:rPr>
        <w:t>A. heterophyllus</w:t>
      </w:r>
      <w:r w:rsidRPr="00A62AD8">
        <w:rPr>
          <w:rFonts w:ascii="Garamond" w:hAnsi="Garamond"/>
          <w:bCs/>
          <w:iCs/>
          <w:sz w:val="20"/>
          <w:szCs w:val="20"/>
        </w:rPr>
        <w:t xml:space="preserve"> extract on the </w:t>
      </w:r>
      <w:proofErr w:type="spellStart"/>
      <w:r w:rsidRPr="00A62AD8">
        <w:rPr>
          <w:rFonts w:ascii="Garamond" w:hAnsi="Garamond"/>
          <w:bCs/>
          <w:iCs/>
          <w:sz w:val="20"/>
          <w:szCs w:val="20"/>
        </w:rPr>
        <w:t>Parasitaemia</w:t>
      </w:r>
      <w:proofErr w:type="spellEnd"/>
      <w:r w:rsidRPr="00A62AD8">
        <w:rPr>
          <w:rFonts w:ascii="Garamond" w:hAnsi="Garamond"/>
          <w:bCs/>
          <w:iCs/>
          <w:sz w:val="20"/>
          <w:szCs w:val="20"/>
        </w:rPr>
        <w:t xml:space="preserve"> suppression in experimental animals.</w:t>
      </w:r>
      <w:r w:rsidRPr="00A62AD8">
        <w:rPr>
          <w:rFonts w:ascii="Garamond" w:hAnsi="Garamond"/>
          <w:bCs/>
          <w:iCs/>
          <w:sz w:val="20"/>
          <w:szCs w:val="20"/>
          <w:lang w:val="en-NG"/>
        </w:rPr>
        <w:t xml:space="preserve"> The lowest percentage suppression was achieved by the reference </w:t>
      </w:r>
      <w:r w:rsidRPr="00A62AD8">
        <w:rPr>
          <w:rFonts w:ascii="Garamond" w:hAnsi="Garamond"/>
          <w:bCs/>
          <w:iCs/>
          <w:sz w:val="20"/>
          <w:szCs w:val="20"/>
          <w:lang w:val="en-NG"/>
        </w:rPr>
        <w:t xml:space="preserve">drug (artesunate) administered to the animals in the positive control group, while the highest percentage parasitaemia suppression of 63.45% was achieved by 200 mg/kg of the plant extract. The methanol plant extract also manifested a relatively concentration-dependent suppressive effect on the plasmodium parasites. </w:t>
      </w:r>
    </w:p>
    <w:p w14:paraId="52C10ADD" w14:textId="77777777" w:rsidR="003B659C" w:rsidRDefault="003B659C" w:rsidP="007A1526">
      <w:pPr>
        <w:spacing w:line="259" w:lineRule="auto"/>
        <w:jc w:val="both"/>
        <w:rPr>
          <w:rFonts w:ascii="Garamond" w:hAnsi="Garamond"/>
          <w:bCs/>
          <w:iCs/>
          <w:sz w:val="20"/>
          <w:szCs w:val="20"/>
        </w:rPr>
        <w:sectPr w:rsidR="003B659C" w:rsidSect="003D02D5">
          <w:type w:val="continuous"/>
          <w:pgSz w:w="12240" w:h="15840"/>
          <w:pgMar w:top="1440" w:right="1440" w:bottom="1440" w:left="1440" w:header="720" w:footer="720" w:gutter="0"/>
          <w:cols w:num="2" w:space="720"/>
          <w:titlePg/>
          <w:docGrid w:linePitch="360"/>
        </w:sectPr>
      </w:pPr>
    </w:p>
    <w:p w14:paraId="077B4D0C" w14:textId="77777777" w:rsidR="00A62AD8" w:rsidRDefault="00A62AD8" w:rsidP="007A1526">
      <w:pPr>
        <w:spacing w:line="259" w:lineRule="auto"/>
        <w:jc w:val="both"/>
        <w:rPr>
          <w:rFonts w:ascii="Garamond" w:hAnsi="Garamond"/>
          <w:bCs/>
          <w:iCs/>
          <w:sz w:val="20"/>
          <w:szCs w:val="20"/>
        </w:rPr>
      </w:pPr>
    </w:p>
    <w:p w14:paraId="37A3317F" w14:textId="07F5EC2B" w:rsidR="005A40BF" w:rsidRPr="005A40BF" w:rsidRDefault="005A40BF" w:rsidP="005A40BF">
      <w:pPr>
        <w:spacing w:line="259" w:lineRule="auto"/>
        <w:jc w:val="both"/>
        <w:rPr>
          <w:rFonts w:ascii="Garamond" w:hAnsi="Garamond"/>
          <w:iCs/>
          <w:sz w:val="20"/>
          <w:szCs w:val="20"/>
          <w:lang w:val="en-NG"/>
        </w:rPr>
      </w:pPr>
      <w:bookmarkStart w:id="8" w:name="_Hlk191418570"/>
      <w:r w:rsidRPr="005A40BF">
        <w:rPr>
          <w:rFonts w:ascii="Garamond" w:hAnsi="Garamond"/>
          <w:b/>
          <w:bCs/>
          <w:iCs/>
          <w:sz w:val="20"/>
          <w:szCs w:val="20"/>
          <w:lang w:val="en-NG"/>
        </w:rPr>
        <w:t>Table 1</w:t>
      </w:r>
      <w:r>
        <w:rPr>
          <w:rFonts w:ascii="Garamond" w:hAnsi="Garamond"/>
          <w:b/>
          <w:bCs/>
          <w:iCs/>
          <w:sz w:val="20"/>
          <w:szCs w:val="20"/>
          <w:lang w:val="en-NG"/>
        </w:rPr>
        <w:t xml:space="preserve">: </w:t>
      </w:r>
      <w:r w:rsidRPr="005A40BF">
        <w:rPr>
          <w:rFonts w:ascii="Garamond" w:hAnsi="Garamond"/>
          <w:iCs/>
          <w:sz w:val="20"/>
          <w:szCs w:val="20"/>
          <w:lang w:val="en-NG"/>
        </w:rPr>
        <w:t xml:space="preserve">Antimalarial activities of different doses of the methanol extract of </w:t>
      </w:r>
      <w:r w:rsidRPr="005A40BF">
        <w:rPr>
          <w:rFonts w:ascii="Garamond" w:hAnsi="Garamond"/>
          <w:i/>
          <w:iCs/>
          <w:sz w:val="20"/>
          <w:szCs w:val="20"/>
          <w:lang w:val="en-NG"/>
        </w:rPr>
        <w:t xml:space="preserve">Artocarpus heterophyllus depicted </w:t>
      </w:r>
      <w:r w:rsidRPr="005A40BF">
        <w:rPr>
          <w:rFonts w:ascii="Garamond" w:hAnsi="Garamond"/>
          <w:iCs/>
          <w:sz w:val="20"/>
          <w:szCs w:val="20"/>
          <w:lang w:val="en-NG"/>
        </w:rPr>
        <w:t>by average percentage Suppression of each animal group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2"/>
        <w:gridCol w:w="553"/>
        <w:gridCol w:w="1758"/>
        <w:gridCol w:w="1359"/>
        <w:gridCol w:w="1090"/>
        <w:gridCol w:w="808"/>
        <w:gridCol w:w="939"/>
        <w:gridCol w:w="911"/>
      </w:tblGrid>
      <w:tr w:rsidR="005A40BF" w:rsidRPr="005A40BF" w14:paraId="27B04224" w14:textId="77777777" w:rsidTr="001934C4">
        <w:tc>
          <w:tcPr>
            <w:tcW w:w="2689" w:type="dxa"/>
            <w:tcBorders>
              <w:top w:val="single" w:sz="4" w:space="0" w:color="auto"/>
              <w:bottom w:val="single" w:sz="4" w:space="0" w:color="auto"/>
            </w:tcBorders>
          </w:tcPr>
          <w:p w14:paraId="0AAEA012"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Groups</w:t>
            </w:r>
          </w:p>
        </w:tc>
        <w:tc>
          <w:tcPr>
            <w:tcW w:w="708" w:type="dxa"/>
            <w:tcBorders>
              <w:top w:val="single" w:sz="4" w:space="0" w:color="auto"/>
              <w:bottom w:val="single" w:sz="4" w:space="0" w:color="auto"/>
            </w:tcBorders>
          </w:tcPr>
          <w:p w14:paraId="683F783A"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N</w:t>
            </w:r>
          </w:p>
        </w:tc>
        <w:tc>
          <w:tcPr>
            <w:tcW w:w="2268" w:type="dxa"/>
            <w:tcBorders>
              <w:top w:val="single" w:sz="4" w:space="0" w:color="auto"/>
              <w:bottom w:val="single" w:sz="4" w:space="0" w:color="auto"/>
            </w:tcBorders>
          </w:tcPr>
          <w:p w14:paraId="65F430EB"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 Suppression</w:t>
            </w:r>
          </w:p>
          <w:p w14:paraId="64059E21"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(Mean ± SEM)</w:t>
            </w:r>
          </w:p>
        </w:tc>
        <w:tc>
          <w:tcPr>
            <w:tcW w:w="1843" w:type="dxa"/>
            <w:tcBorders>
              <w:top w:val="single" w:sz="4" w:space="0" w:color="auto"/>
              <w:bottom w:val="single" w:sz="4" w:space="0" w:color="auto"/>
            </w:tcBorders>
          </w:tcPr>
          <w:p w14:paraId="4690545F"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95% CI of Mean</w:t>
            </w:r>
          </w:p>
        </w:tc>
        <w:tc>
          <w:tcPr>
            <w:tcW w:w="1276" w:type="dxa"/>
            <w:tcBorders>
              <w:top w:val="single" w:sz="4" w:space="0" w:color="auto"/>
              <w:bottom w:val="single" w:sz="4" w:space="0" w:color="auto"/>
            </w:tcBorders>
          </w:tcPr>
          <w:p w14:paraId="2A018812" w14:textId="77777777" w:rsidR="005A40BF" w:rsidRPr="005A40BF" w:rsidRDefault="005A40BF" w:rsidP="005A40BF">
            <w:pPr>
              <w:spacing w:line="259" w:lineRule="auto"/>
              <w:jc w:val="both"/>
              <w:rPr>
                <w:rFonts w:ascii="Garamond" w:hAnsi="Garamond"/>
                <w:bCs/>
                <w:iCs/>
                <w:sz w:val="20"/>
                <w:szCs w:val="20"/>
              </w:rPr>
            </w:pPr>
            <w:proofErr w:type="spellStart"/>
            <w:r w:rsidRPr="005A40BF">
              <w:rPr>
                <w:rFonts w:ascii="Garamond" w:hAnsi="Garamond"/>
                <w:bCs/>
                <w:iCs/>
                <w:sz w:val="20"/>
                <w:szCs w:val="20"/>
              </w:rPr>
              <w:t>df</w:t>
            </w:r>
            <w:proofErr w:type="spellEnd"/>
            <w:r w:rsidRPr="005A40BF">
              <w:rPr>
                <w:rFonts w:ascii="Garamond" w:hAnsi="Garamond"/>
                <w:bCs/>
                <w:iCs/>
                <w:sz w:val="20"/>
                <w:szCs w:val="20"/>
              </w:rPr>
              <w:t xml:space="preserve"> (btw &amp; within Groups)</w:t>
            </w:r>
          </w:p>
        </w:tc>
        <w:tc>
          <w:tcPr>
            <w:tcW w:w="876" w:type="dxa"/>
            <w:tcBorders>
              <w:top w:val="single" w:sz="4" w:space="0" w:color="auto"/>
              <w:bottom w:val="single" w:sz="4" w:space="0" w:color="auto"/>
            </w:tcBorders>
          </w:tcPr>
          <w:p w14:paraId="17CDDFED"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F</w:t>
            </w:r>
          </w:p>
        </w:tc>
        <w:tc>
          <w:tcPr>
            <w:tcW w:w="1012" w:type="dxa"/>
            <w:tcBorders>
              <w:top w:val="single" w:sz="4" w:space="0" w:color="auto"/>
              <w:bottom w:val="single" w:sz="4" w:space="0" w:color="auto"/>
            </w:tcBorders>
          </w:tcPr>
          <w:p w14:paraId="50144237"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P-value</w:t>
            </w:r>
          </w:p>
        </w:tc>
        <w:tc>
          <w:tcPr>
            <w:tcW w:w="1089" w:type="dxa"/>
            <w:tcBorders>
              <w:top w:val="single" w:sz="4" w:space="0" w:color="auto"/>
              <w:bottom w:val="single" w:sz="4" w:space="0" w:color="auto"/>
            </w:tcBorders>
          </w:tcPr>
          <w:p w14:paraId="343D1DE2"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Effect size (</w:t>
            </w:r>
            <w:r w:rsidRPr="005A40BF">
              <w:rPr>
                <w:rFonts w:ascii="Cambria" w:hAnsi="Cambria" w:cs="Cambria"/>
                <w:bCs/>
                <w:iCs/>
                <w:sz w:val="20"/>
                <w:szCs w:val="20"/>
              </w:rPr>
              <w:t>ƞ</w:t>
            </w:r>
            <w:r w:rsidRPr="005A40BF">
              <w:rPr>
                <w:rFonts w:ascii="Garamond" w:hAnsi="Garamond"/>
                <w:bCs/>
                <w:iCs/>
                <w:sz w:val="20"/>
                <w:szCs w:val="20"/>
                <w:vertAlign w:val="superscript"/>
              </w:rPr>
              <w:t xml:space="preserve">2 </w:t>
            </w:r>
            <w:r w:rsidRPr="005A40BF">
              <w:rPr>
                <w:rFonts w:ascii="Garamond" w:hAnsi="Garamond"/>
                <w:bCs/>
                <w:iCs/>
                <w:sz w:val="20"/>
                <w:szCs w:val="20"/>
                <w:vertAlign w:val="subscript"/>
              </w:rPr>
              <w:t>P</w:t>
            </w:r>
            <w:r w:rsidRPr="005A40BF">
              <w:rPr>
                <w:rFonts w:ascii="Garamond" w:hAnsi="Garamond"/>
                <w:bCs/>
                <w:iCs/>
                <w:sz w:val="20"/>
                <w:szCs w:val="20"/>
              </w:rPr>
              <w:t>)</w:t>
            </w:r>
          </w:p>
        </w:tc>
      </w:tr>
      <w:tr w:rsidR="005A40BF" w:rsidRPr="005A40BF" w14:paraId="1B94E9F6" w14:textId="77777777" w:rsidTr="001934C4">
        <w:tc>
          <w:tcPr>
            <w:tcW w:w="2689" w:type="dxa"/>
            <w:tcBorders>
              <w:top w:val="single" w:sz="4" w:space="0" w:color="auto"/>
            </w:tcBorders>
          </w:tcPr>
          <w:p w14:paraId="2FE62D28"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Group 1: NC Group</w:t>
            </w:r>
          </w:p>
        </w:tc>
        <w:tc>
          <w:tcPr>
            <w:tcW w:w="708" w:type="dxa"/>
            <w:tcBorders>
              <w:top w:val="single" w:sz="4" w:space="0" w:color="auto"/>
            </w:tcBorders>
          </w:tcPr>
          <w:p w14:paraId="2C5F1559"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5</w:t>
            </w:r>
          </w:p>
        </w:tc>
        <w:tc>
          <w:tcPr>
            <w:tcW w:w="2268" w:type="dxa"/>
            <w:tcBorders>
              <w:top w:val="single" w:sz="4" w:space="0" w:color="auto"/>
            </w:tcBorders>
          </w:tcPr>
          <w:p w14:paraId="56C2CB8D"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0.00</w:t>
            </w:r>
          </w:p>
        </w:tc>
        <w:tc>
          <w:tcPr>
            <w:tcW w:w="1843" w:type="dxa"/>
            <w:tcBorders>
              <w:top w:val="single" w:sz="4" w:space="0" w:color="auto"/>
            </w:tcBorders>
          </w:tcPr>
          <w:p w14:paraId="0A07C05C"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0.00</w:t>
            </w:r>
          </w:p>
        </w:tc>
        <w:tc>
          <w:tcPr>
            <w:tcW w:w="1276" w:type="dxa"/>
            <w:tcBorders>
              <w:top w:val="single" w:sz="4" w:space="0" w:color="auto"/>
            </w:tcBorders>
          </w:tcPr>
          <w:p w14:paraId="666B3E9E"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5, 24</w:t>
            </w:r>
          </w:p>
        </w:tc>
        <w:tc>
          <w:tcPr>
            <w:tcW w:w="876" w:type="dxa"/>
            <w:tcBorders>
              <w:top w:val="single" w:sz="4" w:space="0" w:color="auto"/>
            </w:tcBorders>
          </w:tcPr>
          <w:p w14:paraId="3B4E3241"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15.643</w:t>
            </w:r>
          </w:p>
        </w:tc>
        <w:tc>
          <w:tcPr>
            <w:tcW w:w="1012" w:type="dxa"/>
            <w:tcBorders>
              <w:top w:val="single" w:sz="4" w:space="0" w:color="auto"/>
            </w:tcBorders>
          </w:tcPr>
          <w:p w14:paraId="41EAAEF2"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&lt;0.001*</w:t>
            </w:r>
          </w:p>
        </w:tc>
        <w:tc>
          <w:tcPr>
            <w:tcW w:w="1089" w:type="dxa"/>
            <w:tcBorders>
              <w:top w:val="single" w:sz="4" w:space="0" w:color="auto"/>
            </w:tcBorders>
          </w:tcPr>
          <w:p w14:paraId="634650C1"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0.77</w:t>
            </w:r>
          </w:p>
        </w:tc>
      </w:tr>
      <w:tr w:rsidR="005A40BF" w:rsidRPr="005A40BF" w14:paraId="678DEFC0" w14:textId="77777777" w:rsidTr="001934C4">
        <w:tc>
          <w:tcPr>
            <w:tcW w:w="2689" w:type="dxa"/>
          </w:tcPr>
          <w:p w14:paraId="3AE040C8"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 xml:space="preserve">Group 2:25mg/kg </w:t>
            </w:r>
          </w:p>
        </w:tc>
        <w:tc>
          <w:tcPr>
            <w:tcW w:w="708" w:type="dxa"/>
          </w:tcPr>
          <w:p w14:paraId="48221E42"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5</w:t>
            </w:r>
          </w:p>
        </w:tc>
        <w:tc>
          <w:tcPr>
            <w:tcW w:w="2268" w:type="dxa"/>
          </w:tcPr>
          <w:p w14:paraId="5FEFAF81"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35.86 ± 5.72</w:t>
            </w:r>
          </w:p>
        </w:tc>
        <w:tc>
          <w:tcPr>
            <w:tcW w:w="1843" w:type="dxa"/>
          </w:tcPr>
          <w:p w14:paraId="092CC66D"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19.954-51.761</w:t>
            </w:r>
          </w:p>
        </w:tc>
        <w:tc>
          <w:tcPr>
            <w:tcW w:w="1276" w:type="dxa"/>
          </w:tcPr>
          <w:p w14:paraId="15C4FFEB" w14:textId="77777777" w:rsidR="005A40BF" w:rsidRPr="005A40BF" w:rsidRDefault="005A40BF" w:rsidP="005A40BF">
            <w:pPr>
              <w:spacing w:line="259" w:lineRule="auto"/>
              <w:jc w:val="both"/>
              <w:rPr>
                <w:rFonts w:ascii="Garamond" w:hAnsi="Garamond"/>
                <w:bCs/>
                <w:iCs/>
                <w:sz w:val="20"/>
                <w:szCs w:val="20"/>
              </w:rPr>
            </w:pPr>
          </w:p>
        </w:tc>
        <w:tc>
          <w:tcPr>
            <w:tcW w:w="876" w:type="dxa"/>
          </w:tcPr>
          <w:p w14:paraId="419A9650" w14:textId="77777777" w:rsidR="005A40BF" w:rsidRPr="005A40BF" w:rsidRDefault="005A40BF" w:rsidP="005A40BF">
            <w:pPr>
              <w:spacing w:line="259" w:lineRule="auto"/>
              <w:jc w:val="both"/>
              <w:rPr>
                <w:rFonts w:ascii="Garamond" w:hAnsi="Garamond"/>
                <w:bCs/>
                <w:iCs/>
                <w:sz w:val="20"/>
                <w:szCs w:val="20"/>
              </w:rPr>
            </w:pPr>
          </w:p>
        </w:tc>
        <w:tc>
          <w:tcPr>
            <w:tcW w:w="1012" w:type="dxa"/>
          </w:tcPr>
          <w:p w14:paraId="628560E3" w14:textId="77777777" w:rsidR="005A40BF" w:rsidRPr="005A40BF" w:rsidRDefault="005A40BF" w:rsidP="005A40BF">
            <w:pPr>
              <w:spacing w:line="259" w:lineRule="auto"/>
              <w:jc w:val="both"/>
              <w:rPr>
                <w:rFonts w:ascii="Garamond" w:hAnsi="Garamond"/>
                <w:bCs/>
                <w:iCs/>
                <w:sz w:val="20"/>
                <w:szCs w:val="20"/>
              </w:rPr>
            </w:pPr>
          </w:p>
        </w:tc>
        <w:tc>
          <w:tcPr>
            <w:tcW w:w="1089" w:type="dxa"/>
          </w:tcPr>
          <w:p w14:paraId="31E2DEE6" w14:textId="77777777" w:rsidR="005A40BF" w:rsidRPr="005A40BF" w:rsidRDefault="005A40BF" w:rsidP="005A40BF">
            <w:pPr>
              <w:spacing w:line="259" w:lineRule="auto"/>
              <w:jc w:val="both"/>
              <w:rPr>
                <w:rFonts w:ascii="Garamond" w:hAnsi="Garamond"/>
                <w:bCs/>
                <w:iCs/>
                <w:sz w:val="20"/>
                <w:szCs w:val="20"/>
              </w:rPr>
            </w:pPr>
          </w:p>
        </w:tc>
      </w:tr>
      <w:tr w:rsidR="005A40BF" w:rsidRPr="005A40BF" w14:paraId="581E0A64" w14:textId="77777777" w:rsidTr="001934C4">
        <w:tc>
          <w:tcPr>
            <w:tcW w:w="2689" w:type="dxa"/>
          </w:tcPr>
          <w:p w14:paraId="4B337C8E"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 xml:space="preserve">Group 3: 50mg/kg </w:t>
            </w:r>
          </w:p>
        </w:tc>
        <w:tc>
          <w:tcPr>
            <w:tcW w:w="708" w:type="dxa"/>
          </w:tcPr>
          <w:p w14:paraId="113E2B55"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5</w:t>
            </w:r>
          </w:p>
        </w:tc>
        <w:tc>
          <w:tcPr>
            <w:tcW w:w="2268" w:type="dxa"/>
          </w:tcPr>
          <w:p w14:paraId="191103E5"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34.48 ± 7.71</w:t>
            </w:r>
          </w:p>
        </w:tc>
        <w:tc>
          <w:tcPr>
            <w:tcW w:w="1843" w:type="dxa"/>
          </w:tcPr>
          <w:p w14:paraId="3CCF1B85"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13.069-55.886</w:t>
            </w:r>
          </w:p>
        </w:tc>
        <w:tc>
          <w:tcPr>
            <w:tcW w:w="1276" w:type="dxa"/>
          </w:tcPr>
          <w:p w14:paraId="705F810D" w14:textId="77777777" w:rsidR="005A40BF" w:rsidRPr="005A40BF" w:rsidRDefault="005A40BF" w:rsidP="005A40BF">
            <w:pPr>
              <w:spacing w:line="259" w:lineRule="auto"/>
              <w:jc w:val="both"/>
              <w:rPr>
                <w:rFonts w:ascii="Garamond" w:hAnsi="Garamond"/>
                <w:bCs/>
                <w:iCs/>
                <w:sz w:val="20"/>
                <w:szCs w:val="20"/>
              </w:rPr>
            </w:pPr>
          </w:p>
        </w:tc>
        <w:tc>
          <w:tcPr>
            <w:tcW w:w="876" w:type="dxa"/>
          </w:tcPr>
          <w:p w14:paraId="1AE6B15B" w14:textId="77777777" w:rsidR="005A40BF" w:rsidRPr="005A40BF" w:rsidRDefault="005A40BF" w:rsidP="005A40BF">
            <w:pPr>
              <w:spacing w:line="259" w:lineRule="auto"/>
              <w:jc w:val="both"/>
              <w:rPr>
                <w:rFonts w:ascii="Garamond" w:hAnsi="Garamond"/>
                <w:bCs/>
                <w:iCs/>
                <w:sz w:val="20"/>
                <w:szCs w:val="20"/>
              </w:rPr>
            </w:pPr>
          </w:p>
        </w:tc>
        <w:tc>
          <w:tcPr>
            <w:tcW w:w="1012" w:type="dxa"/>
          </w:tcPr>
          <w:p w14:paraId="1F2EBD9D" w14:textId="77777777" w:rsidR="005A40BF" w:rsidRPr="005A40BF" w:rsidRDefault="005A40BF" w:rsidP="005A40BF">
            <w:pPr>
              <w:spacing w:line="259" w:lineRule="auto"/>
              <w:jc w:val="both"/>
              <w:rPr>
                <w:rFonts w:ascii="Garamond" w:hAnsi="Garamond"/>
                <w:bCs/>
                <w:iCs/>
                <w:sz w:val="20"/>
                <w:szCs w:val="20"/>
              </w:rPr>
            </w:pPr>
          </w:p>
        </w:tc>
        <w:tc>
          <w:tcPr>
            <w:tcW w:w="1089" w:type="dxa"/>
          </w:tcPr>
          <w:p w14:paraId="5F2CE36F" w14:textId="77777777" w:rsidR="005A40BF" w:rsidRPr="005A40BF" w:rsidRDefault="005A40BF" w:rsidP="005A40BF">
            <w:pPr>
              <w:spacing w:line="259" w:lineRule="auto"/>
              <w:jc w:val="both"/>
              <w:rPr>
                <w:rFonts w:ascii="Garamond" w:hAnsi="Garamond"/>
                <w:bCs/>
                <w:iCs/>
                <w:sz w:val="20"/>
                <w:szCs w:val="20"/>
              </w:rPr>
            </w:pPr>
          </w:p>
        </w:tc>
      </w:tr>
      <w:tr w:rsidR="005A40BF" w:rsidRPr="005A40BF" w14:paraId="159C5B4E" w14:textId="77777777" w:rsidTr="001934C4">
        <w:tc>
          <w:tcPr>
            <w:tcW w:w="2689" w:type="dxa"/>
          </w:tcPr>
          <w:p w14:paraId="13817BD7"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 xml:space="preserve">Group 4: 100mg/kg </w:t>
            </w:r>
          </w:p>
        </w:tc>
        <w:tc>
          <w:tcPr>
            <w:tcW w:w="708" w:type="dxa"/>
          </w:tcPr>
          <w:p w14:paraId="6978B4F4"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5</w:t>
            </w:r>
          </w:p>
        </w:tc>
        <w:tc>
          <w:tcPr>
            <w:tcW w:w="2268" w:type="dxa"/>
          </w:tcPr>
          <w:p w14:paraId="56C2EA47"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51.72 ± 3.08</w:t>
            </w:r>
          </w:p>
        </w:tc>
        <w:tc>
          <w:tcPr>
            <w:tcW w:w="1843" w:type="dxa"/>
          </w:tcPr>
          <w:p w14:paraId="0EA28661"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43.162-60.285</w:t>
            </w:r>
          </w:p>
        </w:tc>
        <w:tc>
          <w:tcPr>
            <w:tcW w:w="1276" w:type="dxa"/>
          </w:tcPr>
          <w:p w14:paraId="0C09EFE3" w14:textId="77777777" w:rsidR="005A40BF" w:rsidRPr="005A40BF" w:rsidRDefault="005A40BF" w:rsidP="005A40BF">
            <w:pPr>
              <w:spacing w:line="259" w:lineRule="auto"/>
              <w:jc w:val="both"/>
              <w:rPr>
                <w:rFonts w:ascii="Garamond" w:hAnsi="Garamond"/>
                <w:bCs/>
                <w:iCs/>
                <w:sz w:val="20"/>
                <w:szCs w:val="20"/>
              </w:rPr>
            </w:pPr>
          </w:p>
        </w:tc>
        <w:tc>
          <w:tcPr>
            <w:tcW w:w="876" w:type="dxa"/>
          </w:tcPr>
          <w:p w14:paraId="7444973A" w14:textId="77777777" w:rsidR="005A40BF" w:rsidRPr="005A40BF" w:rsidRDefault="005A40BF" w:rsidP="005A40BF">
            <w:pPr>
              <w:spacing w:line="259" w:lineRule="auto"/>
              <w:jc w:val="both"/>
              <w:rPr>
                <w:rFonts w:ascii="Garamond" w:hAnsi="Garamond"/>
                <w:bCs/>
                <w:iCs/>
                <w:sz w:val="20"/>
                <w:szCs w:val="20"/>
              </w:rPr>
            </w:pPr>
          </w:p>
        </w:tc>
        <w:tc>
          <w:tcPr>
            <w:tcW w:w="1012" w:type="dxa"/>
          </w:tcPr>
          <w:p w14:paraId="066A7C04" w14:textId="77777777" w:rsidR="005A40BF" w:rsidRPr="005A40BF" w:rsidRDefault="005A40BF" w:rsidP="005A40BF">
            <w:pPr>
              <w:spacing w:line="259" w:lineRule="auto"/>
              <w:jc w:val="both"/>
              <w:rPr>
                <w:rFonts w:ascii="Garamond" w:hAnsi="Garamond"/>
                <w:bCs/>
                <w:iCs/>
                <w:sz w:val="20"/>
                <w:szCs w:val="20"/>
              </w:rPr>
            </w:pPr>
          </w:p>
        </w:tc>
        <w:tc>
          <w:tcPr>
            <w:tcW w:w="1089" w:type="dxa"/>
          </w:tcPr>
          <w:p w14:paraId="3E246751" w14:textId="77777777" w:rsidR="005A40BF" w:rsidRPr="005A40BF" w:rsidRDefault="005A40BF" w:rsidP="005A40BF">
            <w:pPr>
              <w:spacing w:line="259" w:lineRule="auto"/>
              <w:jc w:val="both"/>
              <w:rPr>
                <w:rFonts w:ascii="Garamond" w:hAnsi="Garamond"/>
                <w:bCs/>
                <w:iCs/>
                <w:sz w:val="20"/>
                <w:szCs w:val="20"/>
              </w:rPr>
            </w:pPr>
          </w:p>
        </w:tc>
      </w:tr>
      <w:tr w:rsidR="005A40BF" w:rsidRPr="005A40BF" w14:paraId="2FC86FA2" w14:textId="77777777" w:rsidTr="001934C4">
        <w:tc>
          <w:tcPr>
            <w:tcW w:w="2689" w:type="dxa"/>
          </w:tcPr>
          <w:p w14:paraId="2A6780C0"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 xml:space="preserve">Group 5: 200mg/kg </w:t>
            </w:r>
          </w:p>
        </w:tc>
        <w:tc>
          <w:tcPr>
            <w:tcW w:w="708" w:type="dxa"/>
          </w:tcPr>
          <w:p w14:paraId="5FC30F2E"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5</w:t>
            </w:r>
          </w:p>
        </w:tc>
        <w:tc>
          <w:tcPr>
            <w:tcW w:w="2268" w:type="dxa"/>
          </w:tcPr>
          <w:p w14:paraId="592A31D9" w14:textId="77777777" w:rsidR="005A40BF" w:rsidRPr="005A40BF" w:rsidRDefault="005A40BF" w:rsidP="005A40BF">
            <w:pPr>
              <w:spacing w:line="259" w:lineRule="auto"/>
              <w:jc w:val="both"/>
              <w:rPr>
                <w:rFonts w:ascii="Garamond" w:hAnsi="Garamond"/>
                <w:bCs/>
                <w:iCs/>
                <w:sz w:val="20"/>
                <w:szCs w:val="20"/>
              </w:rPr>
            </w:pPr>
            <w:bookmarkStart w:id="9" w:name="_Hlk175304426"/>
            <w:r w:rsidRPr="005A40BF">
              <w:rPr>
                <w:rFonts w:ascii="Garamond" w:hAnsi="Garamond"/>
                <w:bCs/>
                <w:iCs/>
                <w:sz w:val="20"/>
                <w:szCs w:val="20"/>
              </w:rPr>
              <w:t>63.45 ± 4.57</w:t>
            </w:r>
            <w:bookmarkEnd w:id="9"/>
          </w:p>
        </w:tc>
        <w:tc>
          <w:tcPr>
            <w:tcW w:w="1843" w:type="dxa"/>
          </w:tcPr>
          <w:p w14:paraId="42C73F61"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50.750-76.145</w:t>
            </w:r>
          </w:p>
        </w:tc>
        <w:tc>
          <w:tcPr>
            <w:tcW w:w="1276" w:type="dxa"/>
          </w:tcPr>
          <w:p w14:paraId="70D73524" w14:textId="77777777" w:rsidR="005A40BF" w:rsidRPr="005A40BF" w:rsidRDefault="005A40BF" w:rsidP="005A40BF">
            <w:pPr>
              <w:spacing w:line="259" w:lineRule="auto"/>
              <w:jc w:val="both"/>
              <w:rPr>
                <w:rFonts w:ascii="Garamond" w:hAnsi="Garamond"/>
                <w:bCs/>
                <w:iCs/>
                <w:sz w:val="20"/>
                <w:szCs w:val="20"/>
              </w:rPr>
            </w:pPr>
          </w:p>
        </w:tc>
        <w:tc>
          <w:tcPr>
            <w:tcW w:w="876" w:type="dxa"/>
          </w:tcPr>
          <w:p w14:paraId="0B1E9C2B" w14:textId="77777777" w:rsidR="005A40BF" w:rsidRPr="005A40BF" w:rsidRDefault="005A40BF" w:rsidP="005A40BF">
            <w:pPr>
              <w:spacing w:line="259" w:lineRule="auto"/>
              <w:jc w:val="both"/>
              <w:rPr>
                <w:rFonts w:ascii="Garamond" w:hAnsi="Garamond"/>
                <w:bCs/>
                <w:iCs/>
                <w:sz w:val="20"/>
                <w:szCs w:val="20"/>
              </w:rPr>
            </w:pPr>
          </w:p>
        </w:tc>
        <w:tc>
          <w:tcPr>
            <w:tcW w:w="1012" w:type="dxa"/>
          </w:tcPr>
          <w:p w14:paraId="3059DB4A" w14:textId="77777777" w:rsidR="005A40BF" w:rsidRPr="005A40BF" w:rsidRDefault="005A40BF" w:rsidP="005A40BF">
            <w:pPr>
              <w:spacing w:line="259" w:lineRule="auto"/>
              <w:jc w:val="both"/>
              <w:rPr>
                <w:rFonts w:ascii="Garamond" w:hAnsi="Garamond"/>
                <w:bCs/>
                <w:iCs/>
                <w:sz w:val="20"/>
                <w:szCs w:val="20"/>
              </w:rPr>
            </w:pPr>
          </w:p>
        </w:tc>
        <w:tc>
          <w:tcPr>
            <w:tcW w:w="1089" w:type="dxa"/>
          </w:tcPr>
          <w:p w14:paraId="023E6C2B" w14:textId="77777777" w:rsidR="005A40BF" w:rsidRPr="005A40BF" w:rsidRDefault="005A40BF" w:rsidP="005A40BF">
            <w:pPr>
              <w:spacing w:line="259" w:lineRule="auto"/>
              <w:jc w:val="both"/>
              <w:rPr>
                <w:rFonts w:ascii="Garamond" w:hAnsi="Garamond"/>
                <w:bCs/>
                <w:iCs/>
                <w:sz w:val="20"/>
                <w:szCs w:val="20"/>
              </w:rPr>
            </w:pPr>
          </w:p>
        </w:tc>
      </w:tr>
      <w:tr w:rsidR="005A40BF" w:rsidRPr="005A40BF" w14:paraId="1959BD4A" w14:textId="77777777" w:rsidTr="001934C4">
        <w:tc>
          <w:tcPr>
            <w:tcW w:w="2689" w:type="dxa"/>
            <w:tcBorders>
              <w:bottom w:val="single" w:sz="4" w:space="0" w:color="auto"/>
            </w:tcBorders>
          </w:tcPr>
          <w:p w14:paraId="376F74AB"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Group 6: PC Group</w:t>
            </w:r>
          </w:p>
        </w:tc>
        <w:tc>
          <w:tcPr>
            <w:tcW w:w="708" w:type="dxa"/>
            <w:tcBorders>
              <w:bottom w:val="single" w:sz="4" w:space="0" w:color="auto"/>
            </w:tcBorders>
          </w:tcPr>
          <w:p w14:paraId="49DB944B"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5</w:t>
            </w:r>
          </w:p>
        </w:tc>
        <w:tc>
          <w:tcPr>
            <w:tcW w:w="2268" w:type="dxa"/>
            <w:tcBorders>
              <w:bottom w:val="single" w:sz="4" w:space="0" w:color="auto"/>
            </w:tcBorders>
          </w:tcPr>
          <w:p w14:paraId="07D4E8BA"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29.27 ± 7.56</w:t>
            </w:r>
          </w:p>
        </w:tc>
        <w:tc>
          <w:tcPr>
            <w:tcW w:w="1843" w:type="dxa"/>
            <w:tcBorders>
              <w:bottom w:val="single" w:sz="4" w:space="0" w:color="auto"/>
            </w:tcBorders>
          </w:tcPr>
          <w:p w14:paraId="0DF0D521"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8.288-50.256</w:t>
            </w:r>
          </w:p>
        </w:tc>
        <w:tc>
          <w:tcPr>
            <w:tcW w:w="1276" w:type="dxa"/>
            <w:tcBorders>
              <w:bottom w:val="single" w:sz="4" w:space="0" w:color="auto"/>
            </w:tcBorders>
          </w:tcPr>
          <w:p w14:paraId="6B2D173F" w14:textId="77777777" w:rsidR="005A40BF" w:rsidRPr="005A40BF" w:rsidRDefault="005A40BF" w:rsidP="005A40BF">
            <w:pPr>
              <w:spacing w:line="259" w:lineRule="auto"/>
              <w:jc w:val="both"/>
              <w:rPr>
                <w:rFonts w:ascii="Garamond" w:hAnsi="Garamond"/>
                <w:bCs/>
                <w:iCs/>
                <w:sz w:val="20"/>
                <w:szCs w:val="20"/>
              </w:rPr>
            </w:pPr>
          </w:p>
        </w:tc>
        <w:tc>
          <w:tcPr>
            <w:tcW w:w="876" w:type="dxa"/>
            <w:tcBorders>
              <w:bottom w:val="single" w:sz="4" w:space="0" w:color="auto"/>
            </w:tcBorders>
          </w:tcPr>
          <w:p w14:paraId="3BE1B7EF" w14:textId="77777777" w:rsidR="005A40BF" w:rsidRPr="005A40BF" w:rsidRDefault="005A40BF" w:rsidP="005A40BF">
            <w:pPr>
              <w:spacing w:line="259" w:lineRule="auto"/>
              <w:jc w:val="both"/>
              <w:rPr>
                <w:rFonts w:ascii="Garamond" w:hAnsi="Garamond"/>
                <w:bCs/>
                <w:iCs/>
                <w:sz w:val="20"/>
                <w:szCs w:val="20"/>
              </w:rPr>
            </w:pPr>
          </w:p>
        </w:tc>
        <w:tc>
          <w:tcPr>
            <w:tcW w:w="1012" w:type="dxa"/>
            <w:tcBorders>
              <w:bottom w:val="single" w:sz="4" w:space="0" w:color="auto"/>
            </w:tcBorders>
          </w:tcPr>
          <w:p w14:paraId="5D5A22F7" w14:textId="77777777" w:rsidR="005A40BF" w:rsidRPr="005A40BF" w:rsidRDefault="005A40BF" w:rsidP="005A40BF">
            <w:pPr>
              <w:spacing w:line="259" w:lineRule="auto"/>
              <w:jc w:val="both"/>
              <w:rPr>
                <w:rFonts w:ascii="Garamond" w:hAnsi="Garamond"/>
                <w:bCs/>
                <w:iCs/>
                <w:sz w:val="20"/>
                <w:szCs w:val="20"/>
              </w:rPr>
            </w:pPr>
          </w:p>
        </w:tc>
        <w:tc>
          <w:tcPr>
            <w:tcW w:w="1089" w:type="dxa"/>
            <w:tcBorders>
              <w:bottom w:val="single" w:sz="4" w:space="0" w:color="auto"/>
            </w:tcBorders>
          </w:tcPr>
          <w:p w14:paraId="65FC4115" w14:textId="77777777" w:rsidR="005A40BF" w:rsidRPr="005A40BF" w:rsidRDefault="005A40BF" w:rsidP="005A40BF">
            <w:pPr>
              <w:spacing w:line="259" w:lineRule="auto"/>
              <w:jc w:val="both"/>
              <w:rPr>
                <w:rFonts w:ascii="Garamond" w:hAnsi="Garamond"/>
                <w:bCs/>
                <w:iCs/>
                <w:sz w:val="20"/>
                <w:szCs w:val="20"/>
              </w:rPr>
            </w:pPr>
          </w:p>
        </w:tc>
      </w:tr>
    </w:tbl>
    <w:p w14:paraId="22BF809F" w14:textId="77777777" w:rsidR="005A40BF" w:rsidRPr="005A40BF" w:rsidRDefault="005A40BF" w:rsidP="005A40BF">
      <w:pPr>
        <w:spacing w:line="259" w:lineRule="auto"/>
        <w:jc w:val="both"/>
        <w:rPr>
          <w:rFonts w:ascii="Garamond" w:hAnsi="Garamond"/>
          <w:bCs/>
          <w:iCs/>
          <w:sz w:val="20"/>
          <w:szCs w:val="20"/>
          <w:lang w:val="en-NG"/>
        </w:rPr>
      </w:pPr>
    </w:p>
    <w:p w14:paraId="27B62B34" w14:textId="77777777" w:rsidR="005A40BF" w:rsidRPr="005A40BF" w:rsidRDefault="005A40BF" w:rsidP="005A40BF">
      <w:pPr>
        <w:spacing w:line="259" w:lineRule="auto"/>
        <w:jc w:val="both"/>
        <w:rPr>
          <w:rFonts w:ascii="Garamond" w:hAnsi="Garamond"/>
          <w:bCs/>
          <w:iCs/>
          <w:sz w:val="20"/>
          <w:szCs w:val="20"/>
          <w:lang w:val="en-NG"/>
        </w:rPr>
      </w:pPr>
      <w:bookmarkStart w:id="10" w:name="_Hlk175512795"/>
      <w:r w:rsidRPr="005A40BF">
        <w:rPr>
          <w:rFonts w:ascii="Garamond" w:hAnsi="Garamond"/>
          <w:bCs/>
          <w:iCs/>
          <w:sz w:val="20"/>
          <w:szCs w:val="20"/>
          <w:lang w:val="en-NG"/>
        </w:rPr>
        <w:t xml:space="preserve">Keys: </w:t>
      </w:r>
      <w:bookmarkStart w:id="11" w:name="_Hlk179666547"/>
      <w:r w:rsidRPr="005A40BF">
        <w:rPr>
          <w:rFonts w:ascii="Garamond" w:hAnsi="Garamond"/>
          <w:bCs/>
          <w:iCs/>
          <w:sz w:val="20"/>
          <w:szCs w:val="20"/>
          <w:lang w:val="en-NG"/>
        </w:rPr>
        <w:t xml:space="preserve">NC = Control group without treatment, PC = Control group treated with artesunate, </w:t>
      </w:r>
      <w:bookmarkEnd w:id="11"/>
      <w:r w:rsidRPr="005A40BF">
        <w:rPr>
          <w:rFonts w:ascii="Garamond" w:hAnsi="Garamond"/>
          <w:bCs/>
          <w:iCs/>
          <w:sz w:val="20"/>
          <w:szCs w:val="20"/>
          <w:lang w:val="en-NG"/>
        </w:rPr>
        <w:t xml:space="preserve">SEM = standard error of the mean; CI = confidence interval, df = degree of freedom, *p &lt; 0.05, one-way analysis of variance followed by the Turkey Honest Significant Difference (HSD)’s post hoc test). </w:t>
      </w:r>
    </w:p>
    <w:bookmarkEnd w:id="10"/>
    <w:p w14:paraId="12A442C2" w14:textId="77777777" w:rsidR="005A40BF" w:rsidRPr="005A40BF" w:rsidRDefault="005A40BF" w:rsidP="005A40BF">
      <w:pPr>
        <w:spacing w:line="259" w:lineRule="auto"/>
        <w:jc w:val="both"/>
        <w:rPr>
          <w:rFonts w:ascii="Garamond" w:hAnsi="Garamond"/>
          <w:bCs/>
          <w:iCs/>
          <w:sz w:val="20"/>
          <w:szCs w:val="20"/>
          <w:lang w:val="en-GB"/>
        </w:rPr>
      </w:pPr>
    </w:p>
    <w:p w14:paraId="42A1D049" w14:textId="77777777" w:rsidR="005A40BF" w:rsidRPr="005A40BF" w:rsidRDefault="005A40BF" w:rsidP="005A40BF">
      <w:pPr>
        <w:spacing w:line="259" w:lineRule="auto"/>
        <w:jc w:val="both"/>
        <w:rPr>
          <w:rFonts w:ascii="Garamond" w:hAnsi="Garamond"/>
          <w:bCs/>
          <w:iCs/>
          <w:sz w:val="20"/>
          <w:szCs w:val="20"/>
          <w:lang w:val="en-GB"/>
        </w:rPr>
      </w:pPr>
      <w:r w:rsidRPr="005A40BF">
        <w:rPr>
          <w:rFonts w:ascii="Garamond" w:hAnsi="Garamond"/>
          <w:bCs/>
          <w:iCs/>
          <w:sz w:val="20"/>
          <w:szCs w:val="20"/>
          <w:lang w:val="en-GB"/>
        </w:rPr>
        <w:t xml:space="preserve">All the animals that were given 2000mg/kg doses of the plant extract were subjected to necropsy at the end of 14 days.  The figures (Figs 1 &amp; 2) below show the findings from the animals administered the 2000mg/kg dose of the extract. The results showed that the extracts had some toxic effect on the liver and kidney cells. </w:t>
      </w:r>
    </w:p>
    <w:p w14:paraId="54C0691E"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
          <w:bCs/>
          <w:iCs/>
          <w:noProof/>
          <w:sz w:val="20"/>
          <w:szCs w:val="20"/>
          <w:lang w:val="en-NG"/>
        </w:rPr>
        <w:drawing>
          <wp:inline distT="0" distB="0" distL="0" distR="0" wp14:anchorId="53F2BE77" wp14:editId="2281C2DC">
            <wp:extent cx="5705475" cy="1532713"/>
            <wp:effectExtent l="0" t="0" r="0" b="0"/>
            <wp:docPr id="128371819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87803" cy="1554830"/>
                    </a:xfrm>
                    <a:prstGeom prst="rect">
                      <a:avLst/>
                    </a:prstGeom>
                    <a:noFill/>
                    <a:ln>
                      <a:noFill/>
                    </a:ln>
                  </pic:spPr>
                </pic:pic>
              </a:graphicData>
            </a:graphic>
          </wp:inline>
        </w:drawing>
      </w:r>
    </w:p>
    <w:p w14:paraId="748D939D" w14:textId="77777777" w:rsidR="005A40BF" w:rsidRPr="005A40BF" w:rsidRDefault="005A40BF" w:rsidP="005A40BF">
      <w:pPr>
        <w:spacing w:line="259" w:lineRule="auto"/>
        <w:jc w:val="both"/>
        <w:rPr>
          <w:rFonts w:ascii="Garamond" w:hAnsi="Garamond"/>
          <w:bCs/>
          <w:iCs/>
          <w:sz w:val="20"/>
          <w:szCs w:val="20"/>
          <w:lang w:val="en-GB"/>
        </w:rPr>
      </w:pPr>
      <w:r w:rsidRPr="005A40BF">
        <w:rPr>
          <w:rFonts w:ascii="Garamond" w:hAnsi="Garamond"/>
          <w:b/>
          <w:bCs/>
          <w:iCs/>
          <w:sz w:val="20"/>
          <w:szCs w:val="20"/>
          <w:lang w:val="en-GB"/>
        </w:rPr>
        <w:t>Fig 1:</w:t>
      </w:r>
      <w:r w:rsidRPr="005A40BF">
        <w:rPr>
          <w:rFonts w:ascii="Garamond" w:hAnsi="Garamond"/>
          <w:bCs/>
          <w:iCs/>
          <w:sz w:val="20"/>
          <w:szCs w:val="20"/>
          <w:lang w:val="en-GB"/>
        </w:rPr>
        <w:tab/>
      </w:r>
      <w:r w:rsidRPr="005A40BF">
        <w:rPr>
          <w:rFonts w:ascii="Garamond" w:hAnsi="Garamond"/>
          <w:b/>
          <w:bCs/>
          <w:iCs/>
          <w:sz w:val="20"/>
          <w:szCs w:val="20"/>
          <w:lang w:val="en-GB"/>
        </w:rPr>
        <w:t xml:space="preserve">Toxicity/pathologic effects of the </w:t>
      </w:r>
      <w:r w:rsidRPr="005A40BF">
        <w:rPr>
          <w:rFonts w:ascii="Garamond" w:hAnsi="Garamond"/>
          <w:b/>
          <w:bCs/>
          <w:i/>
          <w:iCs/>
          <w:sz w:val="20"/>
          <w:szCs w:val="20"/>
          <w:lang w:val="en-GB"/>
        </w:rPr>
        <w:t>Artocarpus heterophyllus</w:t>
      </w:r>
      <w:r w:rsidRPr="005A40BF">
        <w:rPr>
          <w:rFonts w:ascii="Garamond" w:hAnsi="Garamond"/>
          <w:b/>
          <w:bCs/>
          <w:iCs/>
          <w:sz w:val="20"/>
          <w:szCs w:val="20"/>
          <w:lang w:val="en-GB"/>
        </w:rPr>
        <w:t xml:space="preserve"> stem-bark extract on the kidneys of the animals treated with 2000 mg/kg plant extract.  </w:t>
      </w:r>
      <w:r w:rsidRPr="005A40BF">
        <w:rPr>
          <w:rFonts w:ascii="Garamond" w:hAnsi="Garamond"/>
          <w:bCs/>
          <w:iCs/>
          <w:sz w:val="20"/>
          <w:szCs w:val="20"/>
          <w:lang w:val="en-GB"/>
        </w:rPr>
        <w:t>K1-K5 kidney: acute tubular injury characterised by patchy luminal dilatation, simplification of epithelial lining with areas of tubular cell sloughing. K3 also shows glomerular membrane prominence.</w:t>
      </w:r>
    </w:p>
    <w:p w14:paraId="7664E791"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noProof/>
          <w:sz w:val="20"/>
          <w:szCs w:val="20"/>
          <w:lang w:val="en-NG"/>
        </w:rPr>
        <w:drawing>
          <wp:inline distT="0" distB="0" distL="0" distR="0" wp14:anchorId="671D2D6A" wp14:editId="65641DE3">
            <wp:extent cx="5688336" cy="1403350"/>
            <wp:effectExtent l="0" t="0" r="7620" b="6350"/>
            <wp:docPr id="154838784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57431" cy="1420396"/>
                    </a:xfrm>
                    <a:prstGeom prst="rect">
                      <a:avLst/>
                    </a:prstGeom>
                    <a:noFill/>
                    <a:ln>
                      <a:noFill/>
                    </a:ln>
                  </pic:spPr>
                </pic:pic>
              </a:graphicData>
            </a:graphic>
          </wp:inline>
        </w:drawing>
      </w:r>
    </w:p>
    <w:p w14:paraId="1814977F" w14:textId="77777777" w:rsidR="005A40BF" w:rsidRPr="005A40BF" w:rsidRDefault="005A40BF" w:rsidP="005A40BF">
      <w:pPr>
        <w:spacing w:line="259" w:lineRule="auto"/>
        <w:jc w:val="both"/>
        <w:rPr>
          <w:rFonts w:ascii="Garamond" w:hAnsi="Garamond"/>
          <w:bCs/>
          <w:iCs/>
          <w:sz w:val="20"/>
          <w:szCs w:val="20"/>
          <w:lang w:val="en-GB"/>
        </w:rPr>
      </w:pPr>
      <w:r w:rsidRPr="005A40BF">
        <w:rPr>
          <w:rFonts w:ascii="Garamond" w:hAnsi="Garamond"/>
          <w:b/>
          <w:bCs/>
          <w:iCs/>
          <w:sz w:val="20"/>
          <w:szCs w:val="20"/>
          <w:lang w:val="en-GB"/>
        </w:rPr>
        <w:lastRenderedPageBreak/>
        <w:t>Fig 2</w:t>
      </w:r>
      <w:r w:rsidRPr="005A40BF">
        <w:rPr>
          <w:rFonts w:ascii="Garamond" w:hAnsi="Garamond"/>
          <w:bCs/>
          <w:iCs/>
          <w:sz w:val="20"/>
          <w:szCs w:val="20"/>
          <w:lang w:val="en-GB"/>
        </w:rPr>
        <w:t>:</w:t>
      </w:r>
      <w:r w:rsidRPr="005A40BF">
        <w:rPr>
          <w:rFonts w:ascii="Garamond" w:hAnsi="Garamond"/>
          <w:bCs/>
          <w:iCs/>
          <w:sz w:val="20"/>
          <w:szCs w:val="20"/>
          <w:lang w:val="en-GB"/>
        </w:rPr>
        <w:tab/>
      </w:r>
      <w:r w:rsidRPr="005A40BF">
        <w:rPr>
          <w:rFonts w:ascii="Garamond" w:hAnsi="Garamond"/>
          <w:b/>
          <w:bCs/>
          <w:iCs/>
          <w:sz w:val="20"/>
          <w:szCs w:val="20"/>
          <w:lang w:val="en-GB"/>
        </w:rPr>
        <w:t xml:space="preserve">Toxicity/pathologic effects of the </w:t>
      </w:r>
      <w:r w:rsidRPr="005A40BF">
        <w:rPr>
          <w:rFonts w:ascii="Garamond" w:hAnsi="Garamond"/>
          <w:b/>
          <w:bCs/>
          <w:i/>
          <w:iCs/>
          <w:sz w:val="20"/>
          <w:szCs w:val="20"/>
          <w:lang w:val="en-GB"/>
        </w:rPr>
        <w:t>Artocarpus heterophyllus</w:t>
      </w:r>
      <w:r w:rsidRPr="005A40BF">
        <w:rPr>
          <w:rFonts w:ascii="Garamond" w:hAnsi="Garamond"/>
          <w:b/>
          <w:bCs/>
          <w:iCs/>
          <w:sz w:val="20"/>
          <w:szCs w:val="20"/>
          <w:lang w:val="en-GB"/>
        </w:rPr>
        <w:t xml:space="preserve"> stem-bark extract on the livers of the animals treated with 2000 mg/kg plant extract. </w:t>
      </w:r>
      <w:r w:rsidRPr="005A40BF">
        <w:rPr>
          <w:rFonts w:ascii="Garamond" w:hAnsi="Garamond"/>
          <w:bCs/>
          <w:iCs/>
          <w:sz w:val="20"/>
          <w:szCs w:val="20"/>
          <w:lang w:val="en-GB"/>
        </w:rPr>
        <w:t xml:space="preserve">L1-l5 liver: dilated venules and sinusoids; </w:t>
      </w:r>
      <w:proofErr w:type="spellStart"/>
      <w:r w:rsidRPr="005A40BF">
        <w:rPr>
          <w:rFonts w:ascii="Garamond" w:hAnsi="Garamond"/>
          <w:bCs/>
          <w:iCs/>
          <w:sz w:val="20"/>
          <w:szCs w:val="20"/>
          <w:lang w:val="en-GB"/>
        </w:rPr>
        <w:t>microvesicular</w:t>
      </w:r>
      <w:proofErr w:type="spellEnd"/>
      <w:r w:rsidRPr="005A40BF">
        <w:rPr>
          <w:rFonts w:ascii="Garamond" w:hAnsi="Garamond"/>
          <w:bCs/>
          <w:iCs/>
          <w:sz w:val="20"/>
          <w:szCs w:val="20"/>
          <w:lang w:val="en-GB"/>
        </w:rPr>
        <w:t xml:space="preserve"> vacuolation of hepatocytes in diffuse pattern.</w:t>
      </w:r>
    </w:p>
    <w:p w14:paraId="69049350" w14:textId="77777777" w:rsidR="005A40BF" w:rsidRPr="005A40BF" w:rsidRDefault="005A40BF" w:rsidP="005A40BF">
      <w:pPr>
        <w:spacing w:line="259" w:lineRule="auto"/>
        <w:jc w:val="both"/>
        <w:rPr>
          <w:rFonts w:ascii="Garamond" w:hAnsi="Garamond"/>
          <w:bCs/>
          <w:iCs/>
          <w:sz w:val="20"/>
          <w:szCs w:val="20"/>
        </w:rPr>
      </w:pPr>
    </w:p>
    <w:p w14:paraId="6F945C65" w14:textId="77777777" w:rsidR="005A40BF" w:rsidRPr="005A40BF" w:rsidRDefault="005A40BF" w:rsidP="005A40BF">
      <w:pPr>
        <w:spacing w:line="259" w:lineRule="auto"/>
        <w:jc w:val="both"/>
        <w:rPr>
          <w:rFonts w:ascii="Garamond" w:hAnsi="Garamond"/>
          <w:bCs/>
          <w:iCs/>
          <w:sz w:val="20"/>
          <w:szCs w:val="20"/>
          <w:lang w:val="en-NG"/>
        </w:rPr>
      </w:pPr>
      <w:r w:rsidRPr="005A40BF">
        <w:rPr>
          <w:rFonts w:ascii="Garamond" w:hAnsi="Garamond"/>
          <w:bCs/>
          <w:iCs/>
          <w:sz w:val="20"/>
          <w:szCs w:val="20"/>
        </w:rPr>
        <w:t xml:space="preserve">Table 2 shows the results of the effect of administration of </w:t>
      </w:r>
      <w:r w:rsidRPr="005A40BF">
        <w:rPr>
          <w:rFonts w:ascii="Garamond" w:hAnsi="Garamond"/>
          <w:bCs/>
          <w:i/>
          <w:iCs/>
          <w:sz w:val="20"/>
          <w:szCs w:val="20"/>
        </w:rPr>
        <w:t>A. heterophyllus</w:t>
      </w:r>
      <w:r w:rsidRPr="005A40BF">
        <w:rPr>
          <w:rFonts w:ascii="Garamond" w:hAnsi="Garamond"/>
          <w:bCs/>
          <w:iCs/>
          <w:sz w:val="20"/>
          <w:szCs w:val="20"/>
        </w:rPr>
        <w:t xml:space="preserve"> extract on the observed temperature in experimental animals.</w:t>
      </w:r>
      <w:bookmarkEnd w:id="8"/>
      <w:r w:rsidRPr="005A40BF">
        <w:rPr>
          <w:rFonts w:ascii="Garamond" w:hAnsi="Garamond"/>
          <w:bCs/>
          <w:iCs/>
          <w:sz w:val="20"/>
          <w:szCs w:val="20"/>
        </w:rPr>
        <w:t xml:space="preserve"> </w:t>
      </w:r>
      <w:r w:rsidRPr="005A40BF">
        <w:rPr>
          <w:rFonts w:ascii="Garamond" w:hAnsi="Garamond"/>
          <w:bCs/>
          <w:iCs/>
          <w:sz w:val="20"/>
          <w:szCs w:val="20"/>
          <w:lang w:val="en-NG"/>
        </w:rPr>
        <w:t>There was no statistically significant difference in mean body temperature between NC group and 25 mg/kg group (p=0.88), 50 mg/kg group (p=0.22), 200 mg/kg (p=0.17) or between NC group and PC group (p=0.74). These findings indicate that animals that were infected but later treated with the doses of the plant extract were more likely to have normal body temperature</w:t>
      </w:r>
    </w:p>
    <w:p w14:paraId="29A983F5" w14:textId="77777777" w:rsidR="005A40BF" w:rsidRPr="005A40BF" w:rsidRDefault="005A40BF" w:rsidP="005A40BF">
      <w:pPr>
        <w:spacing w:line="259" w:lineRule="auto"/>
        <w:jc w:val="both"/>
        <w:rPr>
          <w:rFonts w:ascii="Garamond" w:hAnsi="Garamond"/>
          <w:b/>
          <w:bCs/>
          <w:iCs/>
          <w:sz w:val="20"/>
          <w:szCs w:val="20"/>
          <w:lang w:val="en-NG"/>
        </w:rPr>
      </w:pPr>
    </w:p>
    <w:p w14:paraId="6C2A4B82" w14:textId="5262CC72" w:rsidR="005A40BF" w:rsidRPr="005A40BF" w:rsidRDefault="005A40BF" w:rsidP="005A40BF">
      <w:pPr>
        <w:spacing w:line="259" w:lineRule="auto"/>
        <w:jc w:val="both"/>
        <w:rPr>
          <w:rFonts w:ascii="Garamond" w:hAnsi="Garamond"/>
          <w:iCs/>
          <w:sz w:val="20"/>
          <w:szCs w:val="20"/>
          <w:lang w:val="en-NG"/>
        </w:rPr>
      </w:pPr>
      <w:r w:rsidRPr="005A40BF">
        <w:rPr>
          <w:rFonts w:ascii="Garamond" w:hAnsi="Garamond"/>
          <w:b/>
          <w:bCs/>
          <w:iCs/>
          <w:sz w:val="20"/>
          <w:szCs w:val="20"/>
          <w:lang w:val="en-NG"/>
        </w:rPr>
        <w:t>Table 2</w:t>
      </w:r>
      <w:r>
        <w:rPr>
          <w:rFonts w:ascii="Garamond" w:hAnsi="Garamond"/>
          <w:b/>
          <w:bCs/>
          <w:iCs/>
          <w:sz w:val="20"/>
          <w:szCs w:val="20"/>
          <w:lang w:val="en-NG"/>
        </w:rPr>
        <w:t xml:space="preserve">: </w:t>
      </w:r>
      <w:r w:rsidRPr="005A40BF">
        <w:rPr>
          <w:rFonts w:ascii="Garamond" w:hAnsi="Garamond"/>
          <w:iCs/>
          <w:sz w:val="20"/>
          <w:szCs w:val="20"/>
          <w:lang w:val="en-NG"/>
        </w:rPr>
        <w:t xml:space="preserve">Antimalarial activities of different doses of the methanol extract of </w:t>
      </w:r>
      <w:r w:rsidRPr="005A40BF">
        <w:rPr>
          <w:rFonts w:ascii="Garamond" w:hAnsi="Garamond"/>
          <w:i/>
          <w:iCs/>
          <w:sz w:val="20"/>
          <w:szCs w:val="20"/>
          <w:lang w:val="en-NG"/>
        </w:rPr>
        <w:t xml:space="preserve">Artocarpus heterophyllus depicted </w:t>
      </w:r>
      <w:r w:rsidRPr="005A40BF">
        <w:rPr>
          <w:rFonts w:ascii="Garamond" w:hAnsi="Garamond"/>
          <w:iCs/>
          <w:sz w:val="20"/>
          <w:szCs w:val="20"/>
          <w:lang w:val="en-NG"/>
        </w:rPr>
        <w:t>by average body temperature of each animal group.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9"/>
        <w:gridCol w:w="636"/>
        <w:gridCol w:w="1563"/>
        <w:gridCol w:w="1374"/>
        <w:gridCol w:w="1331"/>
        <w:gridCol w:w="754"/>
        <w:gridCol w:w="872"/>
        <w:gridCol w:w="941"/>
      </w:tblGrid>
      <w:tr w:rsidR="005A40BF" w:rsidRPr="005A40BF" w14:paraId="1D6A266E" w14:textId="77777777" w:rsidTr="001934C4">
        <w:tc>
          <w:tcPr>
            <w:tcW w:w="2547" w:type="dxa"/>
            <w:tcBorders>
              <w:top w:val="single" w:sz="4" w:space="0" w:color="auto"/>
              <w:bottom w:val="single" w:sz="4" w:space="0" w:color="auto"/>
            </w:tcBorders>
          </w:tcPr>
          <w:p w14:paraId="2D9F9A5C"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Groups</w:t>
            </w:r>
          </w:p>
        </w:tc>
        <w:tc>
          <w:tcPr>
            <w:tcW w:w="850" w:type="dxa"/>
            <w:tcBorders>
              <w:top w:val="single" w:sz="4" w:space="0" w:color="auto"/>
              <w:bottom w:val="single" w:sz="4" w:space="0" w:color="auto"/>
            </w:tcBorders>
          </w:tcPr>
          <w:p w14:paraId="5EF1970F"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N</w:t>
            </w:r>
          </w:p>
        </w:tc>
        <w:tc>
          <w:tcPr>
            <w:tcW w:w="1843" w:type="dxa"/>
            <w:tcBorders>
              <w:top w:val="single" w:sz="4" w:space="0" w:color="auto"/>
              <w:bottom w:val="single" w:sz="4" w:space="0" w:color="auto"/>
            </w:tcBorders>
          </w:tcPr>
          <w:p w14:paraId="753CF9E8"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Temperature (°C) Mean ± SEM</w:t>
            </w:r>
          </w:p>
        </w:tc>
        <w:tc>
          <w:tcPr>
            <w:tcW w:w="1843" w:type="dxa"/>
            <w:tcBorders>
              <w:top w:val="single" w:sz="4" w:space="0" w:color="auto"/>
              <w:bottom w:val="single" w:sz="4" w:space="0" w:color="auto"/>
            </w:tcBorders>
          </w:tcPr>
          <w:p w14:paraId="3F4C22DB"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95% CI</w:t>
            </w:r>
          </w:p>
        </w:tc>
        <w:tc>
          <w:tcPr>
            <w:tcW w:w="1701" w:type="dxa"/>
            <w:tcBorders>
              <w:top w:val="single" w:sz="4" w:space="0" w:color="auto"/>
              <w:bottom w:val="single" w:sz="4" w:space="0" w:color="auto"/>
            </w:tcBorders>
          </w:tcPr>
          <w:p w14:paraId="66E202D9" w14:textId="77777777" w:rsidR="005A40BF" w:rsidRPr="005A40BF" w:rsidRDefault="005A40BF" w:rsidP="005A40BF">
            <w:pPr>
              <w:spacing w:line="259" w:lineRule="auto"/>
              <w:jc w:val="both"/>
              <w:rPr>
                <w:rFonts w:ascii="Garamond" w:hAnsi="Garamond"/>
                <w:bCs/>
                <w:iCs/>
                <w:sz w:val="20"/>
                <w:szCs w:val="20"/>
              </w:rPr>
            </w:pPr>
            <w:proofErr w:type="spellStart"/>
            <w:r w:rsidRPr="005A40BF">
              <w:rPr>
                <w:rFonts w:ascii="Garamond" w:hAnsi="Garamond"/>
                <w:bCs/>
                <w:iCs/>
                <w:sz w:val="20"/>
                <w:szCs w:val="20"/>
              </w:rPr>
              <w:t>df</w:t>
            </w:r>
            <w:proofErr w:type="spellEnd"/>
            <w:r w:rsidRPr="005A40BF">
              <w:rPr>
                <w:rFonts w:ascii="Garamond" w:hAnsi="Garamond"/>
                <w:bCs/>
                <w:iCs/>
                <w:sz w:val="20"/>
                <w:szCs w:val="20"/>
              </w:rPr>
              <w:t xml:space="preserve"> (btw &amp; within Groups)</w:t>
            </w:r>
          </w:p>
        </w:tc>
        <w:tc>
          <w:tcPr>
            <w:tcW w:w="850" w:type="dxa"/>
            <w:tcBorders>
              <w:top w:val="single" w:sz="4" w:space="0" w:color="auto"/>
              <w:bottom w:val="single" w:sz="4" w:space="0" w:color="auto"/>
            </w:tcBorders>
          </w:tcPr>
          <w:p w14:paraId="07943021"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F</w:t>
            </w:r>
          </w:p>
        </w:tc>
        <w:tc>
          <w:tcPr>
            <w:tcW w:w="993" w:type="dxa"/>
            <w:tcBorders>
              <w:top w:val="single" w:sz="4" w:space="0" w:color="auto"/>
              <w:bottom w:val="single" w:sz="4" w:space="0" w:color="auto"/>
            </w:tcBorders>
          </w:tcPr>
          <w:p w14:paraId="5B0707AD"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P-value</w:t>
            </w:r>
          </w:p>
        </w:tc>
        <w:tc>
          <w:tcPr>
            <w:tcW w:w="1134" w:type="dxa"/>
            <w:tcBorders>
              <w:top w:val="single" w:sz="4" w:space="0" w:color="auto"/>
              <w:bottom w:val="single" w:sz="4" w:space="0" w:color="auto"/>
            </w:tcBorders>
          </w:tcPr>
          <w:p w14:paraId="37BE5FB3"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Effect size (</w:t>
            </w:r>
            <w:r w:rsidRPr="005A40BF">
              <w:rPr>
                <w:rFonts w:ascii="Cambria" w:hAnsi="Cambria" w:cs="Cambria"/>
                <w:bCs/>
                <w:iCs/>
                <w:sz w:val="20"/>
                <w:szCs w:val="20"/>
              </w:rPr>
              <w:t>ƞ</w:t>
            </w:r>
            <w:r w:rsidRPr="005A40BF">
              <w:rPr>
                <w:rFonts w:ascii="Garamond" w:hAnsi="Garamond"/>
                <w:bCs/>
                <w:iCs/>
                <w:sz w:val="20"/>
                <w:szCs w:val="20"/>
                <w:vertAlign w:val="superscript"/>
              </w:rPr>
              <w:t xml:space="preserve">2 </w:t>
            </w:r>
            <w:r w:rsidRPr="005A40BF">
              <w:rPr>
                <w:rFonts w:ascii="Garamond" w:hAnsi="Garamond"/>
                <w:bCs/>
                <w:iCs/>
                <w:sz w:val="20"/>
                <w:szCs w:val="20"/>
                <w:vertAlign w:val="subscript"/>
              </w:rPr>
              <w:t>P</w:t>
            </w:r>
            <w:r w:rsidRPr="005A40BF">
              <w:rPr>
                <w:rFonts w:ascii="Garamond" w:hAnsi="Garamond"/>
                <w:bCs/>
                <w:iCs/>
                <w:sz w:val="20"/>
                <w:szCs w:val="20"/>
              </w:rPr>
              <w:t>)</w:t>
            </w:r>
          </w:p>
        </w:tc>
      </w:tr>
      <w:tr w:rsidR="005A40BF" w:rsidRPr="005A40BF" w14:paraId="543EE02C" w14:textId="77777777" w:rsidTr="001934C4">
        <w:tc>
          <w:tcPr>
            <w:tcW w:w="2547" w:type="dxa"/>
            <w:tcBorders>
              <w:top w:val="single" w:sz="4" w:space="0" w:color="auto"/>
            </w:tcBorders>
          </w:tcPr>
          <w:p w14:paraId="0C50F99E"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Group 1: NC</w:t>
            </w:r>
          </w:p>
        </w:tc>
        <w:tc>
          <w:tcPr>
            <w:tcW w:w="850" w:type="dxa"/>
            <w:tcBorders>
              <w:top w:val="single" w:sz="4" w:space="0" w:color="auto"/>
            </w:tcBorders>
          </w:tcPr>
          <w:p w14:paraId="1984E9F5"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5</w:t>
            </w:r>
          </w:p>
        </w:tc>
        <w:tc>
          <w:tcPr>
            <w:tcW w:w="1843" w:type="dxa"/>
            <w:tcBorders>
              <w:top w:val="single" w:sz="4" w:space="0" w:color="auto"/>
            </w:tcBorders>
          </w:tcPr>
          <w:p w14:paraId="1B102164"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37.36 ± 0.05</w:t>
            </w:r>
          </w:p>
        </w:tc>
        <w:tc>
          <w:tcPr>
            <w:tcW w:w="1843" w:type="dxa"/>
            <w:tcBorders>
              <w:top w:val="single" w:sz="4" w:space="0" w:color="auto"/>
            </w:tcBorders>
          </w:tcPr>
          <w:p w14:paraId="54DDB472"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37.218-37.502</w:t>
            </w:r>
          </w:p>
        </w:tc>
        <w:tc>
          <w:tcPr>
            <w:tcW w:w="1701" w:type="dxa"/>
            <w:tcBorders>
              <w:top w:val="single" w:sz="4" w:space="0" w:color="auto"/>
            </w:tcBorders>
          </w:tcPr>
          <w:p w14:paraId="58605F51"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5, 24</w:t>
            </w:r>
          </w:p>
        </w:tc>
        <w:tc>
          <w:tcPr>
            <w:tcW w:w="850" w:type="dxa"/>
            <w:tcBorders>
              <w:top w:val="single" w:sz="4" w:space="0" w:color="auto"/>
            </w:tcBorders>
          </w:tcPr>
          <w:p w14:paraId="04358178"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2.947</w:t>
            </w:r>
          </w:p>
        </w:tc>
        <w:tc>
          <w:tcPr>
            <w:tcW w:w="993" w:type="dxa"/>
            <w:tcBorders>
              <w:top w:val="single" w:sz="4" w:space="0" w:color="auto"/>
            </w:tcBorders>
          </w:tcPr>
          <w:p w14:paraId="13B4804F"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0.033*</w:t>
            </w:r>
          </w:p>
        </w:tc>
        <w:tc>
          <w:tcPr>
            <w:tcW w:w="1134" w:type="dxa"/>
            <w:tcBorders>
              <w:top w:val="single" w:sz="4" w:space="0" w:color="auto"/>
            </w:tcBorders>
          </w:tcPr>
          <w:p w14:paraId="0EAB1485"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0.38</w:t>
            </w:r>
          </w:p>
        </w:tc>
      </w:tr>
      <w:tr w:rsidR="005A40BF" w:rsidRPr="005A40BF" w14:paraId="16257959" w14:textId="77777777" w:rsidTr="001934C4">
        <w:tc>
          <w:tcPr>
            <w:tcW w:w="2547" w:type="dxa"/>
          </w:tcPr>
          <w:p w14:paraId="0B2AD81F"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 xml:space="preserve">Group 2:25mg/kg </w:t>
            </w:r>
          </w:p>
        </w:tc>
        <w:tc>
          <w:tcPr>
            <w:tcW w:w="850" w:type="dxa"/>
          </w:tcPr>
          <w:p w14:paraId="05B1D277"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5</w:t>
            </w:r>
          </w:p>
        </w:tc>
        <w:tc>
          <w:tcPr>
            <w:tcW w:w="1843" w:type="dxa"/>
          </w:tcPr>
          <w:p w14:paraId="11E3D15C"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37.20 ± 0.15</w:t>
            </w:r>
          </w:p>
        </w:tc>
        <w:tc>
          <w:tcPr>
            <w:tcW w:w="1843" w:type="dxa"/>
          </w:tcPr>
          <w:p w14:paraId="6BE37DC0"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36.779-37.621</w:t>
            </w:r>
          </w:p>
        </w:tc>
        <w:tc>
          <w:tcPr>
            <w:tcW w:w="1701" w:type="dxa"/>
          </w:tcPr>
          <w:p w14:paraId="115C2BF5" w14:textId="77777777" w:rsidR="005A40BF" w:rsidRPr="005A40BF" w:rsidRDefault="005A40BF" w:rsidP="005A40BF">
            <w:pPr>
              <w:spacing w:line="259" w:lineRule="auto"/>
              <w:jc w:val="both"/>
              <w:rPr>
                <w:rFonts w:ascii="Garamond" w:hAnsi="Garamond"/>
                <w:bCs/>
                <w:iCs/>
                <w:sz w:val="20"/>
                <w:szCs w:val="20"/>
              </w:rPr>
            </w:pPr>
          </w:p>
        </w:tc>
        <w:tc>
          <w:tcPr>
            <w:tcW w:w="850" w:type="dxa"/>
          </w:tcPr>
          <w:p w14:paraId="180F1D90" w14:textId="77777777" w:rsidR="005A40BF" w:rsidRPr="005A40BF" w:rsidRDefault="005A40BF" w:rsidP="005A40BF">
            <w:pPr>
              <w:spacing w:line="259" w:lineRule="auto"/>
              <w:jc w:val="both"/>
              <w:rPr>
                <w:rFonts w:ascii="Garamond" w:hAnsi="Garamond"/>
                <w:bCs/>
                <w:iCs/>
                <w:sz w:val="20"/>
                <w:szCs w:val="20"/>
              </w:rPr>
            </w:pPr>
          </w:p>
        </w:tc>
        <w:tc>
          <w:tcPr>
            <w:tcW w:w="993" w:type="dxa"/>
          </w:tcPr>
          <w:p w14:paraId="16EDE2B3" w14:textId="77777777" w:rsidR="005A40BF" w:rsidRPr="005A40BF" w:rsidRDefault="005A40BF" w:rsidP="005A40BF">
            <w:pPr>
              <w:spacing w:line="259" w:lineRule="auto"/>
              <w:jc w:val="both"/>
              <w:rPr>
                <w:rFonts w:ascii="Garamond" w:hAnsi="Garamond"/>
                <w:bCs/>
                <w:iCs/>
                <w:sz w:val="20"/>
                <w:szCs w:val="20"/>
              </w:rPr>
            </w:pPr>
          </w:p>
        </w:tc>
        <w:tc>
          <w:tcPr>
            <w:tcW w:w="1134" w:type="dxa"/>
          </w:tcPr>
          <w:p w14:paraId="3F1EA825" w14:textId="77777777" w:rsidR="005A40BF" w:rsidRPr="005A40BF" w:rsidRDefault="005A40BF" w:rsidP="005A40BF">
            <w:pPr>
              <w:spacing w:line="259" w:lineRule="auto"/>
              <w:jc w:val="both"/>
              <w:rPr>
                <w:rFonts w:ascii="Garamond" w:hAnsi="Garamond"/>
                <w:bCs/>
                <w:iCs/>
                <w:sz w:val="20"/>
                <w:szCs w:val="20"/>
              </w:rPr>
            </w:pPr>
          </w:p>
        </w:tc>
      </w:tr>
      <w:tr w:rsidR="005A40BF" w:rsidRPr="005A40BF" w14:paraId="662DC377" w14:textId="77777777" w:rsidTr="001934C4">
        <w:tc>
          <w:tcPr>
            <w:tcW w:w="2547" w:type="dxa"/>
          </w:tcPr>
          <w:p w14:paraId="36AD0002"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 xml:space="preserve">Group 3: 50mg/kg </w:t>
            </w:r>
          </w:p>
        </w:tc>
        <w:tc>
          <w:tcPr>
            <w:tcW w:w="850" w:type="dxa"/>
          </w:tcPr>
          <w:p w14:paraId="25E61ACE"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5</w:t>
            </w:r>
          </w:p>
        </w:tc>
        <w:tc>
          <w:tcPr>
            <w:tcW w:w="1843" w:type="dxa"/>
          </w:tcPr>
          <w:p w14:paraId="079F0EA8"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37.02 ± 0.11</w:t>
            </w:r>
          </w:p>
        </w:tc>
        <w:tc>
          <w:tcPr>
            <w:tcW w:w="1843" w:type="dxa"/>
          </w:tcPr>
          <w:p w14:paraId="7C01F0E2"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36.711-37.329</w:t>
            </w:r>
          </w:p>
        </w:tc>
        <w:tc>
          <w:tcPr>
            <w:tcW w:w="1701" w:type="dxa"/>
          </w:tcPr>
          <w:p w14:paraId="71831498" w14:textId="77777777" w:rsidR="005A40BF" w:rsidRPr="005A40BF" w:rsidRDefault="005A40BF" w:rsidP="005A40BF">
            <w:pPr>
              <w:spacing w:line="259" w:lineRule="auto"/>
              <w:jc w:val="both"/>
              <w:rPr>
                <w:rFonts w:ascii="Garamond" w:hAnsi="Garamond"/>
                <w:bCs/>
                <w:iCs/>
                <w:sz w:val="20"/>
                <w:szCs w:val="20"/>
              </w:rPr>
            </w:pPr>
          </w:p>
        </w:tc>
        <w:tc>
          <w:tcPr>
            <w:tcW w:w="850" w:type="dxa"/>
          </w:tcPr>
          <w:p w14:paraId="4CBA0D38" w14:textId="77777777" w:rsidR="005A40BF" w:rsidRPr="005A40BF" w:rsidRDefault="005A40BF" w:rsidP="005A40BF">
            <w:pPr>
              <w:spacing w:line="259" w:lineRule="auto"/>
              <w:jc w:val="both"/>
              <w:rPr>
                <w:rFonts w:ascii="Garamond" w:hAnsi="Garamond"/>
                <w:bCs/>
                <w:iCs/>
                <w:sz w:val="20"/>
                <w:szCs w:val="20"/>
              </w:rPr>
            </w:pPr>
          </w:p>
        </w:tc>
        <w:tc>
          <w:tcPr>
            <w:tcW w:w="993" w:type="dxa"/>
          </w:tcPr>
          <w:p w14:paraId="1899FCE1" w14:textId="77777777" w:rsidR="005A40BF" w:rsidRPr="005A40BF" w:rsidRDefault="005A40BF" w:rsidP="005A40BF">
            <w:pPr>
              <w:spacing w:line="259" w:lineRule="auto"/>
              <w:jc w:val="both"/>
              <w:rPr>
                <w:rFonts w:ascii="Garamond" w:hAnsi="Garamond"/>
                <w:bCs/>
                <w:iCs/>
                <w:sz w:val="20"/>
                <w:szCs w:val="20"/>
              </w:rPr>
            </w:pPr>
          </w:p>
        </w:tc>
        <w:tc>
          <w:tcPr>
            <w:tcW w:w="1134" w:type="dxa"/>
          </w:tcPr>
          <w:p w14:paraId="66870DEA" w14:textId="77777777" w:rsidR="005A40BF" w:rsidRPr="005A40BF" w:rsidRDefault="005A40BF" w:rsidP="005A40BF">
            <w:pPr>
              <w:spacing w:line="259" w:lineRule="auto"/>
              <w:jc w:val="both"/>
              <w:rPr>
                <w:rFonts w:ascii="Garamond" w:hAnsi="Garamond"/>
                <w:bCs/>
                <w:iCs/>
                <w:sz w:val="20"/>
                <w:szCs w:val="20"/>
              </w:rPr>
            </w:pPr>
          </w:p>
        </w:tc>
      </w:tr>
      <w:tr w:rsidR="005A40BF" w:rsidRPr="005A40BF" w14:paraId="06163E43" w14:textId="77777777" w:rsidTr="001934C4">
        <w:tc>
          <w:tcPr>
            <w:tcW w:w="2547" w:type="dxa"/>
          </w:tcPr>
          <w:p w14:paraId="04B096EF"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Group 4: 100mg/kg</w:t>
            </w:r>
          </w:p>
        </w:tc>
        <w:tc>
          <w:tcPr>
            <w:tcW w:w="850" w:type="dxa"/>
          </w:tcPr>
          <w:p w14:paraId="059AF51E"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5</w:t>
            </w:r>
          </w:p>
        </w:tc>
        <w:tc>
          <w:tcPr>
            <w:tcW w:w="1843" w:type="dxa"/>
          </w:tcPr>
          <w:p w14:paraId="24BA2C68"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36.86 ± 0.13</w:t>
            </w:r>
          </w:p>
        </w:tc>
        <w:tc>
          <w:tcPr>
            <w:tcW w:w="1843" w:type="dxa"/>
          </w:tcPr>
          <w:p w14:paraId="15466794"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36.502-37.218</w:t>
            </w:r>
          </w:p>
        </w:tc>
        <w:tc>
          <w:tcPr>
            <w:tcW w:w="1701" w:type="dxa"/>
          </w:tcPr>
          <w:p w14:paraId="49004B6B" w14:textId="77777777" w:rsidR="005A40BF" w:rsidRPr="005A40BF" w:rsidRDefault="005A40BF" w:rsidP="005A40BF">
            <w:pPr>
              <w:spacing w:line="259" w:lineRule="auto"/>
              <w:jc w:val="both"/>
              <w:rPr>
                <w:rFonts w:ascii="Garamond" w:hAnsi="Garamond"/>
                <w:bCs/>
                <w:iCs/>
                <w:sz w:val="20"/>
                <w:szCs w:val="20"/>
              </w:rPr>
            </w:pPr>
          </w:p>
        </w:tc>
        <w:tc>
          <w:tcPr>
            <w:tcW w:w="850" w:type="dxa"/>
          </w:tcPr>
          <w:p w14:paraId="2B5A199F" w14:textId="77777777" w:rsidR="005A40BF" w:rsidRPr="005A40BF" w:rsidRDefault="005A40BF" w:rsidP="005A40BF">
            <w:pPr>
              <w:spacing w:line="259" w:lineRule="auto"/>
              <w:jc w:val="both"/>
              <w:rPr>
                <w:rFonts w:ascii="Garamond" w:hAnsi="Garamond"/>
                <w:bCs/>
                <w:iCs/>
                <w:sz w:val="20"/>
                <w:szCs w:val="20"/>
              </w:rPr>
            </w:pPr>
          </w:p>
        </w:tc>
        <w:tc>
          <w:tcPr>
            <w:tcW w:w="993" w:type="dxa"/>
          </w:tcPr>
          <w:p w14:paraId="3A95A2C2" w14:textId="77777777" w:rsidR="005A40BF" w:rsidRPr="005A40BF" w:rsidRDefault="005A40BF" w:rsidP="005A40BF">
            <w:pPr>
              <w:spacing w:line="259" w:lineRule="auto"/>
              <w:jc w:val="both"/>
              <w:rPr>
                <w:rFonts w:ascii="Garamond" w:hAnsi="Garamond"/>
                <w:bCs/>
                <w:iCs/>
                <w:sz w:val="20"/>
                <w:szCs w:val="20"/>
              </w:rPr>
            </w:pPr>
          </w:p>
        </w:tc>
        <w:tc>
          <w:tcPr>
            <w:tcW w:w="1134" w:type="dxa"/>
          </w:tcPr>
          <w:p w14:paraId="1991B695" w14:textId="77777777" w:rsidR="005A40BF" w:rsidRPr="005A40BF" w:rsidRDefault="005A40BF" w:rsidP="005A40BF">
            <w:pPr>
              <w:spacing w:line="259" w:lineRule="auto"/>
              <w:jc w:val="both"/>
              <w:rPr>
                <w:rFonts w:ascii="Garamond" w:hAnsi="Garamond"/>
                <w:bCs/>
                <w:iCs/>
                <w:sz w:val="20"/>
                <w:szCs w:val="20"/>
              </w:rPr>
            </w:pPr>
          </w:p>
        </w:tc>
      </w:tr>
      <w:tr w:rsidR="005A40BF" w:rsidRPr="005A40BF" w14:paraId="37A861A4" w14:textId="77777777" w:rsidTr="001934C4">
        <w:tc>
          <w:tcPr>
            <w:tcW w:w="2547" w:type="dxa"/>
          </w:tcPr>
          <w:p w14:paraId="1E5F326F"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 xml:space="preserve">Group 5: 200mg/kg </w:t>
            </w:r>
          </w:p>
        </w:tc>
        <w:tc>
          <w:tcPr>
            <w:tcW w:w="850" w:type="dxa"/>
          </w:tcPr>
          <w:p w14:paraId="451E989A"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5</w:t>
            </w:r>
          </w:p>
        </w:tc>
        <w:tc>
          <w:tcPr>
            <w:tcW w:w="1843" w:type="dxa"/>
          </w:tcPr>
          <w:p w14:paraId="41D12256"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37.00 ± 0.06</w:t>
            </w:r>
          </w:p>
        </w:tc>
        <w:tc>
          <w:tcPr>
            <w:tcW w:w="1843" w:type="dxa"/>
          </w:tcPr>
          <w:p w14:paraId="0F1F27A5"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36.824-37.176</w:t>
            </w:r>
          </w:p>
        </w:tc>
        <w:tc>
          <w:tcPr>
            <w:tcW w:w="1701" w:type="dxa"/>
          </w:tcPr>
          <w:p w14:paraId="394095B8" w14:textId="77777777" w:rsidR="005A40BF" w:rsidRPr="005A40BF" w:rsidRDefault="005A40BF" w:rsidP="005A40BF">
            <w:pPr>
              <w:spacing w:line="259" w:lineRule="auto"/>
              <w:jc w:val="both"/>
              <w:rPr>
                <w:rFonts w:ascii="Garamond" w:hAnsi="Garamond"/>
                <w:bCs/>
                <w:iCs/>
                <w:sz w:val="20"/>
                <w:szCs w:val="20"/>
              </w:rPr>
            </w:pPr>
          </w:p>
        </w:tc>
        <w:tc>
          <w:tcPr>
            <w:tcW w:w="850" w:type="dxa"/>
          </w:tcPr>
          <w:p w14:paraId="7DBC9732" w14:textId="77777777" w:rsidR="005A40BF" w:rsidRPr="005A40BF" w:rsidRDefault="005A40BF" w:rsidP="005A40BF">
            <w:pPr>
              <w:spacing w:line="259" w:lineRule="auto"/>
              <w:jc w:val="both"/>
              <w:rPr>
                <w:rFonts w:ascii="Garamond" w:hAnsi="Garamond"/>
                <w:bCs/>
                <w:iCs/>
                <w:sz w:val="20"/>
                <w:szCs w:val="20"/>
              </w:rPr>
            </w:pPr>
          </w:p>
        </w:tc>
        <w:tc>
          <w:tcPr>
            <w:tcW w:w="993" w:type="dxa"/>
          </w:tcPr>
          <w:p w14:paraId="470153D2" w14:textId="77777777" w:rsidR="005A40BF" w:rsidRPr="005A40BF" w:rsidRDefault="005A40BF" w:rsidP="005A40BF">
            <w:pPr>
              <w:spacing w:line="259" w:lineRule="auto"/>
              <w:jc w:val="both"/>
              <w:rPr>
                <w:rFonts w:ascii="Garamond" w:hAnsi="Garamond"/>
                <w:bCs/>
                <w:iCs/>
                <w:sz w:val="20"/>
                <w:szCs w:val="20"/>
              </w:rPr>
            </w:pPr>
          </w:p>
        </w:tc>
        <w:tc>
          <w:tcPr>
            <w:tcW w:w="1134" w:type="dxa"/>
          </w:tcPr>
          <w:p w14:paraId="18F98678" w14:textId="77777777" w:rsidR="005A40BF" w:rsidRPr="005A40BF" w:rsidRDefault="005A40BF" w:rsidP="005A40BF">
            <w:pPr>
              <w:spacing w:line="259" w:lineRule="auto"/>
              <w:jc w:val="both"/>
              <w:rPr>
                <w:rFonts w:ascii="Garamond" w:hAnsi="Garamond"/>
                <w:bCs/>
                <w:iCs/>
                <w:sz w:val="20"/>
                <w:szCs w:val="20"/>
              </w:rPr>
            </w:pPr>
          </w:p>
        </w:tc>
      </w:tr>
      <w:tr w:rsidR="005A40BF" w:rsidRPr="005A40BF" w14:paraId="2D3F0F56" w14:textId="77777777" w:rsidTr="001934C4">
        <w:tc>
          <w:tcPr>
            <w:tcW w:w="2547" w:type="dxa"/>
            <w:tcBorders>
              <w:bottom w:val="single" w:sz="4" w:space="0" w:color="auto"/>
            </w:tcBorders>
          </w:tcPr>
          <w:p w14:paraId="51B6A552"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Group 6: PC</w:t>
            </w:r>
          </w:p>
        </w:tc>
        <w:tc>
          <w:tcPr>
            <w:tcW w:w="850" w:type="dxa"/>
            <w:tcBorders>
              <w:bottom w:val="single" w:sz="4" w:space="0" w:color="auto"/>
            </w:tcBorders>
          </w:tcPr>
          <w:p w14:paraId="66F12556"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5</w:t>
            </w:r>
          </w:p>
        </w:tc>
        <w:tc>
          <w:tcPr>
            <w:tcW w:w="1843" w:type="dxa"/>
            <w:tcBorders>
              <w:bottom w:val="single" w:sz="4" w:space="0" w:color="auto"/>
            </w:tcBorders>
          </w:tcPr>
          <w:p w14:paraId="4C323952"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37.160 ± 0.07</w:t>
            </w:r>
          </w:p>
        </w:tc>
        <w:tc>
          <w:tcPr>
            <w:tcW w:w="1843" w:type="dxa"/>
            <w:tcBorders>
              <w:bottom w:val="single" w:sz="4" w:space="0" w:color="auto"/>
            </w:tcBorders>
          </w:tcPr>
          <w:p w14:paraId="3DCDD9E7"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36.972-37.348</w:t>
            </w:r>
          </w:p>
        </w:tc>
        <w:tc>
          <w:tcPr>
            <w:tcW w:w="1701" w:type="dxa"/>
            <w:tcBorders>
              <w:bottom w:val="single" w:sz="4" w:space="0" w:color="auto"/>
            </w:tcBorders>
          </w:tcPr>
          <w:p w14:paraId="1D2D47F7" w14:textId="77777777" w:rsidR="005A40BF" w:rsidRPr="005A40BF" w:rsidRDefault="005A40BF" w:rsidP="005A40BF">
            <w:pPr>
              <w:spacing w:line="259" w:lineRule="auto"/>
              <w:jc w:val="both"/>
              <w:rPr>
                <w:rFonts w:ascii="Garamond" w:hAnsi="Garamond"/>
                <w:bCs/>
                <w:iCs/>
                <w:sz w:val="20"/>
                <w:szCs w:val="20"/>
              </w:rPr>
            </w:pPr>
          </w:p>
        </w:tc>
        <w:tc>
          <w:tcPr>
            <w:tcW w:w="850" w:type="dxa"/>
            <w:tcBorders>
              <w:bottom w:val="single" w:sz="4" w:space="0" w:color="auto"/>
            </w:tcBorders>
          </w:tcPr>
          <w:p w14:paraId="6D2E886C" w14:textId="77777777" w:rsidR="005A40BF" w:rsidRPr="005A40BF" w:rsidRDefault="005A40BF" w:rsidP="005A40BF">
            <w:pPr>
              <w:spacing w:line="259" w:lineRule="auto"/>
              <w:jc w:val="both"/>
              <w:rPr>
                <w:rFonts w:ascii="Garamond" w:hAnsi="Garamond"/>
                <w:bCs/>
                <w:iCs/>
                <w:sz w:val="20"/>
                <w:szCs w:val="20"/>
              </w:rPr>
            </w:pPr>
          </w:p>
        </w:tc>
        <w:tc>
          <w:tcPr>
            <w:tcW w:w="993" w:type="dxa"/>
            <w:tcBorders>
              <w:bottom w:val="single" w:sz="4" w:space="0" w:color="auto"/>
            </w:tcBorders>
          </w:tcPr>
          <w:p w14:paraId="2D349231" w14:textId="77777777" w:rsidR="005A40BF" w:rsidRPr="005A40BF" w:rsidRDefault="005A40BF" w:rsidP="005A40BF">
            <w:pPr>
              <w:spacing w:line="259" w:lineRule="auto"/>
              <w:jc w:val="both"/>
              <w:rPr>
                <w:rFonts w:ascii="Garamond" w:hAnsi="Garamond"/>
                <w:bCs/>
                <w:iCs/>
                <w:sz w:val="20"/>
                <w:szCs w:val="20"/>
              </w:rPr>
            </w:pPr>
          </w:p>
        </w:tc>
        <w:tc>
          <w:tcPr>
            <w:tcW w:w="1134" w:type="dxa"/>
            <w:tcBorders>
              <w:bottom w:val="single" w:sz="4" w:space="0" w:color="auto"/>
            </w:tcBorders>
          </w:tcPr>
          <w:p w14:paraId="54D93E7C" w14:textId="77777777" w:rsidR="005A40BF" w:rsidRPr="005A40BF" w:rsidRDefault="005A40BF" w:rsidP="005A40BF">
            <w:pPr>
              <w:spacing w:line="259" w:lineRule="auto"/>
              <w:jc w:val="both"/>
              <w:rPr>
                <w:rFonts w:ascii="Garamond" w:hAnsi="Garamond"/>
                <w:bCs/>
                <w:iCs/>
                <w:sz w:val="20"/>
                <w:szCs w:val="20"/>
              </w:rPr>
            </w:pPr>
          </w:p>
        </w:tc>
      </w:tr>
    </w:tbl>
    <w:p w14:paraId="673C2C7C" w14:textId="77777777" w:rsidR="005A40BF" w:rsidRPr="005A40BF" w:rsidRDefault="005A40BF" w:rsidP="005A40BF">
      <w:pPr>
        <w:spacing w:line="259" w:lineRule="auto"/>
        <w:jc w:val="both"/>
        <w:rPr>
          <w:rFonts w:ascii="Garamond" w:hAnsi="Garamond"/>
          <w:b/>
          <w:bCs/>
          <w:iCs/>
          <w:sz w:val="20"/>
          <w:szCs w:val="20"/>
          <w:lang w:val="en-NG"/>
        </w:rPr>
      </w:pPr>
    </w:p>
    <w:p w14:paraId="0A836D83" w14:textId="77777777" w:rsidR="005A40BF" w:rsidRPr="005A40BF" w:rsidRDefault="005A40BF" w:rsidP="005A40BF">
      <w:pPr>
        <w:spacing w:line="259" w:lineRule="auto"/>
        <w:jc w:val="both"/>
        <w:rPr>
          <w:rFonts w:ascii="Garamond" w:hAnsi="Garamond"/>
          <w:bCs/>
          <w:iCs/>
          <w:sz w:val="20"/>
          <w:szCs w:val="20"/>
          <w:lang w:val="en-NG"/>
        </w:rPr>
      </w:pPr>
      <w:r w:rsidRPr="005A40BF">
        <w:rPr>
          <w:rFonts w:ascii="Garamond" w:hAnsi="Garamond"/>
          <w:b/>
          <w:bCs/>
          <w:iCs/>
          <w:sz w:val="20"/>
          <w:szCs w:val="20"/>
          <w:lang w:val="en-NG"/>
        </w:rPr>
        <w:t>Keys:</w:t>
      </w:r>
      <w:r w:rsidRPr="005A40BF">
        <w:rPr>
          <w:rFonts w:ascii="Garamond" w:hAnsi="Garamond"/>
          <w:bCs/>
          <w:iCs/>
          <w:sz w:val="20"/>
          <w:szCs w:val="20"/>
          <w:lang w:val="en-NG"/>
        </w:rPr>
        <w:t xml:space="preserve"> NC = Control group without treatment, PC = Control group treated with artesunate, SEM = standard error of the mean; CI = confidence interval, df = degree of freedom, *p &lt; 0.05, one-way analysis of variance followed by the Turkey Honest Significant Difference (HSD)’s post hoc test). </w:t>
      </w:r>
    </w:p>
    <w:p w14:paraId="6F0CF39C" w14:textId="77777777" w:rsidR="005A40BF" w:rsidRPr="005A40BF" w:rsidRDefault="005A40BF" w:rsidP="005A40BF">
      <w:pPr>
        <w:spacing w:line="259" w:lineRule="auto"/>
        <w:jc w:val="both"/>
        <w:rPr>
          <w:rFonts w:ascii="Garamond" w:hAnsi="Garamond"/>
          <w:bCs/>
          <w:iCs/>
          <w:sz w:val="20"/>
          <w:szCs w:val="20"/>
          <w:lang w:val="en-NG"/>
        </w:rPr>
      </w:pPr>
    </w:p>
    <w:p w14:paraId="5EEA8A47" w14:textId="77777777" w:rsidR="005A40BF" w:rsidRPr="005A40BF" w:rsidRDefault="005A40BF" w:rsidP="005A40BF">
      <w:pPr>
        <w:spacing w:line="259" w:lineRule="auto"/>
        <w:jc w:val="both"/>
        <w:rPr>
          <w:rFonts w:ascii="Garamond" w:hAnsi="Garamond"/>
          <w:bCs/>
          <w:iCs/>
          <w:sz w:val="20"/>
          <w:szCs w:val="20"/>
          <w:lang w:val="en-NG"/>
        </w:rPr>
      </w:pPr>
      <w:r w:rsidRPr="005A40BF">
        <w:rPr>
          <w:rFonts w:ascii="Garamond" w:hAnsi="Garamond"/>
          <w:bCs/>
          <w:iCs/>
          <w:sz w:val="20"/>
          <w:szCs w:val="20"/>
        </w:rPr>
        <w:t xml:space="preserve">Table 3 below is the result of the effect of administration of </w:t>
      </w:r>
      <w:r w:rsidRPr="005A40BF">
        <w:rPr>
          <w:rFonts w:ascii="Garamond" w:hAnsi="Garamond"/>
          <w:bCs/>
          <w:i/>
          <w:iCs/>
          <w:sz w:val="20"/>
          <w:szCs w:val="20"/>
        </w:rPr>
        <w:t>A. heterophyllus</w:t>
      </w:r>
      <w:r w:rsidRPr="005A40BF">
        <w:rPr>
          <w:rFonts w:ascii="Garamond" w:hAnsi="Garamond"/>
          <w:bCs/>
          <w:iCs/>
          <w:sz w:val="20"/>
          <w:szCs w:val="20"/>
        </w:rPr>
        <w:t xml:space="preserve"> extract on mean survival time and percentage survivor of the treated and controlled experimental animals. </w:t>
      </w:r>
      <w:r w:rsidRPr="005A40BF">
        <w:rPr>
          <w:rFonts w:ascii="Garamond" w:hAnsi="Garamond"/>
          <w:bCs/>
          <w:iCs/>
          <w:sz w:val="20"/>
          <w:szCs w:val="20"/>
          <w:lang w:val="en-NG"/>
        </w:rPr>
        <w:t>Though the mean survival time and percentage survivor of the animals in the group treated with herb extract were increased more than those in the negative control group, however, the values were not statistically significant F(5, 24) = 0.533, p &lt; 0.735. There was no animal deaths among the animals treated with 200 mg/kg of the plant extract and in those of the positive control group (treated with 15 mg/kg of artesunate). The mean survival time and percentage survivor of the animals treated with 25 mg/kg, 50 mg/kg, and 100 mg/kg of the extracts were the same.</w:t>
      </w:r>
    </w:p>
    <w:p w14:paraId="594945E6" w14:textId="77777777" w:rsidR="005A40BF" w:rsidRPr="005A40BF" w:rsidRDefault="005A40BF" w:rsidP="005A40BF">
      <w:pPr>
        <w:spacing w:line="259" w:lineRule="auto"/>
        <w:jc w:val="both"/>
        <w:rPr>
          <w:rFonts w:ascii="Garamond" w:hAnsi="Garamond"/>
          <w:b/>
          <w:bCs/>
          <w:iCs/>
          <w:sz w:val="20"/>
          <w:szCs w:val="20"/>
          <w:lang w:val="en-NG"/>
        </w:rPr>
      </w:pPr>
    </w:p>
    <w:p w14:paraId="4AC9C2E2" w14:textId="640CCED2" w:rsidR="005A40BF" w:rsidRPr="005A40BF" w:rsidRDefault="005A40BF" w:rsidP="005A40BF">
      <w:pPr>
        <w:spacing w:line="259" w:lineRule="auto"/>
        <w:jc w:val="both"/>
        <w:rPr>
          <w:rFonts w:ascii="Garamond" w:hAnsi="Garamond"/>
          <w:b/>
          <w:bCs/>
          <w:iCs/>
          <w:sz w:val="20"/>
          <w:szCs w:val="20"/>
          <w:lang w:val="en-NG"/>
        </w:rPr>
      </w:pPr>
      <w:r w:rsidRPr="005A40BF">
        <w:rPr>
          <w:rFonts w:ascii="Garamond" w:hAnsi="Garamond"/>
          <w:b/>
          <w:bCs/>
          <w:iCs/>
          <w:sz w:val="20"/>
          <w:szCs w:val="20"/>
          <w:lang w:val="en-NG"/>
        </w:rPr>
        <w:t>Table 3</w:t>
      </w:r>
      <w:r>
        <w:rPr>
          <w:rFonts w:ascii="Garamond" w:hAnsi="Garamond"/>
          <w:b/>
          <w:bCs/>
          <w:iCs/>
          <w:sz w:val="20"/>
          <w:szCs w:val="20"/>
          <w:lang w:val="en-NG"/>
        </w:rPr>
        <w:t xml:space="preserve">: </w:t>
      </w:r>
      <w:r w:rsidRPr="005A40BF">
        <w:rPr>
          <w:rFonts w:ascii="Garamond" w:hAnsi="Garamond"/>
          <w:iCs/>
          <w:sz w:val="20"/>
          <w:szCs w:val="20"/>
          <w:lang w:val="en-NG"/>
        </w:rPr>
        <w:t xml:space="preserve">Survival time and percentage survivor (in parenthesis) of mice treated with stem-back of </w:t>
      </w:r>
      <w:r w:rsidRPr="005A40BF">
        <w:rPr>
          <w:rFonts w:ascii="Garamond" w:hAnsi="Garamond"/>
          <w:i/>
          <w:iCs/>
          <w:sz w:val="20"/>
          <w:szCs w:val="20"/>
          <w:lang w:val="en-NG"/>
        </w:rPr>
        <w:t>Artocarpus heterophyllus</w:t>
      </w:r>
      <w:r w:rsidRPr="005A40BF">
        <w:rPr>
          <w:rFonts w:ascii="Garamond" w:hAnsi="Garamond"/>
          <w:iCs/>
          <w:sz w:val="20"/>
          <w:szCs w:val="20"/>
          <w:lang w:val="en-NG"/>
        </w:rPr>
        <w:t xml:space="preserve"> using a-4-day test.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0"/>
        <w:gridCol w:w="737"/>
        <w:gridCol w:w="1637"/>
        <w:gridCol w:w="1122"/>
        <w:gridCol w:w="1360"/>
        <w:gridCol w:w="762"/>
        <w:gridCol w:w="846"/>
        <w:gridCol w:w="956"/>
      </w:tblGrid>
      <w:tr w:rsidR="005A40BF" w:rsidRPr="005A40BF" w14:paraId="00994266" w14:textId="77777777" w:rsidTr="001934C4">
        <w:tc>
          <w:tcPr>
            <w:tcW w:w="2547" w:type="dxa"/>
            <w:tcBorders>
              <w:top w:val="single" w:sz="4" w:space="0" w:color="auto"/>
              <w:bottom w:val="single" w:sz="4" w:space="0" w:color="auto"/>
            </w:tcBorders>
          </w:tcPr>
          <w:p w14:paraId="39462DD2"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Groups</w:t>
            </w:r>
          </w:p>
        </w:tc>
        <w:tc>
          <w:tcPr>
            <w:tcW w:w="992" w:type="dxa"/>
            <w:tcBorders>
              <w:top w:val="single" w:sz="4" w:space="0" w:color="auto"/>
              <w:bottom w:val="single" w:sz="4" w:space="0" w:color="auto"/>
            </w:tcBorders>
          </w:tcPr>
          <w:p w14:paraId="5458A356"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N</w:t>
            </w:r>
          </w:p>
        </w:tc>
        <w:tc>
          <w:tcPr>
            <w:tcW w:w="2126" w:type="dxa"/>
            <w:tcBorders>
              <w:top w:val="single" w:sz="4" w:space="0" w:color="auto"/>
              <w:bottom w:val="single" w:sz="4" w:space="0" w:color="auto"/>
            </w:tcBorders>
          </w:tcPr>
          <w:p w14:paraId="677EF01C"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Mean Survival time (Mean ± SEM) &amp; (% Survivor)</w:t>
            </w:r>
          </w:p>
        </w:tc>
        <w:tc>
          <w:tcPr>
            <w:tcW w:w="1418" w:type="dxa"/>
            <w:tcBorders>
              <w:top w:val="single" w:sz="4" w:space="0" w:color="auto"/>
              <w:bottom w:val="single" w:sz="4" w:space="0" w:color="auto"/>
            </w:tcBorders>
          </w:tcPr>
          <w:p w14:paraId="0BCE4229"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95% CI</w:t>
            </w:r>
          </w:p>
        </w:tc>
        <w:tc>
          <w:tcPr>
            <w:tcW w:w="1701" w:type="dxa"/>
            <w:tcBorders>
              <w:top w:val="single" w:sz="4" w:space="0" w:color="auto"/>
              <w:bottom w:val="single" w:sz="4" w:space="0" w:color="auto"/>
            </w:tcBorders>
          </w:tcPr>
          <w:p w14:paraId="02CCC629" w14:textId="77777777" w:rsidR="005A40BF" w:rsidRPr="005A40BF" w:rsidRDefault="005A40BF" w:rsidP="005A40BF">
            <w:pPr>
              <w:spacing w:line="259" w:lineRule="auto"/>
              <w:jc w:val="both"/>
              <w:rPr>
                <w:rFonts w:ascii="Garamond" w:hAnsi="Garamond"/>
                <w:bCs/>
                <w:iCs/>
                <w:sz w:val="20"/>
                <w:szCs w:val="20"/>
              </w:rPr>
            </w:pPr>
            <w:proofErr w:type="spellStart"/>
            <w:r w:rsidRPr="005A40BF">
              <w:rPr>
                <w:rFonts w:ascii="Garamond" w:hAnsi="Garamond"/>
                <w:bCs/>
                <w:iCs/>
                <w:sz w:val="20"/>
                <w:szCs w:val="20"/>
              </w:rPr>
              <w:t>df</w:t>
            </w:r>
            <w:proofErr w:type="spellEnd"/>
            <w:r w:rsidRPr="005A40BF">
              <w:rPr>
                <w:rFonts w:ascii="Garamond" w:hAnsi="Garamond"/>
                <w:bCs/>
                <w:iCs/>
                <w:sz w:val="20"/>
                <w:szCs w:val="20"/>
              </w:rPr>
              <w:t xml:space="preserve"> (btw &amp; within Groups)</w:t>
            </w:r>
          </w:p>
        </w:tc>
        <w:tc>
          <w:tcPr>
            <w:tcW w:w="850" w:type="dxa"/>
            <w:tcBorders>
              <w:top w:val="single" w:sz="4" w:space="0" w:color="auto"/>
              <w:bottom w:val="single" w:sz="4" w:space="0" w:color="auto"/>
            </w:tcBorders>
          </w:tcPr>
          <w:p w14:paraId="04DACD45"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F</w:t>
            </w:r>
          </w:p>
        </w:tc>
        <w:tc>
          <w:tcPr>
            <w:tcW w:w="993" w:type="dxa"/>
            <w:tcBorders>
              <w:top w:val="single" w:sz="4" w:space="0" w:color="auto"/>
              <w:bottom w:val="single" w:sz="4" w:space="0" w:color="auto"/>
            </w:tcBorders>
          </w:tcPr>
          <w:p w14:paraId="59017049"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P-value</w:t>
            </w:r>
          </w:p>
        </w:tc>
        <w:tc>
          <w:tcPr>
            <w:tcW w:w="1134" w:type="dxa"/>
            <w:tcBorders>
              <w:top w:val="single" w:sz="4" w:space="0" w:color="auto"/>
              <w:bottom w:val="single" w:sz="4" w:space="0" w:color="auto"/>
            </w:tcBorders>
          </w:tcPr>
          <w:p w14:paraId="273D9566"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Effect size (</w:t>
            </w:r>
            <w:r w:rsidRPr="005A40BF">
              <w:rPr>
                <w:rFonts w:ascii="Cambria" w:hAnsi="Cambria" w:cs="Cambria"/>
                <w:bCs/>
                <w:iCs/>
                <w:sz w:val="20"/>
                <w:szCs w:val="20"/>
              </w:rPr>
              <w:t>ƞ</w:t>
            </w:r>
            <w:r w:rsidRPr="005A40BF">
              <w:rPr>
                <w:rFonts w:ascii="Garamond" w:hAnsi="Garamond"/>
                <w:bCs/>
                <w:iCs/>
                <w:sz w:val="20"/>
                <w:szCs w:val="20"/>
                <w:vertAlign w:val="superscript"/>
              </w:rPr>
              <w:t xml:space="preserve">2 </w:t>
            </w:r>
            <w:r w:rsidRPr="005A40BF">
              <w:rPr>
                <w:rFonts w:ascii="Garamond" w:hAnsi="Garamond"/>
                <w:bCs/>
                <w:iCs/>
                <w:sz w:val="20"/>
                <w:szCs w:val="20"/>
                <w:vertAlign w:val="subscript"/>
              </w:rPr>
              <w:t>P</w:t>
            </w:r>
            <w:r w:rsidRPr="005A40BF">
              <w:rPr>
                <w:rFonts w:ascii="Garamond" w:hAnsi="Garamond"/>
                <w:bCs/>
                <w:iCs/>
                <w:sz w:val="20"/>
                <w:szCs w:val="20"/>
              </w:rPr>
              <w:t>)</w:t>
            </w:r>
          </w:p>
        </w:tc>
      </w:tr>
      <w:tr w:rsidR="005A40BF" w:rsidRPr="005A40BF" w14:paraId="70D3D325" w14:textId="77777777" w:rsidTr="001934C4">
        <w:tc>
          <w:tcPr>
            <w:tcW w:w="2547" w:type="dxa"/>
            <w:tcBorders>
              <w:top w:val="single" w:sz="4" w:space="0" w:color="auto"/>
            </w:tcBorders>
          </w:tcPr>
          <w:p w14:paraId="1294FC74"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Group 1: NC</w:t>
            </w:r>
          </w:p>
        </w:tc>
        <w:tc>
          <w:tcPr>
            <w:tcW w:w="992" w:type="dxa"/>
            <w:tcBorders>
              <w:top w:val="single" w:sz="4" w:space="0" w:color="auto"/>
            </w:tcBorders>
          </w:tcPr>
          <w:p w14:paraId="78A5A6DC"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5</w:t>
            </w:r>
          </w:p>
        </w:tc>
        <w:tc>
          <w:tcPr>
            <w:tcW w:w="2126" w:type="dxa"/>
            <w:tcBorders>
              <w:top w:val="single" w:sz="4" w:space="0" w:color="auto"/>
            </w:tcBorders>
          </w:tcPr>
          <w:p w14:paraId="05FF3E86"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26.00 ± 1.27 (60)</w:t>
            </w:r>
          </w:p>
        </w:tc>
        <w:tc>
          <w:tcPr>
            <w:tcW w:w="1418" w:type="dxa"/>
            <w:tcBorders>
              <w:top w:val="single" w:sz="4" w:space="0" w:color="auto"/>
            </w:tcBorders>
          </w:tcPr>
          <w:p w14:paraId="2C0E4876"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22.49-29.51</w:t>
            </w:r>
          </w:p>
        </w:tc>
        <w:tc>
          <w:tcPr>
            <w:tcW w:w="1701" w:type="dxa"/>
            <w:tcBorders>
              <w:top w:val="single" w:sz="4" w:space="0" w:color="auto"/>
            </w:tcBorders>
          </w:tcPr>
          <w:p w14:paraId="3AFEB008"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5, 24</w:t>
            </w:r>
          </w:p>
        </w:tc>
        <w:tc>
          <w:tcPr>
            <w:tcW w:w="850" w:type="dxa"/>
            <w:tcBorders>
              <w:top w:val="single" w:sz="4" w:space="0" w:color="auto"/>
            </w:tcBorders>
          </w:tcPr>
          <w:p w14:paraId="57B40297"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0.553</w:t>
            </w:r>
          </w:p>
        </w:tc>
        <w:tc>
          <w:tcPr>
            <w:tcW w:w="993" w:type="dxa"/>
            <w:tcBorders>
              <w:top w:val="single" w:sz="4" w:space="0" w:color="auto"/>
            </w:tcBorders>
          </w:tcPr>
          <w:p w14:paraId="2FD432F9"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0.735</w:t>
            </w:r>
          </w:p>
        </w:tc>
        <w:tc>
          <w:tcPr>
            <w:tcW w:w="1134" w:type="dxa"/>
            <w:tcBorders>
              <w:top w:val="single" w:sz="4" w:space="0" w:color="auto"/>
            </w:tcBorders>
          </w:tcPr>
          <w:p w14:paraId="7AB4454F"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0.10</w:t>
            </w:r>
          </w:p>
        </w:tc>
      </w:tr>
      <w:tr w:rsidR="005A40BF" w:rsidRPr="005A40BF" w14:paraId="07B05B58" w14:textId="77777777" w:rsidTr="001934C4">
        <w:tc>
          <w:tcPr>
            <w:tcW w:w="2547" w:type="dxa"/>
          </w:tcPr>
          <w:p w14:paraId="09581E91"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 xml:space="preserve">Group 2:25mg/kg </w:t>
            </w:r>
          </w:p>
        </w:tc>
        <w:tc>
          <w:tcPr>
            <w:tcW w:w="992" w:type="dxa"/>
          </w:tcPr>
          <w:p w14:paraId="1499585A"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5</w:t>
            </w:r>
          </w:p>
        </w:tc>
        <w:tc>
          <w:tcPr>
            <w:tcW w:w="2126" w:type="dxa"/>
          </w:tcPr>
          <w:p w14:paraId="59DF2699"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26.20 ± 1.8 (80)</w:t>
            </w:r>
          </w:p>
        </w:tc>
        <w:tc>
          <w:tcPr>
            <w:tcW w:w="1418" w:type="dxa"/>
          </w:tcPr>
          <w:p w14:paraId="60D8945F"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21.20-31.20</w:t>
            </w:r>
          </w:p>
        </w:tc>
        <w:tc>
          <w:tcPr>
            <w:tcW w:w="1701" w:type="dxa"/>
          </w:tcPr>
          <w:p w14:paraId="6FC0E3B7" w14:textId="77777777" w:rsidR="005A40BF" w:rsidRPr="005A40BF" w:rsidRDefault="005A40BF" w:rsidP="005A40BF">
            <w:pPr>
              <w:spacing w:line="259" w:lineRule="auto"/>
              <w:jc w:val="both"/>
              <w:rPr>
                <w:rFonts w:ascii="Garamond" w:hAnsi="Garamond"/>
                <w:bCs/>
                <w:iCs/>
                <w:sz w:val="20"/>
                <w:szCs w:val="20"/>
              </w:rPr>
            </w:pPr>
          </w:p>
        </w:tc>
        <w:tc>
          <w:tcPr>
            <w:tcW w:w="850" w:type="dxa"/>
          </w:tcPr>
          <w:p w14:paraId="55ECD033" w14:textId="77777777" w:rsidR="005A40BF" w:rsidRPr="005A40BF" w:rsidRDefault="005A40BF" w:rsidP="005A40BF">
            <w:pPr>
              <w:spacing w:line="259" w:lineRule="auto"/>
              <w:jc w:val="both"/>
              <w:rPr>
                <w:rFonts w:ascii="Garamond" w:hAnsi="Garamond"/>
                <w:bCs/>
                <w:iCs/>
                <w:sz w:val="20"/>
                <w:szCs w:val="20"/>
              </w:rPr>
            </w:pPr>
          </w:p>
        </w:tc>
        <w:tc>
          <w:tcPr>
            <w:tcW w:w="993" w:type="dxa"/>
          </w:tcPr>
          <w:p w14:paraId="78FC23F1" w14:textId="77777777" w:rsidR="005A40BF" w:rsidRPr="005A40BF" w:rsidRDefault="005A40BF" w:rsidP="005A40BF">
            <w:pPr>
              <w:spacing w:line="259" w:lineRule="auto"/>
              <w:jc w:val="both"/>
              <w:rPr>
                <w:rFonts w:ascii="Garamond" w:hAnsi="Garamond"/>
                <w:bCs/>
                <w:iCs/>
                <w:sz w:val="20"/>
                <w:szCs w:val="20"/>
              </w:rPr>
            </w:pPr>
          </w:p>
        </w:tc>
        <w:tc>
          <w:tcPr>
            <w:tcW w:w="1134" w:type="dxa"/>
          </w:tcPr>
          <w:p w14:paraId="7BFBD892" w14:textId="77777777" w:rsidR="005A40BF" w:rsidRPr="005A40BF" w:rsidRDefault="005A40BF" w:rsidP="005A40BF">
            <w:pPr>
              <w:spacing w:line="259" w:lineRule="auto"/>
              <w:jc w:val="both"/>
              <w:rPr>
                <w:rFonts w:ascii="Garamond" w:hAnsi="Garamond"/>
                <w:bCs/>
                <w:iCs/>
                <w:sz w:val="20"/>
                <w:szCs w:val="20"/>
              </w:rPr>
            </w:pPr>
          </w:p>
        </w:tc>
      </w:tr>
      <w:tr w:rsidR="005A40BF" w:rsidRPr="005A40BF" w14:paraId="77B26C36" w14:textId="77777777" w:rsidTr="001934C4">
        <w:tc>
          <w:tcPr>
            <w:tcW w:w="2547" w:type="dxa"/>
          </w:tcPr>
          <w:p w14:paraId="13ACEDA7"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 xml:space="preserve">Group 3: 50mg/kg </w:t>
            </w:r>
          </w:p>
        </w:tc>
        <w:tc>
          <w:tcPr>
            <w:tcW w:w="992" w:type="dxa"/>
          </w:tcPr>
          <w:p w14:paraId="6C25D95C"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5</w:t>
            </w:r>
          </w:p>
        </w:tc>
        <w:tc>
          <w:tcPr>
            <w:tcW w:w="2126" w:type="dxa"/>
          </w:tcPr>
          <w:p w14:paraId="03109962"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25.20 ± 2.8 (80)</w:t>
            </w:r>
          </w:p>
        </w:tc>
        <w:tc>
          <w:tcPr>
            <w:tcW w:w="1418" w:type="dxa"/>
          </w:tcPr>
          <w:p w14:paraId="2ED8FAED"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17.43-32.97</w:t>
            </w:r>
          </w:p>
        </w:tc>
        <w:tc>
          <w:tcPr>
            <w:tcW w:w="1701" w:type="dxa"/>
          </w:tcPr>
          <w:p w14:paraId="551F2406" w14:textId="77777777" w:rsidR="005A40BF" w:rsidRPr="005A40BF" w:rsidRDefault="005A40BF" w:rsidP="005A40BF">
            <w:pPr>
              <w:spacing w:line="259" w:lineRule="auto"/>
              <w:jc w:val="both"/>
              <w:rPr>
                <w:rFonts w:ascii="Garamond" w:hAnsi="Garamond"/>
                <w:bCs/>
                <w:iCs/>
                <w:sz w:val="20"/>
                <w:szCs w:val="20"/>
              </w:rPr>
            </w:pPr>
          </w:p>
        </w:tc>
        <w:tc>
          <w:tcPr>
            <w:tcW w:w="850" w:type="dxa"/>
          </w:tcPr>
          <w:p w14:paraId="26B5E76D" w14:textId="77777777" w:rsidR="005A40BF" w:rsidRPr="005A40BF" w:rsidRDefault="005A40BF" w:rsidP="005A40BF">
            <w:pPr>
              <w:spacing w:line="259" w:lineRule="auto"/>
              <w:jc w:val="both"/>
              <w:rPr>
                <w:rFonts w:ascii="Garamond" w:hAnsi="Garamond"/>
                <w:bCs/>
                <w:iCs/>
                <w:sz w:val="20"/>
                <w:szCs w:val="20"/>
              </w:rPr>
            </w:pPr>
          </w:p>
        </w:tc>
        <w:tc>
          <w:tcPr>
            <w:tcW w:w="993" w:type="dxa"/>
          </w:tcPr>
          <w:p w14:paraId="2B7C13FF" w14:textId="77777777" w:rsidR="005A40BF" w:rsidRPr="005A40BF" w:rsidRDefault="005A40BF" w:rsidP="005A40BF">
            <w:pPr>
              <w:spacing w:line="259" w:lineRule="auto"/>
              <w:jc w:val="both"/>
              <w:rPr>
                <w:rFonts w:ascii="Garamond" w:hAnsi="Garamond"/>
                <w:bCs/>
                <w:iCs/>
                <w:sz w:val="20"/>
                <w:szCs w:val="20"/>
              </w:rPr>
            </w:pPr>
          </w:p>
        </w:tc>
        <w:tc>
          <w:tcPr>
            <w:tcW w:w="1134" w:type="dxa"/>
          </w:tcPr>
          <w:p w14:paraId="5217D77B" w14:textId="77777777" w:rsidR="005A40BF" w:rsidRPr="005A40BF" w:rsidRDefault="005A40BF" w:rsidP="005A40BF">
            <w:pPr>
              <w:spacing w:line="259" w:lineRule="auto"/>
              <w:jc w:val="both"/>
              <w:rPr>
                <w:rFonts w:ascii="Garamond" w:hAnsi="Garamond"/>
                <w:bCs/>
                <w:iCs/>
                <w:sz w:val="20"/>
                <w:szCs w:val="20"/>
              </w:rPr>
            </w:pPr>
          </w:p>
        </w:tc>
      </w:tr>
      <w:tr w:rsidR="005A40BF" w:rsidRPr="005A40BF" w14:paraId="224A7E1A" w14:textId="77777777" w:rsidTr="001934C4">
        <w:tc>
          <w:tcPr>
            <w:tcW w:w="2547" w:type="dxa"/>
          </w:tcPr>
          <w:p w14:paraId="12EE4E5A"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 xml:space="preserve">Group 4: 100mg/kg </w:t>
            </w:r>
          </w:p>
        </w:tc>
        <w:tc>
          <w:tcPr>
            <w:tcW w:w="992" w:type="dxa"/>
          </w:tcPr>
          <w:p w14:paraId="5B409A8D"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5</w:t>
            </w:r>
          </w:p>
        </w:tc>
        <w:tc>
          <w:tcPr>
            <w:tcW w:w="2126" w:type="dxa"/>
          </w:tcPr>
          <w:p w14:paraId="5875F47A"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23.20 ± 4.8 (80)</w:t>
            </w:r>
          </w:p>
        </w:tc>
        <w:tc>
          <w:tcPr>
            <w:tcW w:w="1418" w:type="dxa"/>
          </w:tcPr>
          <w:p w14:paraId="4030E3AE"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9.87-36.53</w:t>
            </w:r>
          </w:p>
        </w:tc>
        <w:tc>
          <w:tcPr>
            <w:tcW w:w="1701" w:type="dxa"/>
          </w:tcPr>
          <w:p w14:paraId="2E9B719D" w14:textId="77777777" w:rsidR="005A40BF" w:rsidRPr="005A40BF" w:rsidRDefault="005A40BF" w:rsidP="005A40BF">
            <w:pPr>
              <w:spacing w:line="259" w:lineRule="auto"/>
              <w:jc w:val="both"/>
              <w:rPr>
                <w:rFonts w:ascii="Garamond" w:hAnsi="Garamond"/>
                <w:bCs/>
                <w:iCs/>
                <w:sz w:val="20"/>
                <w:szCs w:val="20"/>
              </w:rPr>
            </w:pPr>
          </w:p>
        </w:tc>
        <w:tc>
          <w:tcPr>
            <w:tcW w:w="850" w:type="dxa"/>
          </w:tcPr>
          <w:p w14:paraId="1C6260FD" w14:textId="77777777" w:rsidR="005A40BF" w:rsidRPr="005A40BF" w:rsidRDefault="005A40BF" w:rsidP="005A40BF">
            <w:pPr>
              <w:spacing w:line="259" w:lineRule="auto"/>
              <w:jc w:val="both"/>
              <w:rPr>
                <w:rFonts w:ascii="Garamond" w:hAnsi="Garamond"/>
                <w:bCs/>
                <w:iCs/>
                <w:sz w:val="20"/>
                <w:szCs w:val="20"/>
              </w:rPr>
            </w:pPr>
          </w:p>
        </w:tc>
        <w:tc>
          <w:tcPr>
            <w:tcW w:w="993" w:type="dxa"/>
          </w:tcPr>
          <w:p w14:paraId="052F924B" w14:textId="77777777" w:rsidR="005A40BF" w:rsidRPr="005A40BF" w:rsidRDefault="005A40BF" w:rsidP="005A40BF">
            <w:pPr>
              <w:spacing w:line="259" w:lineRule="auto"/>
              <w:jc w:val="both"/>
              <w:rPr>
                <w:rFonts w:ascii="Garamond" w:hAnsi="Garamond"/>
                <w:bCs/>
                <w:iCs/>
                <w:sz w:val="20"/>
                <w:szCs w:val="20"/>
              </w:rPr>
            </w:pPr>
          </w:p>
        </w:tc>
        <w:tc>
          <w:tcPr>
            <w:tcW w:w="1134" w:type="dxa"/>
          </w:tcPr>
          <w:p w14:paraId="0D0C0C8F" w14:textId="77777777" w:rsidR="005A40BF" w:rsidRPr="005A40BF" w:rsidRDefault="005A40BF" w:rsidP="005A40BF">
            <w:pPr>
              <w:spacing w:line="259" w:lineRule="auto"/>
              <w:jc w:val="both"/>
              <w:rPr>
                <w:rFonts w:ascii="Garamond" w:hAnsi="Garamond"/>
                <w:bCs/>
                <w:iCs/>
                <w:sz w:val="20"/>
                <w:szCs w:val="20"/>
              </w:rPr>
            </w:pPr>
          </w:p>
        </w:tc>
      </w:tr>
      <w:tr w:rsidR="005A40BF" w:rsidRPr="005A40BF" w14:paraId="276BCB75" w14:textId="77777777" w:rsidTr="001934C4">
        <w:tc>
          <w:tcPr>
            <w:tcW w:w="2547" w:type="dxa"/>
          </w:tcPr>
          <w:p w14:paraId="1ED46F1C"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 xml:space="preserve">Group 5: 200mg/kg </w:t>
            </w:r>
          </w:p>
        </w:tc>
        <w:tc>
          <w:tcPr>
            <w:tcW w:w="992" w:type="dxa"/>
          </w:tcPr>
          <w:p w14:paraId="56B73979"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5</w:t>
            </w:r>
          </w:p>
        </w:tc>
        <w:tc>
          <w:tcPr>
            <w:tcW w:w="2126" w:type="dxa"/>
          </w:tcPr>
          <w:p w14:paraId="4E24A88E"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28.00 ± 00 (100)</w:t>
            </w:r>
          </w:p>
        </w:tc>
        <w:tc>
          <w:tcPr>
            <w:tcW w:w="1418" w:type="dxa"/>
          </w:tcPr>
          <w:p w14:paraId="6F632201"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28.00-28.00</w:t>
            </w:r>
          </w:p>
        </w:tc>
        <w:tc>
          <w:tcPr>
            <w:tcW w:w="1701" w:type="dxa"/>
          </w:tcPr>
          <w:p w14:paraId="491C7913" w14:textId="77777777" w:rsidR="005A40BF" w:rsidRPr="005A40BF" w:rsidRDefault="005A40BF" w:rsidP="005A40BF">
            <w:pPr>
              <w:spacing w:line="259" w:lineRule="auto"/>
              <w:jc w:val="both"/>
              <w:rPr>
                <w:rFonts w:ascii="Garamond" w:hAnsi="Garamond"/>
                <w:bCs/>
                <w:iCs/>
                <w:sz w:val="20"/>
                <w:szCs w:val="20"/>
              </w:rPr>
            </w:pPr>
          </w:p>
        </w:tc>
        <w:tc>
          <w:tcPr>
            <w:tcW w:w="850" w:type="dxa"/>
          </w:tcPr>
          <w:p w14:paraId="645D995A" w14:textId="77777777" w:rsidR="005A40BF" w:rsidRPr="005A40BF" w:rsidRDefault="005A40BF" w:rsidP="005A40BF">
            <w:pPr>
              <w:spacing w:line="259" w:lineRule="auto"/>
              <w:jc w:val="both"/>
              <w:rPr>
                <w:rFonts w:ascii="Garamond" w:hAnsi="Garamond"/>
                <w:bCs/>
                <w:iCs/>
                <w:sz w:val="20"/>
                <w:szCs w:val="20"/>
              </w:rPr>
            </w:pPr>
          </w:p>
        </w:tc>
        <w:tc>
          <w:tcPr>
            <w:tcW w:w="993" w:type="dxa"/>
          </w:tcPr>
          <w:p w14:paraId="75D10E86" w14:textId="77777777" w:rsidR="005A40BF" w:rsidRPr="005A40BF" w:rsidRDefault="005A40BF" w:rsidP="005A40BF">
            <w:pPr>
              <w:spacing w:line="259" w:lineRule="auto"/>
              <w:jc w:val="both"/>
              <w:rPr>
                <w:rFonts w:ascii="Garamond" w:hAnsi="Garamond"/>
                <w:bCs/>
                <w:iCs/>
                <w:sz w:val="20"/>
                <w:szCs w:val="20"/>
              </w:rPr>
            </w:pPr>
          </w:p>
        </w:tc>
        <w:tc>
          <w:tcPr>
            <w:tcW w:w="1134" w:type="dxa"/>
          </w:tcPr>
          <w:p w14:paraId="70271C0B" w14:textId="77777777" w:rsidR="005A40BF" w:rsidRPr="005A40BF" w:rsidRDefault="005A40BF" w:rsidP="005A40BF">
            <w:pPr>
              <w:spacing w:line="259" w:lineRule="auto"/>
              <w:jc w:val="both"/>
              <w:rPr>
                <w:rFonts w:ascii="Garamond" w:hAnsi="Garamond"/>
                <w:bCs/>
                <w:iCs/>
                <w:sz w:val="20"/>
                <w:szCs w:val="20"/>
              </w:rPr>
            </w:pPr>
          </w:p>
        </w:tc>
      </w:tr>
      <w:tr w:rsidR="005A40BF" w:rsidRPr="005A40BF" w14:paraId="2FC6EF63" w14:textId="77777777" w:rsidTr="001934C4">
        <w:tc>
          <w:tcPr>
            <w:tcW w:w="2547" w:type="dxa"/>
            <w:tcBorders>
              <w:bottom w:val="single" w:sz="4" w:space="0" w:color="auto"/>
            </w:tcBorders>
          </w:tcPr>
          <w:p w14:paraId="6D690BE9"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Group 6: PC</w:t>
            </w:r>
          </w:p>
        </w:tc>
        <w:tc>
          <w:tcPr>
            <w:tcW w:w="992" w:type="dxa"/>
            <w:tcBorders>
              <w:bottom w:val="single" w:sz="4" w:space="0" w:color="auto"/>
            </w:tcBorders>
          </w:tcPr>
          <w:p w14:paraId="71FAE3A0"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5</w:t>
            </w:r>
          </w:p>
        </w:tc>
        <w:tc>
          <w:tcPr>
            <w:tcW w:w="2126" w:type="dxa"/>
            <w:tcBorders>
              <w:bottom w:val="single" w:sz="4" w:space="0" w:color="auto"/>
            </w:tcBorders>
          </w:tcPr>
          <w:p w14:paraId="40FB663D"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28.00 ± 00 (100)</w:t>
            </w:r>
          </w:p>
        </w:tc>
        <w:tc>
          <w:tcPr>
            <w:tcW w:w="1418" w:type="dxa"/>
            <w:tcBorders>
              <w:bottom w:val="single" w:sz="4" w:space="0" w:color="auto"/>
            </w:tcBorders>
          </w:tcPr>
          <w:p w14:paraId="078E0868"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28.00-28.00</w:t>
            </w:r>
          </w:p>
        </w:tc>
        <w:tc>
          <w:tcPr>
            <w:tcW w:w="1701" w:type="dxa"/>
            <w:tcBorders>
              <w:bottom w:val="single" w:sz="4" w:space="0" w:color="auto"/>
            </w:tcBorders>
          </w:tcPr>
          <w:p w14:paraId="6EE533E0" w14:textId="77777777" w:rsidR="005A40BF" w:rsidRPr="005A40BF" w:rsidRDefault="005A40BF" w:rsidP="005A40BF">
            <w:pPr>
              <w:spacing w:line="259" w:lineRule="auto"/>
              <w:jc w:val="both"/>
              <w:rPr>
                <w:rFonts w:ascii="Garamond" w:hAnsi="Garamond"/>
                <w:bCs/>
                <w:iCs/>
                <w:sz w:val="20"/>
                <w:szCs w:val="20"/>
              </w:rPr>
            </w:pPr>
          </w:p>
        </w:tc>
        <w:tc>
          <w:tcPr>
            <w:tcW w:w="850" w:type="dxa"/>
            <w:tcBorders>
              <w:bottom w:val="single" w:sz="4" w:space="0" w:color="auto"/>
            </w:tcBorders>
          </w:tcPr>
          <w:p w14:paraId="6A041E1F" w14:textId="77777777" w:rsidR="005A40BF" w:rsidRPr="005A40BF" w:rsidRDefault="005A40BF" w:rsidP="005A40BF">
            <w:pPr>
              <w:spacing w:line="259" w:lineRule="auto"/>
              <w:jc w:val="both"/>
              <w:rPr>
                <w:rFonts w:ascii="Garamond" w:hAnsi="Garamond"/>
                <w:bCs/>
                <w:iCs/>
                <w:sz w:val="20"/>
                <w:szCs w:val="20"/>
              </w:rPr>
            </w:pPr>
          </w:p>
        </w:tc>
        <w:tc>
          <w:tcPr>
            <w:tcW w:w="993" w:type="dxa"/>
            <w:tcBorders>
              <w:bottom w:val="single" w:sz="4" w:space="0" w:color="auto"/>
            </w:tcBorders>
          </w:tcPr>
          <w:p w14:paraId="3B046DF1" w14:textId="77777777" w:rsidR="005A40BF" w:rsidRPr="005A40BF" w:rsidRDefault="005A40BF" w:rsidP="005A40BF">
            <w:pPr>
              <w:spacing w:line="259" w:lineRule="auto"/>
              <w:jc w:val="both"/>
              <w:rPr>
                <w:rFonts w:ascii="Garamond" w:hAnsi="Garamond"/>
                <w:bCs/>
                <w:iCs/>
                <w:sz w:val="20"/>
                <w:szCs w:val="20"/>
              </w:rPr>
            </w:pPr>
          </w:p>
        </w:tc>
        <w:tc>
          <w:tcPr>
            <w:tcW w:w="1134" w:type="dxa"/>
            <w:tcBorders>
              <w:bottom w:val="single" w:sz="4" w:space="0" w:color="auto"/>
            </w:tcBorders>
          </w:tcPr>
          <w:p w14:paraId="33FA98DC" w14:textId="77777777" w:rsidR="005A40BF" w:rsidRPr="005A40BF" w:rsidRDefault="005A40BF" w:rsidP="005A40BF">
            <w:pPr>
              <w:spacing w:line="259" w:lineRule="auto"/>
              <w:jc w:val="both"/>
              <w:rPr>
                <w:rFonts w:ascii="Garamond" w:hAnsi="Garamond"/>
                <w:bCs/>
                <w:iCs/>
                <w:sz w:val="20"/>
                <w:szCs w:val="20"/>
              </w:rPr>
            </w:pPr>
          </w:p>
        </w:tc>
      </w:tr>
    </w:tbl>
    <w:p w14:paraId="7DDA7D08" w14:textId="77777777" w:rsidR="005A40BF" w:rsidRPr="0084061C" w:rsidRDefault="005A40BF" w:rsidP="005A40BF">
      <w:pPr>
        <w:spacing w:line="259" w:lineRule="auto"/>
        <w:jc w:val="both"/>
        <w:rPr>
          <w:rFonts w:ascii="Garamond" w:hAnsi="Garamond"/>
          <w:bCs/>
          <w:iCs/>
          <w:sz w:val="16"/>
          <w:szCs w:val="16"/>
          <w:lang w:val="en-NG"/>
        </w:rPr>
      </w:pPr>
      <w:r w:rsidRPr="0084061C">
        <w:rPr>
          <w:rFonts w:ascii="Garamond" w:hAnsi="Garamond"/>
          <w:bCs/>
          <w:iCs/>
          <w:sz w:val="16"/>
          <w:szCs w:val="16"/>
          <w:lang w:val="en-NG"/>
        </w:rPr>
        <w:t xml:space="preserve">Keys: NC = Control group without treatment, PC = Control group treated with artesunate, SEM = standard error of the mean; CI = confidence interval, df = degree of freedom, *p &lt; 0.05, one-way analysis of variance followed by the Turkey Honest Significant Difference (HSD)’s post hoc test). </w:t>
      </w:r>
    </w:p>
    <w:p w14:paraId="41FB9477" w14:textId="77777777" w:rsidR="005A40BF" w:rsidRPr="005A40BF" w:rsidRDefault="005A40BF" w:rsidP="005A40BF">
      <w:pPr>
        <w:spacing w:line="259" w:lineRule="auto"/>
        <w:jc w:val="both"/>
        <w:rPr>
          <w:rFonts w:ascii="Garamond" w:hAnsi="Garamond"/>
          <w:bCs/>
          <w:iCs/>
          <w:sz w:val="20"/>
          <w:szCs w:val="20"/>
          <w:lang w:val="en-NG"/>
        </w:rPr>
      </w:pPr>
    </w:p>
    <w:p w14:paraId="6B7B7D1C" w14:textId="77777777" w:rsidR="005A40BF" w:rsidRPr="005A40BF" w:rsidRDefault="005A40BF" w:rsidP="005A40BF">
      <w:pPr>
        <w:spacing w:line="259" w:lineRule="auto"/>
        <w:jc w:val="both"/>
        <w:rPr>
          <w:rFonts w:ascii="Garamond" w:hAnsi="Garamond"/>
          <w:bCs/>
          <w:iCs/>
          <w:sz w:val="20"/>
          <w:szCs w:val="20"/>
          <w:lang w:val="en-NG"/>
        </w:rPr>
      </w:pPr>
    </w:p>
    <w:p w14:paraId="7B7B79E1"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lang w:val="en-NG"/>
        </w:rPr>
        <w:lastRenderedPageBreak/>
        <w:t>No mortality was observed within the follow-up period of carrying out oral toxicity testing (Limit test method) at a test dose of 2000mg/kg, it means that the 50% lethal dose (LD</w:t>
      </w:r>
      <w:r w:rsidRPr="005A40BF">
        <w:rPr>
          <w:rFonts w:ascii="Garamond" w:hAnsi="Garamond"/>
          <w:bCs/>
          <w:iCs/>
          <w:sz w:val="20"/>
          <w:szCs w:val="20"/>
          <w:vertAlign w:val="subscript"/>
          <w:lang w:val="en-NG"/>
        </w:rPr>
        <w:t>50</w:t>
      </w:r>
      <w:r w:rsidRPr="005A40BF">
        <w:rPr>
          <w:rFonts w:ascii="Garamond" w:hAnsi="Garamond"/>
          <w:bCs/>
          <w:iCs/>
          <w:sz w:val="20"/>
          <w:szCs w:val="20"/>
          <w:lang w:val="en-NG"/>
        </w:rPr>
        <w:t xml:space="preserve">) was greater than 2000mg/kg, which implies that the extract is orally safe. There were also no signs of toxicity except that about 4 hours after administration of the test dose, few of the animals started feeling sleepy, however, this observation disappeared after approximately another 4 hours (Table 4). </w:t>
      </w:r>
    </w:p>
    <w:p w14:paraId="4AFF9D5B" w14:textId="77777777" w:rsidR="005A40BF" w:rsidRPr="005A40BF" w:rsidRDefault="005A40BF" w:rsidP="005A40BF">
      <w:pPr>
        <w:spacing w:line="259" w:lineRule="auto"/>
        <w:jc w:val="both"/>
        <w:rPr>
          <w:rFonts w:ascii="Garamond" w:hAnsi="Garamond"/>
          <w:bCs/>
          <w:iCs/>
          <w:sz w:val="20"/>
          <w:szCs w:val="20"/>
          <w:lang w:val="en-NG"/>
        </w:rPr>
      </w:pPr>
      <w:r w:rsidRPr="005A40BF">
        <w:rPr>
          <w:rFonts w:ascii="Garamond" w:hAnsi="Garamond"/>
          <w:bCs/>
          <w:iCs/>
          <w:sz w:val="20"/>
          <w:szCs w:val="20"/>
          <w:lang w:val="en-NG"/>
        </w:rPr>
        <w:t>Based on the result of the LD</w:t>
      </w:r>
      <w:r w:rsidRPr="005A40BF">
        <w:rPr>
          <w:rFonts w:ascii="Garamond" w:hAnsi="Garamond"/>
          <w:bCs/>
          <w:iCs/>
          <w:sz w:val="20"/>
          <w:szCs w:val="20"/>
          <w:vertAlign w:val="subscript"/>
          <w:lang w:val="en-NG"/>
        </w:rPr>
        <w:t>50</w:t>
      </w:r>
      <w:r w:rsidRPr="005A40BF">
        <w:rPr>
          <w:rFonts w:ascii="Garamond" w:hAnsi="Garamond"/>
          <w:bCs/>
          <w:iCs/>
          <w:sz w:val="20"/>
          <w:szCs w:val="20"/>
          <w:lang w:val="en-NG"/>
        </w:rPr>
        <w:t xml:space="preserve"> which is &gt; 2000 mg/kg, and ED</w:t>
      </w:r>
      <w:r w:rsidRPr="005A40BF">
        <w:rPr>
          <w:rFonts w:ascii="Garamond" w:hAnsi="Garamond"/>
          <w:bCs/>
          <w:iCs/>
          <w:sz w:val="20"/>
          <w:szCs w:val="20"/>
          <w:vertAlign w:val="subscript"/>
          <w:lang w:val="en-NG"/>
        </w:rPr>
        <w:t>50</w:t>
      </w:r>
      <w:r w:rsidRPr="005A40BF">
        <w:rPr>
          <w:rFonts w:ascii="Garamond" w:hAnsi="Garamond"/>
          <w:bCs/>
          <w:iCs/>
          <w:sz w:val="20"/>
          <w:szCs w:val="20"/>
          <w:lang w:val="en-NG"/>
        </w:rPr>
        <w:t xml:space="preserve"> which was 95.85 mg/kg. The therapeutic index for the extract of </w:t>
      </w:r>
      <w:r w:rsidRPr="005A40BF">
        <w:rPr>
          <w:rFonts w:ascii="Garamond" w:hAnsi="Garamond"/>
          <w:bCs/>
          <w:i/>
          <w:iCs/>
          <w:sz w:val="20"/>
          <w:szCs w:val="20"/>
          <w:lang w:val="en-NG"/>
        </w:rPr>
        <w:t>A. heterophyllus</w:t>
      </w:r>
      <w:r w:rsidRPr="005A40BF">
        <w:rPr>
          <w:rFonts w:ascii="Garamond" w:hAnsi="Garamond"/>
          <w:bCs/>
          <w:iCs/>
          <w:sz w:val="20"/>
          <w:szCs w:val="20"/>
          <w:lang w:val="en-NG"/>
        </w:rPr>
        <w:t xml:space="preserve"> was estimated to be &gt; 21.</w:t>
      </w:r>
    </w:p>
    <w:p w14:paraId="4B448632" w14:textId="77777777" w:rsidR="005A40BF" w:rsidRDefault="005A40BF" w:rsidP="005A40BF">
      <w:pPr>
        <w:spacing w:line="259" w:lineRule="auto"/>
        <w:jc w:val="both"/>
        <w:rPr>
          <w:rFonts w:ascii="Garamond" w:hAnsi="Garamond"/>
          <w:bCs/>
          <w:iCs/>
          <w:sz w:val="20"/>
          <w:szCs w:val="20"/>
          <w:lang w:val="en-NG"/>
        </w:rPr>
      </w:pPr>
    </w:p>
    <w:p w14:paraId="23302406" w14:textId="15C08797" w:rsidR="005A40BF" w:rsidRPr="005A40BF" w:rsidRDefault="005A40BF" w:rsidP="005A40BF">
      <w:pPr>
        <w:spacing w:line="259" w:lineRule="auto"/>
        <w:jc w:val="both"/>
        <w:rPr>
          <w:rFonts w:ascii="Garamond" w:hAnsi="Garamond"/>
          <w:b/>
          <w:bCs/>
          <w:iCs/>
          <w:sz w:val="20"/>
          <w:szCs w:val="20"/>
          <w:lang w:val="en-NG"/>
        </w:rPr>
      </w:pPr>
      <w:r w:rsidRPr="005A40BF">
        <w:rPr>
          <w:rFonts w:ascii="Garamond" w:hAnsi="Garamond"/>
          <w:b/>
          <w:bCs/>
          <w:iCs/>
          <w:sz w:val="20"/>
          <w:szCs w:val="20"/>
          <w:lang w:val="en-NG"/>
        </w:rPr>
        <w:t>Table 4</w:t>
      </w:r>
      <w:r>
        <w:rPr>
          <w:rFonts w:ascii="Garamond" w:hAnsi="Garamond"/>
          <w:b/>
          <w:bCs/>
          <w:iCs/>
          <w:sz w:val="20"/>
          <w:szCs w:val="20"/>
          <w:lang w:val="en-NG"/>
        </w:rPr>
        <w:t xml:space="preserve">: </w:t>
      </w:r>
      <w:r w:rsidRPr="005A40BF">
        <w:rPr>
          <w:rFonts w:ascii="Garamond" w:hAnsi="Garamond"/>
          <w:iCs/>
          <w:sz w:val="20"/>
          <w:szCs w:val="20"/>
          <w:lang w:val="en-NG"/>
        </w:rPr>
        <w:t>Acute oral toxicity data sheet for control and extract treated rats</w:t>
      </w:r>
      <w:bookmarkStart w:id="12" w:name="_Hlk224131704"/>
    </w:p>
    <w:tbl>
      <w:tblPr>
        <w:tblStyle w:val="TableGrid"/>
        <w:tblpPr w:leftFromText="180" w:rightFromText="180" w:vertAnchor="page" w:horzAnchor="margin" w:tblpY="7815"/>
        <w:tblW w:w="97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1"/>
        <w:gridCol w:w="1273"/>
        <w:gridCol w:w="1031"/>
        <w:gridCol w:w="686"/>
        <w:gridCol w:w="802"/>
        <w:gridCol w:w="458"/>
        <w:gridCol w:w="572"/>
        <w:gridCol w:w="571"/>
        <w:gridCol w:w="458"/>
        <w:gridCol w:w="572"/>
        <w:gridCol w:w="572"/>
        <w:gridCol w:w="686"/>
        <w:gridCol w:w="458"/>
        <w:gridCol w:w="458"/>
        <w:gridCol w:w="582"/>
        <w:gridCol w:w="29"/>
      </w:tblGrid>
      <w:tr w:rsidR="005A40BF" w:rsidRPr="005A40BF" w14:paraId="637AD1E0" w14:textId="77777777" w:rsidTr="005A40BF">
        <w:trPr>
          <w:trHeight w:val="682"/>
        </w:trPr>
        <w:tc>
          <w:tcPr>
            <w:tcW w:w="561" w:type="dxa"/>
            <w:tcBorders>
              <w:top w:val="single" w:sz="4" w:space="0" w:color="auto"/>
              <w:bottom w:val="single" w:sz="4" w:space="0" w:color="auto"/>
            </w:tcBorders>
          </w:tcPr>
          <w:p w14:paraId="23C625C1" w14:textId="77777777" w:rsidR="005A40BF" w:rsidRPr="005A40BF" w:rsidRDefault="005A40BF" w:rsidP="005A40BF">
            <w:pPr>
              <w:spacing w:line="259" w:lineRule="auto"/>
              <w:jc w:val="both"/>
              <w:rPr>
                <w:rFonts w:ascii="Garamond" w:hAnsi="Garamond"/>
                <w:bCs/>
                <w:iCs/>
                <w:sz w:val="20"/>
                <w:szCs w:val="20"/>
              </w:rPr>
            </w:pPr>
            <w:bookmarkStart w:id="13" w:name="_Hlk224130442"/>
            <w:bookmarkEnd w:id="12"/>
            <w:r w:rsidRPr="005A40BF">
              <w:rPr>
                <w:rFonts w:ascii="Garamond" w:hAnsi="Garamond"/>
                <w:bCs/>
                <w:iCs/>
                <w:sz w:val="20"/>
                <w:szCs w:val="20"/>
              </w:rPr>
              <w:t>No of animals</w:t>
            </w:r>
          </w:p>
        </w:tc>
        <w:tc>
          <w:tcPr>
            <w:tcW w:w="9208" w:type="dxa"/>
            <w:gridSpan w:val="15"/>
            <w:tcBorders>
              <w:top w:val="single" w:sz="4" w:space="0" w:color="auto"/>
            </w:tcBorders>
          </w:tcPr>
          <w:p w14:paraId="03A31EAE"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 xml:space="preserve"> Toxicity                                        ANS &amp; CNS Observations                                                            </w:t>
            </w:r>
            <w:proofErr w:type="spellStart"/>
            <w:r w:rsidRPr="005A40BF">
              <w:rPr>
                <w:rFonts w:ascii="Garamond" w:hAnsi="Garamond"/>
                <w:bCs/>
                <w:iCs/>
                <w:sz w:val="20"/>
                <w:szCs w:val="20"/>
              </w:rPr>
              <w:t>Behavioural</w:t>
            </w:r>
            <w:proofErr w:type="spellEnd"/>
            <w:r w:rsidRPr="005A40BF">
              <w:rPr>
                <w:rFonts w:ascii="Garamond" w:hAnsi="Garamond"/>
                <w:bCs/>
                <w:iCs/>
                <w:sz w:val="20"/>
                <w:szCs w:val="20"/>
              </w:rPr>
              <w:t xml:space="preserve"> </w:t>
            </w:r>
          </w:p>
          <w:p w14:paraId="23DCAA37"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 xml:space="preserve">                                                                                                                                                             Observations</w:t>
            </w:r>
          </w:p>
        </w:tc>
      </w:tr>
      <w:tr w:rsidR="005A40BF" w:rsidRPr="005A40BF" w14:paraId="16004A5F" w14:textId="77777777" w:rsidTr="005A40BF">
        <w:trPr>
          <w:gridAfter w:val="1"/>
          <w:wAfter w:w="29" w:type="dxa"/>
          <w:trHeight w:val="424"/>
        </w:trPr>
        <w:tc>
          <w:tcPr>
            <w:tcW w:w="561" w:type="dxa"/>
            <w:tcBorders>
              <w:top w:val="single" w:sz="4" w:space="0" w:color="auto"/>
            </w:tcBorders>
          </w:tcPr>
          <w:p w14:paraId="79D26CAB" w14:textId="77777777" w:rsidR="005A40BF" w:rsidRPr="005A40BF" w:rsidRDefault="005A40BF" w:rsidP="005A40BF">
            <w:pPr>
              <w:spacing w:line="259" w:lineRule="auto"/>
              <w:jc w:val="both"/>
              <w:rPr>
                <w:rFonts w:ascii="Garamond" w:hAnsi="Garamond"/>
                <w:bCs/>
                <w:iCs/>
                <w:sz w:val="20"/>
                <w:szCs w:val="20"/>
              </w:rPr>
            </w:pPr>
          </w:p>
        </w:tc>
        <w:tc>
          <w:tcPr>
            <w:tcW w:w="1273" w:type="dxa"/>
            <w:tcBorders>
              <w:top w:val="single" w:sz="4" w:space="0" w:color="auto"/>
            </w:tcBorders>
          </w:tcPr>
          <w:p w14:paraId="189FC459"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Onset   Stop</w:t>
            </w:r>
          </w:p>
        </w:tc>
        <w:tc>
          <w:tcPr>
            <w:tcW w:w="1031" w:type="dxa"/>
            <w:tcBorders>
              <w:top w:val="single" w:sz="4" w:space="0" w:color="auto"/>
            </w:tcBorders>
          </w:tcPr>
          <w:p w14:paraId="443C5749"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Time of death</w:t>
            </w:r>
          </w:p>
        </w:tc>
        <w:tc>
          <w:tcPr>
            <w:tcW w:w="686" w:type="dxa"/>
            <w:tcBorders>
              <w:top w:val="single" w:sz="4" w:space="0" w:color="auto"/>
            </w:tcBorders>
          </w:tcPr>
          <w:p w14:paraId="59ED53E6"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Skin &amp; fur</w:t>
            </w:r>
          </w:p>
        </w:tc>
        <w:tc>
          <w:tcPr>
            <w:tcW w:w="802" w:type="dxa"/>
            <w:tcBorders>
              <w:top w:val="single" w:sz="4" w:space="0" w:color="auto"/>
            </w:tcBorders>
          </w:tcPr>
          <w:p w14:paraId="00B88A3B"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Eye Lacri</w:t>
            </w:r>
          </w:p>
        </w:tc>
        <w:tc>
          <w:tcPr>
            <w:tcW w:w="458" w:type="dxa"/>
            <w:tcBorders>
              <w:top w:val="single" w:sz="4" w:space="0" w:color="auto"/>
            </w:tcBorders>
          </w:tcPr>
          <w:p w14:paraId="429BAD95"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Sali</w:t>
            </w:r>
          </w:p>
        </w:tc>
        <w:tc>
          <w:tcPr>
            <w:tcW w:w="572" w:type="dxa"/>
            <w:tcBorders>
              <w:top w:val="single" w:sz="4" w:space="0" w:color="auto"/>
            </w:tcBorders>
          </w:tcPr>
          <w:p w14:paraId="695F1727"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Dia</w:t>
            </w:r>
          </w:p>
        </w:tc>
        <w:tc>
          <w:tcPr>
            <w:tcW w:w="571" w:type="dxa"/>
            <w:tcBorders>
              <w:top w:val="single" w:sz="4" w:space="0" w:color="auto"/>
            </w:tcBorders>
          </w:tcPr>
          <w:p w14:paraId="0008194D"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Res</w:t>
            </w:r>
          </w:p>
        </w:tc>
        <w:tc>
          <w:tcPr>
            <w:tcW w:w="458" w:type="dxa"/>
            <w:tcBorders>
              <w:top w:val="single" w:sz="4" w:space="0" w:color="auto"/>
            </w:tcBorders>
          </w:tcPr>
          <w:p w14:paraId="51BF4230"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Let</w:t>
            </w:r>
          </w:p>
        </w:tc>
        <w:tc>
          <w:tcPr>
            <w:tcW w:w="572" w:type="dxa"/>
            <w:tcBorders>
              <w:top w:val="single" w:sz="4" w:space="0" w:color="auto"/>
            </w:tcBorders>
          </w:tcPr>
          <w:p w14:paraId="315B1384"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Sleep</w:t>
            </w:r>
          </w:p>
        </w:tc>
        <w:tc>
          <w:tcPr>
            <w:tcW w:w="572" w:type="dxa"/>
            <w:tcBorders>
              <w:top w:val="single" w:sz="4" w:space="0" w:color="auto"/>
            </w:tcBorders>
          </w:tcPr>
          <w:p w14:paraId="0E087B89"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Con</w:t>
            </w:r>
          </w:p>
        </w:tc>
        <w:tc>
          <w:tcPr>
            <w:tcW w:w="686" w:type="dxa"/>
            <w:tcBorders>
              <w:top w:val="single" w:sz="4" w:space="0" w:color="auto"/>
            </w:tcBorders>
          </w:tcPr>
          <w:p w14:paraId="7677DC4E"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Coma</w:t>
            </w:r>
          </w:p>
        </w:tc>
        <w:tc>
          <w:tcPr>
            <w:tcW w:w="458" w:type="dxa"/>
            <w:tcBorders>
              <w:top w:val="single" w:sz="4" w:space="0" w:color="auto"/>
            </w:tcBorders>
          </w:tcPr>
          <w:p w14:paraId="6F4B9C9C"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Ste</w:t>
            </w:r>
          </w:p>
        </w:tc>
        <w:tc>
          <w:tcPr>
            <w:tcW w:w="458" w:type="dxa"/>
            <w:tcBorders>
              <w:top w:val="single" w:sz="4" w:space="0" w:color="auto"/>
            </w:tcBorders>
          </w:tcPr>
          <w:p w14:paraId="42C40BAD"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Stu</w:t>
            </w:r>
          </w:p>
        </w:tc>
        <w:tc>
          <w:tcPr>
            <w:tcW w:w="582" w:type="dxa"/>
            <w:tcBorders>
              <w:top w:val="single" w:sz="4" w:space="0" w:color="auto"/>
            </w:tcBorders>
          </w:tcPr>
          <w:p w14:paraId="7600C130" w14:textId="77777777" w:rsidR="005A40BF" w:rsidRPr="005A40BF" w:rsidRDefault="005A40BF" w:rsidP="005A40BF">
            <w:pPr>
              <w:spacing w:line="259" w:lineRule="auto"/>
              <w:jc w:val="both"/>
              <w:rPr>
                <w:rFonts w:ascii="Garamond" w:hAnsi="Garamond"/>
                <w:bCs/>
                <w:iCs/>
                <w:sz w:val="20"/>
                <w:szCs w:val="20"/>
              </w:rPr>
            </w:pPr>
            <w:proofErr w:type="spellStart"/>
            <w:r w:rsidRPr="005A40BF">
              <w:rPr>
                <w:rFonts w:ascii="Garamond" w:hAnsi="Garamond"/>
                <w:bCs/>
                <w:iCs/>
                <w:sz w:val="20"/>
                <w:szCs w:val="20"/>
              </w:rPr>
              <w:t>Retr</w:t>
            </w:r>
            <w:proofErr w:type="spellEnd"/>
          </w:p>
        </w:tc>
      </w:tr>
      <w:tr w:rsidR="005A40BF" w:rsidRPr="005A40BF" w14:paraId="0B67E947" w14:textId="77777777" w:rsidTr="005A40BF">
        <w:trPr>
          <w:gridAfter w:val="1"/>
          <w:wAfter w:w="29" w:type="dxa"/>
          <w:trHeight w:val="355"/>
        </w:trPr>
        <w:tc>
          <w:tcPr>
            <w:tcW w:w="561" w:type="dxa"/>
            <w:tcBorders>
              <w:bottom w:val="single" w:sz="4" w:space="0" w:color="auto"/>
            </w:tcBorders>
          </w:tcPr>
          <w:p w14:paraId="2431E2C6"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 xml:space="preserve"> (5)</w:t>
            </w:r>
          </w:p>
        </w:tc>
        <w:tc>
          <w:tcPr>
            <w:tcW w:w="1273" w:type="dxa"/>
            <w:tcBorders>
              <w:bottom w:val="single" w:sz="4" w:space="0" w:color="auto"/>
            </w:tcBorders>
          </w:tcPr>
          <w:p w14:paraId="28D58B9D"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 xml:space="preserve">Nil     </w:t>
            </w:r>
            <w:proofErr w:type="spellStart"/>
            <w:r w:rsidRPr="005A40BF">
              <w:rPr>
                <w:rFonts w:ascii="Garamond" w:hAnsi="Garamond"/>
                <w:bCs/>
                <w:iCs/>
                <w:sz w:val="20"/>
                <w:szCs w:val="20"/>
              </w:rPr>
              <w:t>Nil</w:t>
            </w:r>
            <w:proofErr w:type="spellEnd"/>
          </w:p>
        </w:tc>
        <w:tc>
          <w:tcPr>
            <w:tcW w:w="1031" w:type="dxa"/>
            <w:tcBorders>
              <w:bottom w:val="single" w:sz="4" w:space="0" w:color="auto"/>
            </w:tcBorders>
          </w:tcPr>
          <w:p w14:paraId="2359DD07"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0</w:t>
            </w:r>
          </w:p>
        </w:tc>
        <w:tc>
          <w:tcPr>
            <w:tcW w:w="686" w:type="dxa"/>
            <w:tcBorders>
              <w:bottom w:val="single" w:sz="4" w:space="0" w:color="auto"/>
            </w:tcBorders>
          </w:tcPr>
          <w:p w14:paraId="49812AF6"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x</w:t>
            </w:r>
          </w:p>
        </w:tc>
        <w:tc>
          <w:tcPr>
            <w:tcW w:w="802" w:type="dxa"/>
            <w:tcBorders>
              <w:bottom w:val="single" w:sz="4" w:space="0" w:color="auto"/>
            </w:tcBorders>
          </w:tcPr>
          <w:p w14:paraId="7B59FBE6"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x</w:t>
            </w:r>
          </w:p>
        </w:tc>
        <w:tc>
          <w:tcPr>
            <w:tcW w:w="458" w:type="dxa"/>
            <w:tcBorders>
              <w:bottom w:val="single" w:sz="4" w:space="0" w:color="auto"/>
            </w:tcBorders>
          </w:tcPr>
          <w:p w14:paraId="4621B345"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x</w:t>
            </w:r>
          </w:p>
        </w:tc>
        <w:tc>
          <w:tcPr>
            <w:tcW w:w="572" w:type="dxa"/>
            <w:tcBorders>
              <w:bottom w:val="single" w:sz="4" w:space="0" w:color="auto"/>
            </w:tcBorders>
          </w:tcPr>
          <w:p w14:paraId="15E73CB4"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x</w:t>
            </w:r>
          </w:p>
        </w:tc>
        <w:tc>
          <w:tcPr>
            <w:tcW w:w="571" w:type="dxa"/>
            <w:tcBorders>
              <w:bottom w:val="single" w:sz="4" w:space="0" w:color="auto"/>
            </w:tcBorders>
          </w:tcPr>
          <w:p w14:paraId="631088AD"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x</w:t>
            </w:r>
          </w:p>
        </w:tc>
        <w:tc>
          <w:tcPr>
            <w:tcW w:w="458" w:type="dxa"/>
            <w:tcBorders>
              <w:bottom w:val="single" w:sz="4" w:space="0" w:color="auto"/>
            </w:tcBorders>
          </w:tcPr>
          <w:p w14:paraId="0C583309"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x</w:t>
            </w:r>
          </w:p>
        </w:tc>
        <w:tc>
          <w:tcPr>
            <w:tcW w:w="572" w:type="dxa"/>
            <w:tcBorders>
              <w:bottom w:val="single" w:sz="4" w:space="0" w:color="auto"/>
            </w:tcBorders>
          </w:tcPr>
          <w:p w14:paraId="2EAAA01C"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w:t>
            </w:r>
          </w:p>
        </w:tc>
        <w:tc>
          <w:tcPr>
            <w:tcW w:w="572" w:type="dxa"/>
            <w:tcBorders>
              <w:bottom w:val="single" w:sz="4" w:space="0" w:color="auto"/>
            </w:tcBorders>
          </w:tcPr>
          <w:p w14:paraId="62CD22B8"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x</w:t>
            </w:r>
          </w:p>
        </w:tc>
        <w:tc>
          <w:tcPr>
            <w:tcW w:w="686" w:type="dxa"/>
            <w:tcBorders>
              <w:bottom w:val="single" w:sz="4" w:space="0" w:color="auto"/>
            </w:tcBorders>
          </w:tcPr>
          <w:p w14:paraId="72B9D0CC"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X</w:t>
            </w:r>
          </w:p>
        </w:tc>
        <w:tc>
          <w:tcPr>
            <w:tcW w:w="458" w:type="dxa"/>
            <w:tcBorders>
              <w:bottom w:val="single" w:sz="4" w:space="0" w:color="auto"/>
            </w:tcBorders>
          </w:tcPr>
          <w:p w14:paraId="5D8C07C9"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x</w:t>
            </w:r>
          </w:p>
        </w:tc>
        <w:tc>
          <w:tcPr>
            <w:tcW w:w="458" w:type="dxa"/>
            <w:tcBorders>
              <w:bottom w:val="single" w:sz="4" w:space="0" w:color="auto"/>
            </w:tcBorders>
          </w:tcPr>
          <w:p w14:paraId="60139697"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x</w:t>
            </w:r>
          </w:p>
        </w:tc>
        <w:tc>
          <w:tcPr>
            <w:tcW w:w="582" w:type="dxa"/>
            <w:tcBorders>
              <w:bottom w:val="single" w:sz="4" w:space="0" w:color="auto"/>
            </w:tcBorders>
          </w:tcPr>
          <w:p w14:paraId="6A850043" w14:textId="77777777" w:rsidR="005A40BF" w:rsidRPr="005A40BF" w:rsidRDefault="005A40BF" w:rsidP="005A40BF">
            <w:pPr>
              <w:spacing w:line="259" w:lineRule="auto"/>
              <w:jc w:val="both"/>
              <w:rPr>
                <w:rFonts w:ascii="Garamond" w:hAnsi="Garamond"/>
                <w:bCs/>
                <w:iCs/>
                <w:sz w:val="20"/>
                <w:szCs w:val="20"/>
              </w:rPr>
            </w:pPr>
            <w:r w:rsidRPr="005A40BF">
              <w:rPr>
                <w:rFonts w:ascii="Garamond" w:hAnsi="Garamond"/>
                <w:bCs/>
                <w:iCs/>
                <w:sz w:val="20"/>
                <w:szCs w:val="20"/>
              </w:rPr>
              <w:t>x</w:t>
            </w:r>
          </w:p>
        </w:tc>
      </w:tr>
      <w:bookmarkEnd w:id="13"/>
    </w:tbl>
    <w:p w14:paraId="08E2C9E8" w14:textId="77777777" w:rsidR="005A40BF" w:rsidRPr="005A40BF" w:rsidRDefault="005A40BF" w:rsidP="005A40BF">
      <w:pPr>
        <w:spacing w:line="259" w:lineRule="auto"/>
        <w:jc w:val="both"/>
        <w:rPr>
          <w:rFonts w:ascii="Garamond" w:hAnsi="Garamond"/>
          <w:b/>
          <w:bCs/>
          <w:iCs/>
          <w:sz w:val="20"/>
          <w:szCs w:val="20"/>
          <w:lang w:val="en-NG"/>
        </w:rPr>
      </w:pPr>
    </w:p>
    <w:p w14:paraId="7A02AEA4" w14:textId="77777777" w:rsidR="005A40BF" w:rsidRPr="005A40BF" w:rsidRDefault="005A40BF" w:rsidP="005A40BF">
      <w:pPr>
        <w:spacing w:line="259" w:lineRule="auto"/>
        <w:jc w:val="both"/>
        <w:rPr>
          <w:rFonts w:ascii="Garamond" w:hAnsi="Garamond"/>
          <w:bCs/>
          <w:iCs/>
          <w:sz w:val="20"/>
          <w:szCs w:val="20"/>
          <w:lang w:val="en-NG"/>
        </w:rPr>
      </w:pPr>
      <w:r w:rsidRPr="005A40BF">
        <w:rPr>
          <w:rFonts w:ascii="Garamond" w:hAnsi="Garamond"/>
          <w:bCs/>
          <w:iCs/>
          <w:sz w:val="20"/>
          <w:szCs w:val="20"/>
          <w:lang w:val="en-NG"/>
        </w:rPr>
        <w:t>Keys:  Test: tested animals; Lacri: lacrimation; Sali: salivation; Dia: diarrhoea; Res: respiratory distress; Let: lethargy; Con: convulsion; Ste: stereotypy; Stu: Stupor; Retr: retropulsion; x: absence of signs; √: presence of signs</w:t>
      </w:r>
    </w:p>
    <w:p w14:paraId="6161AC2C" w14:textId="77777777" w:rsidR="005A40BF" w:rsidRDefault="005A40BF" w:rsidP="007A1526">
      <w:pPr>
        <w:spacing w:line="259" w:lineRule="auto"/>
        <w:jc w:val="both"/>
        <w:rPr>
          <w:rFonts w:ascii="Garamond" w:hAnsi="Garamond"/>
          <w:bCs/>
          <w:iCs/>
          <w:sz w:val="20"/>
          <w:szCs w:val="20"/>
        </w:rPr>
      </w:pPr>
    </w:p>
    <w:p w14:paraId="2C6D0197" w14:textId="77777777" w:rsidR="000D2CEF" w:rsidRDefault="000D2CEF" w:rsidP="007A1526">
      <w:pPr>
        <w:spacing w:line="259" w:lineRule="auto"/>
        <w:jc w:val="both"/>
        <w:rPr>
          <w:rFonts w:ascii="Garamond" w:hAnsi="Garamond"/>
          <w:bCs/>
          <w:iCs/>
          <w:sz w:val="20"/>
          <w:szCs w:val="20"/>
        </w:rPr>
        <w:sectPr w:rsidR="000D2CEF" w:rsidSect="003B659C">
          <w:type w:val="continuous"/>
          <w:pgSz w:w="12240" w:h="15840"/>
          <w:pgMar w:top="1440" w:right="1440" w:bottom="1440" w:left="1440" w:header="720" w:footer="720" w:gutter="0"/>
          <w:cols w:space="720"/>
          <w:titlePg/>
          <w:docGrid w:linePitch="360"/>
        </w:sectPr>
      </w:pPr>
    </w:p>
    <w:p w14:paraId="357BFBD2" w14:textId="7DB9E3E9" w:rsidR="005A40BF" w:rsidRPr="0084061C" w:rsidRDefault="0084061C" w:rsidP="005A40BF">
      <w:pPr>
        <w:spacing w:line="259" w:lineRule="auto"/>
        <w:jc w:val="both"/>
        <w:rPr>
          <w:rFonts w:ascii="Garamond" w:hAnsi="Garamond"/>
          <w:b/>
          <w:bCs/>
          <w:iCs/>
          <w:sz w:val="22"/>
          <w:szCs w:val="22"/>
          <w:lang w:val="en-NG"/>
        </w:rPr>
      </w:pPr>
      <w:r w:rsidRPr="0084061C">
        <w:rPr>
          <w:rFonts w:ascii="Garamond" w:hAnsi="Garamond"/>
          <w:b/>
          <w:bCs/>
          <w:iCs/>
          <w:sz w:val="22"/>
          <w:szCs w:val="22"/>
          <w:lang w:val="en-NG"/>
        </w:rPr>
        <w:t>DISCUSSION</w:t>
      </w:r>
    </w:p>
    <w:p w14:paraId="13A4E8CC" w14:textId="1B9A14BB" w:rsidR="000D2CEF" w:rsidRDefault="005A40BF" w:rsidP="005A40BF">
      <w:pPr>
        <w:spacing w:line="259" w:lineRule="auto"/>
        <w:jc w:val="both"/>
        <w:rPr>
          <w:rFonts w:ascii="Garamond" w:hAnsi="Garamond"/>
          <w:bCs/>
          <w:iCs/>
          <w:sz w:val="20"/>
          <w:szCs w:val="20"/>
          <w:lang w:val="en-NG"/>
        </w:rPr>
      </w:pPr>
      <w:r w:rsidRPr="005A40BF">
        <w:rPr>
          <w:rFonts w:ascii="Garamond" w:hAnsi="Garamond"/>
          <w:bCs/>
          <w:iCs/>
          <w:sz w:val="20"/>
          <w:szCs w:val="20"/>
          <w:lang w:val="en-NG"/>
        </w:rPr>
        <w:t xml:space="preserve">This study evaluated the in vivo antiplasmodial efficacy and safety profile of the methanolic stem extract of </w:t>
      </w:r>
      <w:r w:rsidRPr="005A40BF">
        <w:rPr>
          <w:rFonts w:ascii="Garamond" w:hAnsi="Garamond"/>
          <w:bCs/>
          <w:i/>
          <w:iCs/>
          <w:sz w:val="20"/>
          <w:szCs w:val="20"/>
          <w:lang w:val="en-NG"/>
        </w:rPr>
        <w:t>Artocarpus heterophyllus</w:t>
      </w:r>
      <w:r w:rsidRPr="005A40BF">
        <w:rPr>
          <w:rFonts w:ascii="Garamond" w:hAnsi="Garamond"/>
          <w:bCs/>
          <w:iCs/>
          <w:sz w:val="20"/>
          <w:szCs w:val="20"/>
          <w:lang w:val="en-NG"/>
        </w:rPr>
        <w:t>, and the findings provide important insights into its potential as a source of antimalarial agents</w:t>
      </w:r>
      <w:r w:rsidRPr="005A40BF">
        <w:rPr>
          <w:rFonts w:ascii="Garamond" w:hAnsi="Garamond"/>
          <w:bCs/>
          <w:iCs/>
          <w:sz w:val="20"/>
          <w:szCs w:val="20"/>
        </w:rPr>
        <w:t xml:space="preserve">. </w:t>
      </w:r>
      <w:r w:rsidRPr="005A40BF">
        <w:rPr>
          <w:rFonts w:ascii="Garamond" w:hAnsi="Garamond"/>
          <w:bCs/>
          <w:iCs/>
          <w:sz w:val="20"/>
          <w:szCs w:val="20"/>
          <w:lang w:val="en-NG"/>
        </w:rPr>
        <w:t xml:space="preserve">In this study, the antiplasmodial activity of </w:t>
      </w:r>
      <w:r w:rsidRPr="005A40BF">
        <w:rPr>
          <w:rFonts w:ascii="Garamond" w:hAnsi="Garamond"/>
          <w:bCs/>
          <w:i/>
          <w:iCs/>
          <w:sz w:val="20"/>
          <w:szCs w:val="20"/>
          <w:lang w:val="en-NG"/>
        </w:rPr>
        <w:t>Artocarpus heterophyllus</w:t>
      </w:r>
      <w:r w:rsidRPr="005A40BF">
        <w:rPr>
          <w:rFonts w:ascii="Garamond" w:hAnsi="Garamond"/>
          <w:bCs/>
          <w:iCs/>
          <w:sz w:val="20"/>
          <w:szCs w:val="20"/>
          <w:lang w:val="en-NG"/>
        </w:rPr>
        <w:t xml:space="preserve"> was evaluated by comparing parasitaemia levels in animals treated with the extract, untreated controls, and those receiving a reference drug. The extract’s antiplasmodial effect was dose-dependent, with higher doses leading to lower parasitaemia. Notably, the group treated with 200 mg/kg of the extract exhibited the lowest parasitaemia on the fifth day.</w:t>
      </w:r>
    </w:p>
    <w:p w14:paraId="588EB136" w14:textId="661D7881" w:rsidR="005A40BF" w:rsidRPr="005A40BF" w:rsidRDefault="005A40BF" w:rsidP="005A40BF">
      <w:pPr>
        <w:spacing w:line="259" w:lineRule="auto"/>
        <w:jc w:val="both"/>
        <w:rPr>
          <w:rFonts w:ascii="Garamond" w:hAnsi="Garamond"/>
          <w:bCs/>
          <w:iCs/>
          <w:sz w:val="20"/>
          <w:szCs w:val="20"/>
          <w:lang w:val="en-NG"/>
        </w:rPr>
      </w:pPr>
      <w:r w:rsidRPr="005A40BF">
        <w:rPr>
          <w:rFonts w:ascii="Garamond" w:hAnsi="Garamond"/>
          <w:bCs/>
          <w:iCs/>
          <w:sz w:val="20"/>
          <w:szCs w:val="20"/>
          <w:lang w:val="en-NG"/>
        </w:rPr>
        <w:t xml:space="preserve">The percentage of growth inhibition (or suppression) of </w:t>
      </w:r>
      <w:r w:rsidRPr="005A40BF">
        <w:rPr>
          <w:rFonts w:ascii="Garamond" w:hAnsi="Garamond"/>
          <w:bCs/>
          <w:i/>
          <w:iCs/>
          <w:sz w:val="20"/>
          <w:szCs w:val="20"/>
          <w:lang w:val="en-NG"/>
        </w:rPr>
        <w:t>Plasmodium berghei</w:t>
      </w:r>
      <w:r w:rsidRPr="005A40BF">
        <w:rPr>
          <w:rFonts w:ascii="Garamond" w:hAnsi="Garamond"/>
          <w:bCs/>
          <w:iCs/>
          <w:sz w:val="20"/>
          <w:szCs w:val="20"/>
          <w:lang w:val="en-NG"/>
        </w:rPr>
        <w:t xml:space="preserve"> was derived from a formula that inversely relates it to percentage parasitaemia. The doses of 100 and 200 mg/kg achieved more than 50% parasitaemia suppression in infected animals. According to Bantie et al., any plant extract that achieves ≥50% suppression at doses of 500, 250, and 100 mg/kg body weight per day can be classified as moderate, good, and very good respectively</w:t>
      </w:r>
      <w:r w:rsidRPr="005A40BF">
        <w:rPr>
          <w:rFonts w:ascii="Garamond" w:hAnsi="Garamond"/>
          <w:bCs/>
          <w:iCs/>
          <w:sz w:val="20"/>
          <w:szCs w:val="20"/>
          <w:vertAlign w:val="superscript"/>
          <w:lang w:val="en-NG"/>
        </w:rPr>
        <w:t>19</w:t>
      </w:r>
      <w:r w:rsidRPr="005A40BF">
        <w:rPr>
          <w:rFonts w:ascii="Garamond" w:hAnsi="Garamond"/>
          <w:bCs/>
          <w:iCs/>
          <w:sz w:val="20"/>
          <w:szCs w:val="20"/>
          <w:lang w:val="en-NG"/>
        </w:rPr>
        <w:t xml:space="preserve">. Based on this classification, </w:t>
      </w:r>
      <w:r w:rsidRPr="005A40BF">
        <w:rPr>
          <w:rFonts w:ascii="Garamond" w:hAnsi="Garamond"/>
          <w:bCs/>
          <w:i/>
          <w:iCs/>
          <w:sz w:val="20"/>
          <w:szCs w:val="20"/>
          <w:lang w:val="en-NG"/>
        </w:rPr>
        <w:t>A. heterophyllus</w:t>
      </w:r>
      <w:r w:rsidRPr="005A40BF">
        <w:rPr>
          <w:rFonts w:ascii="Garamond" w:hAnsi="Garamond"/>
          <w:bCs/>
          <w:iCs/>
          <w:sz w:val="20"/>
          <w:szCs w:val="20"/>
          <w:lang w:val="en-NG"/>
        </w:rPr>
        <w:t xml:space="preserve"> extract in this study fits well into the “good” antiplasmodial activity category.</w:t>
      </w:r>
    </w:p>
    <w:p w14:paraId="4E2BBC8B" w14:textId="5C3B40E7" w:rsidR="000D2CEF" w:rsidRPr="005A40BF" w:rsidRDefault="005A40BF" w:rsidP="005A40BF">
      <w:pPr>
        <w:spacing w:line="259" w:lineRule="auto"/>
        <w:jc w:val="both"/>
        <w:rPr>
          <w:rFonts w:ascii="Garamond" w:hAnsi="Garamond"/>
          <w:bCs/>
          <w:iCs/>
          <w:sz w:val="20"/>
          <w:szCs w:val="20"/>
          <w:lang w:val="en-NG"/>
        </w:rPr>
      </w:pPr>
      <w:r w:rsidRPr="005A40BF">
        <w:rPr>
          <w:rFonts w:ascii="Garamond" w:hAnsi="Garamond"/>
          <w:bCs/>
          <w:iCs/>
          <w:sz w:val="20"/>
          <w:szCs w:val="20"/>
          <w:lang w:val="en-NG"/>
        </w:rPr>
        <w:t>Another classification by Munoz et al. proposes that an extract be considered active if its inhibition is ≥30%</w:t>
      </w:r>
      <w:r w:rsidR="0084061C">
        <w:rPr>
          <w:rFonts w:ascii="Garamond" w:hAnsi="Garamond"/>
          <w:bCs/>
          <w:iCs/>
          <w:sz w:val="20"/>
          <w:szCs w:val="20"/>
          <w:lang w:val="en-NG"/>
        </w:rPr>
        <w:t>.</w:t>
      </w:r>
      <w:r w:rsidRPr="005A40BF">
        <w:rPr>
          <w:rFonts w:ascii="Garamond" w:hAnsi="Garamond"/>
          <w:bCs/>
          <w:iCs/>
          <w:sz w:val="20"/>
          <w:szCs w:val="20"/>
          <w:vertAlign w:val="superscript"/>
          <w:lang w:val="en-NG"/>
        </w:rPr>
        <w:t>20</w:t>
      </w:r>
      <w:r w:rsidRPr="005A40BF">
        <w:rPr>
          <w:rFonts w:ascii="Garamond" w:hAnsi="Garamond"/>
          <w:bCs/>
          <w:iCs/>
          <w:sz w:val="20"/>
          <w:szCs w:val="20"/>
          <w:lang w:val="en-NG"/>
        </w:rPr>
        <w:t xml:space="preserve"> In this study, even the lowest dose (25 mg/kg) achieved </w:t>
      </w:r>
      <w:r w:rsidRPr="005A40BF">
        <w:rPr>
          <w:rFonts w:ascii="Garamond" w:hAnsi="Garamond"/>
          <w:bCs/>
          <w:iCs/>
          <w:sz w:val="20"/>
          <w:szCs w:val="20"/>
          <w:lang w:val="en-NG"/>
        </w:rPr>
        <w:t xml:space="preserve">suppression over 30%, confirming </w:t>
      </w:r>
      <w:r w:rsidRPr="005A40BF">
        <w:rPr>
          <w:rFonts w:ascii="Garamond" w:hAnsi="Garamond"/>
          <w:bCs/>
          <w:i/>
          <w:iCs/>
          <w:sz w:val="20"/>
          <w:szCs w:val="20"/>
          <w:lang w:val="en-NG"/>
        </w:rPr>
        <w:t>A. heterophyllus</w:t>
      </w:r>
      <w:r w:rsidRPr="005A40BF">
        <w:rPr>
          <w:rFonts w:ascii="Garamond" w:hAnsi="Garamond"/>
          <w:bCs/>
          <w:iCs/>
          <w:sz w:val="20"/>
          <w:szCs w:val="20"/>
          <w:lang w:val="en-NG"/>
        </w:rPr>
        <w:t xml:space="preserve"> as an active antiplasmodial agent.</w:t>
      </w:r>
    </w:p>
    <w:p w14:paraId="017A2F09" w14:textId="77777777" w:rsidR="005A40BF" w:rsidRPr="005A40BF" w:rsidRDefault="005A40BF" w:rsidP="005A40BF">
      <w:pPr>
        <w:spacing w:line="259" w:lineRule="auto"/>
        <w:jc w:val="both"/>
        <w:rPr>
          <w:rFonts w:ascii="Garamond" w:hAnsi="Garamond"/>
          <w:bCs/>
          <w:iCs/>
          <w:sz w:val="20"/>
          <w:szCs w:val="20"/>
          <w:lang w:val="en-NG"/>
        </w:rPr>
      </w:pPr>
      <w:r w:rsidRPr="005A40BF">
        <w:rPr>
          <w:rFonts w:ascii="Garamond" w:hAnsi="Garamond"/>
          <w:bCs/>
          <w:iCs/>
          <w:sz w:val="20"/>
          <w:szCs w:val="20"/>
          <w:lang w:val="en-NG"/>
        </w:rPr>
        <w:t xml:space="preserve">A previous study in Indonesia demonstrated that </w:t>
      </w:r>
      <w:r w:rsidRPr="005A40BF">
        <w:rPr>
          <w:rFonts w:ascii="Garamond" w:hAnsi="Garamond"/>
          <w:bCs/>
          <w:i/>
          <w:iCs/>
          <w:sz w:val="20"/>
          <w:szCs w:val="20"/>
          <w:lang w:val="en-NG"/>
        </w:rPr>
        <w:t>Artocarpus</w:t>
      </w:r>
      <w:r w:rsidRPr="005A40BF">
        <w:rPr>
          <w:rFonts w:ascii="Garamond" w:hAnsi="Garamond"/>
          <w:bCs/>
          <w:iCs/>
          <w:sz w:val="20"/>
          <w:szCs w:val="20"/>
          <w:lang w:val="en-NG"/>
        </w:rPr>
        <w:t xml:space="preserve"> plant extracts displayed very good antiplasmodial activity</w:t>
      </w:r>
      <w:r w:rsidRPr="005A40BF">
        <w:rPr>
          <w:rFonts w:ascii="Garamond" w:hAnsi="Garamond"/>
          <w:bCs/>
          <w:iCs/>
          <w:sz w:val="20"/>
          <w:szCs w:val="20"/>
          <w:vertAlign w:val="superscript"/>
          <w:lang w:val="en-NG"/>
        </w:rPr>
        <w:t>21</w:t>
      </w:r>
      <w:r w:rsidRPr="005A40BF">
        <w:rPr>
          <w:rFonts w:ascii="Garamond" w:hAnsi="Garamond"/>
          <w:bCs/>
          <w:iCs/>
          <w:sz w:val="20"/>
          <w:szCs w:val="20"/>
          <w:lang w:val="en-NG"/>
        </w:rPr>
        <w:t xml:space="preserve">. Other studies have also recorded </w:t>
      </w:r>
      <w:r w:rsidRPr="005A40BF">
        <w:rPr>
          <w:rFonts w:ascii="Garamond" w:hAnsi="Garamond"/>
          <w:bCs/>
          <w:i/>
          <w:iCs/>
          <w:sz w:val="20"/>
          <w:szCs w:val="20"/>
          <w:lang w:val="en-NG"/>
        </w:rPr>
        <w:t>Artocarpus</w:t>
      </w:r>
      <w:r w:rsidRPr="005A40BF">
        <w:rPr>
          <w:rFonts w:ascii="Garamond" w:hAnsi="Garamond"/>
          <w:bCs/>
          <w:iCs/>
          <w:sz w:val="20"/>
          <w:szCs w:val="20"/>
          <w:lang w:val="en-NG"/>
        </w:rPr>
        <w:t xml:space="preserve"> extracts as excellent antiplasmodial agents</w:t>
      </w:r>
      <w:r w:rsidRPr="005A40BF">
        <w:rPr>
          <w:rFonts w:ascii="Garamond" w:hAnsi="Garamond"/>
          <w:bCs/>
          <w:iCs/>
          <w:sz w:val="20"/>
          <w:szCs w:val="20"/>
          <w:vertAlign w:val="superscript"/>
          <w:lang w:val="en-NG"/>
        </w:rPr>
        <w:t>22-24</w:t>
      </w:r>
      <w:r w:rsidRPr="005A40BF">
        <w:rPr>
          <w:rFonts w:ascii="Garamond" w:hAnsi="Garamond"/>
          <w:bCs/>
          <w:iCs/>
          <w:sz w:val="20"/>
          <w:szCs w:val="20"/>
          <w:lang w:val="en-NG"/>
        </w:rPr>
        <w:t xml:space="preserve">. Hafid et al. conducted both in vitro and in vivo tests evaluating the antiplasmodial activities of extracts from three different </w:t>
      </w:r>
      <w:r w:rsidRPr="005A40BF">
        <w:rPr>
          <w:rFonts w:ascii="Garamond" w:hAnsi="Garamond"/>
          <w:bCs/>
          <w:i/>
          <w:iCs/>
          <w:sz w:val="20"/>
          <w:szCs w:val="20"/>
          <w:lang w:val="en-NG"/>
        </w:rPr>
        <w:t>Artocarpus</w:t>
      </w:r>
      <w:r w:rsidRPr="005A40BF">
        <w:rPr>
          <w:rFonts w:ascii="Garamond" w:hAnsi="Garamond"/>
          <w:bCs/>
          <w:iCs/>
          <w:sz w:val="20"/>
          <w:szCs w:val="20"/>
          <w:lang w:val="en-NG"/>
        </w:rPr>
        <w:t xml:space="preserve"> species</w:t>
      </w:r>
      <w:r w:rsidRPr="005A40BF">
        <w:rPr>
          <w:rFonts w:ascii="Garamond" w:hAnsi="Garamond"/>
          <w:bCs/>
          <w:iCs/>
          <w:sz w:val="20"/>
          <w:szCs w:val="20"/>
          <w:vertAlign w:val="superscript"/>
          <w:lang w:val="en-NG"/>
        </w:rPr>
        <w:t>23</w:t>
      </w:r>
      <w:r w:rsidRPr="005A40BF">
        <w:rPr>
          <w:rFonts w:ascii="Garamond" w:hAnsi="Garamond"/>
          <w:bCs/>
          <w:iCs/>
          <w:sz w:val="20"/>
          <w:szCs w:val="20"/>
          <w:lang w:val="en-NG"/>
        </w:rPr>
        <w:t xml:space="preserve">. Both methods revealed excellent activity against </w:t>
      </w:r>
      <w:r w:rsidRPr="005A40BF">
        <w:rPr>
          <w:rFonts w:ascii="Garamond" w:hAnsi="Garamond"/>
          <w:bCs/>
          <w:i/>
          <w:iCs/>
          <w:sz w:val="20"/>
          <w:szCs w:val="20"/>
          <w:lang w:val="en-NG"/>
        </w:rPr>
        <w:t>P. falciparum</w:t>
      </w:r>
      <w:r w:rsidRPr="005A40BF">
        <w:rPr>
          <w:rFonts w:ascii="Garamond" w:hAnsi="Garamond"/>
          <w:bCs/>
          <w:iCs/>
          <w:sz w:val="20"/>
          <w:szCs w:val="20"/>
          <w:lang w:val="en-NG"/>
        </w:rPr>
        <w:t xml:space="preserve"> (in vitro) and </w:t>
      </w:r>
      <w:r w:rsidRPr="005A40BF">
        <w:rPr>
          <w:rFonts w:ascii="Garamond" w:hAnsi="Garamond"/>
          <w:bCs/>
          <w:i/>
          <w:iCs/>
          <w:sz w:val="20"/>
          <w:szCs w:val="20"/>
          <w:lang w:val="en-NG"/>
        </w:rPr>
        <w:t>P. berghei</w:t>
      </w:r>
      <w:r w:rsidRPr="005A40BF">
        <w:rPr>
          <w:rFonts w:ascii="Garamond" w:hAnsi="Garamond"/>
          <w:bCs/>
          <w:iCs/>
          <w:sz w:val="20"/>
          <w:szCs w:val="20"/>
          <w:lang w:val="en-NG"/>
        </w:rPr>
        <w:t xml:space="preserve"> (in vivo), with an ED</w:t>
      </w:r>
      <w:r w:rsidRPr="005A40BF">
        <w:rPr>
          <w:rFonts w:ascii="Cambria Math" w:hAnsi="Cambria Math" w:cs="Cambria Math"/>
          <w:bCs/>
          <w:iCs/>
          <w:sz w:val="20"/>
          <w:szCs w:val="20"/>
          <w:lang w:val="en-NG"/>
        </w:rPr>
        <w:t>₅₀</w:t>
      </w:r>
      <w:r w:rsidRPr="005A40BF">
        <w:rPr>
          <w:rFonts w:ascii="Garamond" w:hAnsi="Garamond"/>
          <w:bCs/>
          <w:iCs/>
          <w:sz w:val="20"/>
          <w:szCs w:val="20"/>
          <w:lang w:val="en-NG"/>
        </w:rPr>
        <w:t xml:space="preserve"> of 10.35 mg/kg body weight</w:t>
      </w:r>
      <w:r w:rsidRPr="005A40BF">
        <w:rPr>
          <w:rFonts w:ascii="Garamond" w:hAnsi="Garamond" w:cs="Garamond"/>
          <w:bCs/>
          <w:iCs/>
          <w:sz w:val="20"/>
          <w:szCs w:val="20"/>
          <w:lang w:val="en-NG"/>
        </w:rPr>
        <w:t>—</w:t>
      </w:r>
      <w:r w:rsidRPr="005A40BF">
        <w:rPr>
          <w:rFonts w:ascii="Garamond" w:hAnsi="Garamond"/>
          <w:bCs/>
          <w:iCs/>
          <w:sz w:val="20"/>
          <w:szCs w:val="20"/>
          <w:lang w:val="en-NG"/>
        </w:rPr>
        <w:t>much lower than the 95.85 mg/kg observed in this study.</w:t>
      </w:r>
    </w:p>
    <w:p w14:paraId="7E0409A3" w14:textId="3ED3A850" w:rsidR="000D2CEF" w:rsidRPr="005A40BF" w:rsidRDefault="005A40BF" w:rsidP="005A40BF">
      <w:pPr>
        <w:spacing w:line="259" w:lineRule="auto"/>
        <w:jc w:val="both"/>
        <w:rPr>
          <w:rFonts w:ascii="Garamond" w:hAnsi="Garamond"/>
          <w:bCs/>
          <w:iCs/>
          <w:sz w:val="20"/>
          <w:szCs w:val="20"/>
          <w:lang w:val="en-NG"/>
        </w:rPr>
      </w:pPr>
      <w:r w:rsidRPr="005A40BF">
        <w:rPr>
          <w:rFonts w:ascii="Garamond" w:hAnsi="Garamond"/>
          <w:bCs/>
          <w:iCs/>
          <w:sz w:val="20"/>
          <w:szCs w:val="20"/>
          <w:lang w:val="en-NG"/>
        </w:rPr>
        <w:t xml:space="preserve">A prenylated flavonoid, heteroflavanone C, isolated from the stem bark of </w:t>
      </w:r>
      <w:r w:rsidRPr="005A40BF">
        <w:rPr>
          <w:rFonts w:ascii="Garamond" w:hAnsi="Garamond"/>
          <w:bCs/>
          <w:i/>
          <w:iCs/>
          <w:sz w:val="20"/>
          <w:szCs w:val="20"/>
          <w:lang w:val="en-NG"/>
        </w:rPr>
        <w:t>Artocarpus champeden</w:t>
      </w:r>
      <w:r w:rsidRPr="005A40BF">
        <w:rPr>
          <w:rFonts w:ascii="Garamond" w:hAnsi="Garamond"/>
          <w:bCs/>
          <w:iCs/>
          <w:sz w:val="20"/>
          <w:szCs w:val="20"/>
          <w:lang w:val="en-NG"/>
        </w:rPr>
        <w:t>, has previously been reported to exhibit strong antiplasmodial activity, even surpassing that of Chloroquine</w:t>
      </w:r>
      <w:r w:rsidRPr="005A40BF">
        <w:rPr>
          <w:rFonts w:ascii="Garamond" w:hAnsi="Garamond"/>
          <w:bCs/>
          <w:iCs/>
          <w:sz w:val="20"/>
          <w:szCs w:val="20"/>
          <w:vertAlign w:val="superscript"/>
        </w:rPr>
        <w:t>25</w:t>
      </w:r>
      <w:r w:rsidRPr="005A40BF">
        <w:rPr>
          <w:rFonts w:ascii="Garamond" w:hAnsi="Garamond"/>
          <w:bCs/>
          <w:iCs/>
          <w:sz w:val="20"/>
          <w:szCs w:val="20"/>
          <w:lang w:val="en-NG"/>
        </w:rPr>
        <w:t>. Consistent with these observations, the present study demonstrated substantial parasite suppression across all extract doses, with the treated groups exhibiting greater parasitaemia reduction than the reference antimalarial, Artesunate, used as the positive control</w:t>
      </w:r>
      <w:r w:rsidR="0084061C">
        <w:rPr>
          <w:rFonts w:ascii="Garamond" w:hAnsi="Garamond"/>
          <w:bCs/>
          <w:iCs/>
          <w:sz w:val="20"/>
          <w:szCs w:val="20"/>
          <w:lang w:val="en-NG"/>
        </w:rPr>
        <w:t>.</w:t>
      </w:r>
    </w:p>
    <w:p w14:paraId="2C59A875" w14:textId="6C6C8E40" w:rsidR="000D2CEF" w:rsidRPr="0084061C" w:rsidRDefault="005A40BF" w:rsidP="0084061C">
      <w:pPr>
        <w:spacing w:line="259" w:lineRule="auto"/>
        <w:jc w:val="both"/>
        <w:rPr>
          <w:rFonts w:ascii="Garamond" w:hAnsi="Garamond"/>
          <w:bCs/>
          <w:iCs/>
          <w:sz w:val="20"/>
          <w:szCs w:val="20"/>
        </w:rPr>
      </w:pPr>
      <w:r w:rsidRPr="005A40BF">
        <w:rPr>
          <w:rFonts w:ascii="Garamond" w:hAnsi="Garamond"/>
          <w:bCs/>
          <w:iCs/>
          <w:sz w:val="20"/>
          <w:szCs w:val="20"/>
          <w:lang w:val="en-NG"/>
        </w:rPr>
        <w:t xml:space="preserve">In Nigeria, a study evaluated various fractions of </w:t>
      </w:r>
      <w:r w:rsidRPr="005A40BF">
        <w:rPr>
          <w:rFonts w:ascii="Garamond" w:hAnsi="Garamond"/>
          <w:bCs/>
          <w:i/>
          <w:iCs/>
          <w:sz w:val="20"/>
          <w:szCs w:val="20"/>
          <w:lang w:val="en-NG"/>
        </w:rPr>
        <w:t>Artocarpus altilis</w:t>
      </w:r>
      <w:r w:rsidRPr="005A40BF">
        <w:rPr>
          <w:rFonts w:ascii="Garamond" w:hAnsi="Garamond"/>
          <w:bCs/>
          <w:iCs/>
          <w:sz w:val="20"/>
          <w:szCs w:val="20"/>
          <w:lang w:val="en-NG"/>
        </w:rPr>
        <w:t xml:space="preserve"> extracts and found that certain partitioned fractions were more potent than the crude extract. Importantly, the high LD</w:t>
      </w:r>
      <w:r w:rsidRPr="005A40BF">
        <w:rPr>
          <w:rFonts w:ascii="Cambria Math" w:hAnsi="Cambria Math" w:cs="Cambria Math"/>
          <w:bCs/>
          <w:iCs/>
          <w:sz w:val="20"/>
          <w:szCs w:val="20"/>
          <w:lang w:val="en-NG"/>
        </w:rPr>
        <w:t>₅₀</w:t>
      </w:r>
      <w:r w:rsidRPr="005A40BF">
        <w:rPr>
          <w:rFonts w:ascii="Garamond" w:hAnsi="Garamond"/>
          <w:bCs/>
          <w:iCs/>
          <w:sz w:val="20"/>
          <w:szCs w:val="20"/>
          <w:lang w:val="en-NG"/>
        </w:rPr>
        <w:t xml:space="preserve"> value reported for the crude extract indicated a favourable safety profile, underscoring its non-toxic nature</w:t>
      </w:r>
      <w:r w:rsidR="0084061C">
        <w:rPr>
          <w:rFonts w:ascii="Garamond" w:hAnsi="Garamond"/>
          <w:bCs/>
          <w:iCs/>
          <w:sz w:val="20"/>
          <w:szCs w:val="20"/>
          <w:lang w:val="en-NG"/>
        </w:rPr>
        <w:t>.</w:t>
      </w:r>
      <w:r w:rsidRPr="005A40BF">
        <w:rPr>
          <w:rFonts w:ascii="Garamond" w:hAnsi="Garamond"/>
          <w:bCs/>
          <w:iCs/>
          <w:sz w:val="20"/>
          <w:szCs w:val="20"/>
          <w:vertAlign w:val="superscript"/>
          <w:lang w:val="en-NG"/>
        </w:rPr>
        <w:t>26</w:t>
      </w:r>
      <w:r w:rsidRPr="005A40BF">
        <w:rPr>
          <w:rFonts w:ascii="Garamond" w:hAnsi="Garamond"/>
          <w:bCs/>
          <w:iCs/>
          <w:sz w:val="20"/>
          <w:szCs w:val="20"/>
          <w:lang w:val="en-NG"/>
        </w:rPr>
        <w:t xml:space="preserve"> These findings </w:t>
      </w:r>
      <w:r w:rsidRPr="005A40BF">
        <w:rPr>
          <w:rFonts w:ascii="Garamond" w:hAnsi="Garamond"/>
          <w:bCs/>
          <w:iCs/>
          <w:sz w:val="20"/>
          <w:szCs w:val="20"/>
          <w:lang w:val="en-NG"/>
        </w:rPr>
        <w:lastRenderedPageBreak/>
        <w:t xml:space="preserve">reinforce the potential of </w:t>
      </w:r>
      <w:r w:rsidRPr="005A40BF">
        <w:rPr>
          <w:rFonts w:ascii="Garamond" w:hAnsi="Garamond"/>
          <w:bCs/>
          <w:i/>
          <w:iCs/>
          <w:sz w:val="20"/>
          <w:szCs w:val="20"/>
          <w:lang w:val="en-NG"/>
        </w:rPr>
        <w:t>Artocarpus</w:t>
      </w:r>
      <w:r w:rsidRPr="005A40BF">
        <w:rPr>
          <w:rFonts w:ascii="Garamond" w:hAnsi="Garamond"/>
          <w:bCs/>
          <w:iCs/>
          <w:sz w:val="20"/>
          <w:szCs w:val="20"/>
          <w:lang w:val="en-NG"/>
        </w:rPr>
        <w:t xml:space="preserve"> species as effective and safe antimalarial agents, complementing the observations of the current study.</w:t>
      </w:r>
      <w:r w:rsidRPr="005A40BF">
        <w:rPr>
          <w:rFonts w:ascii="Garamond" w:hAnsi="Garamond"/>
          <w:bCs/>
          <w:iCs/>
          <w:sz w:val="20"/>
          <w:szCs w:val="20"/>
        </w:rPr>
        <w:t xml:space="preserve"> </w:t>
      </w:r>
      <w:r w:rsidRPr="005A40BF">
        <w:rPr>
          <w:rFonts w:ascii="Garamond" w:hAnsi="Garamond"/>
          <w:bCs/>
          <w:iCs/>
          <w:sz w:val="20"/>
          <w:szCs w:val="20"/>
          <w:lang w:val="en-NG"/>
        </w:rPr>
        <w:t xml:space="preserve">Similarly, another Nigerian study investigating combinations of ethnomedicinal plants used for malaria treatment showed that the stem bark of </w:t>
      </w:r>
      <w:r w:rsidRPr="005A40BF">
        <w:rPr>
          <w:rFonts w:ascii="Garamond" w:hAnsi="Garamond"/>
          <w:bCs/>
          <w:i/>
          <w:iCs/>
          <w:sz w:val="20"/>
          <w:szCs w:val="20"/>
          <w:lang w:val="en-NG"/>
        </w:rPr>
        <w:t>Artocarpus altilis</w:t>
      </w:r>
      <w:r w:rsidRPr="005A40BF">
        <w:rPr>
          <w:rFonts w:ascii="Garamond" w:hAnsi="Garamond"/>
          <w:bCs/>
          <w:iCs/>
          <w:sz w:val="20"/>
          <w:szCs w:val="20"/>
          <w:lang w:val="en-NG"/>
        </w:rPr>
        <w:t xml:space="preserve"> exhibited significant chemosuppressive activity against </w:t>
      </w:r>
      <w:r w:rsidRPr="005A40BF">
        <w:rPr>
          <w:rFonts w:ascii="Garamond" w:hAnsi="Garamond"/>
          <w:bCs/>
          <w:i/>
          <w:iCs/>
          <w:sz w:val="20"/>
          <w:szCs w:val="20"/>
          <w:lang w:val="en-NG"/>
        </w:rPr>
        <w:t>Plasmodium berghei</w:t>
      </w:r>
      <w:r w:rsidRPr="005A40BF">
        <w:rPr>
          <w:rFonts w:ascii="Garamond" w:hAnsi="Garamond"/>
          <w:bCs/>
          <w:iCs/>
          <w:sz w:val="20"/>
          <w:szCs w:val="20"/>
          <w:lang w:val="en-NG"/>
        </w:rPr>
        <w:t xml:space="preserve"> in infected mice, supporting its traditional use in malaria therapy</w:t>
      </w:r>
      <w:r w:rsidR="0084061C">
        <w:rPr>
          <w:rFonts w:ascii="Garamond" w:hAnsi="Garamond"/>
          <w:bCs/>
          <w:iCs/>
          <w:sz w:val="20"/>
          <w:szCs w:val="20"/>
          <w:lang w:val="en-NG"/>
        </w:rPr>
        <w:t>.</w:t>
      </w:r>
      <w:r w:rsidRPr="005A40BF">
        <w:rPr>
          <w:rFonts w:ascii="Garamond" w:hAnsi="Garamond"/>
          <w:bCs/>
          <w:iCs/>
          <w:sz w:val="20"/>
          <w:szCs w:val="20"/>
          <w:vertAlign w:val="superscript"/>
        </w:rPr>
        <w:t>27</w:t>
      </w:r>
      <w:r w:rsidRPr="005A40BF">
        <w:rPr>
          <w:rFonts w:ascii="Garamond" w:hAnsi="Garamond"/>
          <w:bCs/>
          <w:iCs/>
          <w:sz w:val="20"/>
          <w:szCs w:val="20"/>
          <w:lang w:val="en-NG"/>
        </w:rPr>
        <w:t xml:space="preserve"> </w:t>
      </w:r>
      <w:r w:rsidRPr="005A40BF">
        <w:rPr>
          <w:rFonts w:ascii="Garamond" w:hAnsi="Garamond"/>
          <w:bCs/>
          <w:iCs/>
          <w:sz w:val="20"/>
          <w:szCs w:val="20"/>
          <w:lang w:val="en-NG"/>
        </w:rPr>
        <w:br/>
        <w:t xml:space="preserve">Furthermore, investigations of other </w:t>
      </w:r>
      <w:r w:rsidRPr="005A40BF">
        <w:rPr>
          <w:rFonts w:ascii="Garamond" w:hAnsi="Garamond"/>
          <w:bCs/>
          <w:i/>
          <w:iCs/>
          <w:sz w:val="20"/>
          <w:szCs w:val="20"/>
          <w:lang w:val="en-NG"/>
        </w:rPr>
        <w:t>Artocarpus</w:t>
      </w:r>
      <w:r w:rsidRPr="005A40BF">
        <w:rPr>
          <w:rFonts w:ascii="Garamond" w:hAnsi="Garamond"/>
          <w:bCs/>
          <w:iCs/>
          <w:sz w:val="20"/>
          <w:szCs w:val="20"/>
          <w:lang w:val="en-NG"/>
        </w:rPr>
        <w:t xml:space="preserve"> species have also demonstrated promising antimalarial properties, with bioactive fractions from the stem bark of </w:t>
      </w:r>
      <w:r w:rsidRPr="005A40BF">
        <w:rPr>
          <w:rFonts w:ascii="Garamond" w:hAnsi="Garamond"/>
          <w:bCs/>
          <w:i/>
          <w:iCs/>
          <w:sz w:val="20"/>
          <w:szCs w:val="20"/>
          <w:lang w:val="en-NG"/>
        </w:rPr>
        <w:t>Artocarpus sericicarpus</w:t>
      </w:r>
      <w:r w:rsidRPr="005A40BF">
        <w:rPr>
          <w:rFonts w:ascii="Garamond" w:hAnsi="Garamond"/>
          <w:bCs/>
          <w:iCs/>
          <w:sz w:val="20"/>
          <w:szCs w:val="20"/>
          <w:lang w:val="en-NG"/>
        </w:rPr>
        <w:t xml:space="preserve"> showing strong inhibitory activity against </w:t>
      </w:r>
      <w:r w:rsidRPr="005A40BF">
        <w:rPr>
          <w:rFonts w:ascii="Garamond" w:hAnsi="Garamond"/>
          <w:bCs/>
          <w:i/>
          <w:iCs/>
          <w:sz w:val="20"/>
          <w:szCs w:val="20"/>
          <w:lang w:val="en-NG"/>
        </w:rPr>
        <w:t>Plasmodium falciparum</w:t>
      </w:r>
      <w:r w:rsidRPr="005A40BF">
        <w:rPr>
          <w:rFonts w:ascii="Garamond" w:hAnsi="Garamond"/>
          <w:bCs/>
          <w:iCs/>
          <w:sz w:val="20"/>
          <w:szCs w:val="20"/>
          <w:lang w:val="en-NG"/>
        </w:rPr>
        <w:t>, attributed largely to flavonoid and polyphenolic constituents</w:t>
      </w:r>
      <w:r w:rsidRPr="005A40BF">
        <w:rPr>
          <w:rFonts w:ascii="Garamond" w:hAnsi="Garamond"/>
          <w:bCs/>
          <w:iCs/>
          <w:sz w:val="20"/>
          <w:szCs w:val="20"/>
          <w:vertAlign w:val="superscript"/>
        </w:rPr>
        <w:t>28</w:t>
      </w:r>
      <w:r w:rsidRPr="005A40BF">
        <w:rPr>
          <w:rFonts w:ascii="Garamond" w:hAnsi="Garamond"/>
          <w:bCs/>
          <w:iCs/>
          <w:sz w:val="20"/>
          <w:szCs w:val="20"/>
          <w:lang w:val="en-NG"/>
        </w:rPr>
        <w:t xml:space="preserve">. </w:t>
      </w:r>
      <w:r w:rsidRPr="005A40BF">
        <w:rPr>
          <w:rFonts w:ascii="Garamond" w:hAnsi="Garamond"/>
          <w:bCs/>
          <w:iCs/>
          <w:sz w:val="20"/>
          <w:szCs w:val="20"/>
          <w:lang w:val="en-NG"/>
        </w:rPr>
        <w:br/>
        <w:t xml:space="preserve">Collectively, these findings reinforce the growing body of evidence supporting the potential of </w:t>
      </w:r>
      <w:r w:rsidRPr="005A40BF">
        <w:rPr>
          <w:rFonts w:ascii="Garamond" w:hAnsi="Garamond"/>
          <w:bCs/>
          <w:i/>
          <w:iCs/>
          <w:sz w:val="20"/>
          <w:szCs w:val="20"/>
          <w:lang w:val="en-NG"/>
        </w:rPr>
        <w:t>Artocarpus</w:t>
      </w:r>
      <w:r w:rsidRPr="005A40BF">
        <w:rPr>
          <w:rFonts w:ascii="Garamond" w:hAnsi="Garamond"/>
          <w:bCs/>
          <w:iCs/>
          <w:sz w:val="20"/>
          <w:szCs w:val="20"/>
          <w:lang w:val="en-NG"/>
        </w:rPr>
        <w:t xml:space="preserve"> species as promising and relatively safe sources of antimalarial agents, thereby complementing the observations of the present study.</w:t>
      </w:r>
    </w:p>
    <w:p w14:paraId="5215EEAE" w14:textId="71F3D24C" w:rsidR="005A40BF" w:rsidRPr="005A40BF" w:rsidRDefault="005A40BF" w:rsidP="005A40BF">
      <w:pPr>
        <w:spacing w:line="259" w:lineRule="auto"/>
        <w:jc w:val="both"/>
        <w:rPr>
          <w:rFonts w:ascii="Garamond" w:hAnsi="Garamond"/>
          <w:bCs/>
          <w:iCs/>
          <w:sz w:val="20"/>
          <w:szCs w:val="20"/>
          <w:lang w:val="en-NG"/>
        </w:rPr>
      </w:pPr>
      <w:r w:rsidRPr="005A40BF">
        <w:rPr>
          <w:rFonts w:ascii="Garamond" w:hAnsi="Garamond"/>
          <w:bCs/>
          <w:iCs/>
          <w:sz w:val="20"/>
          <w:szCs w:val="20"/>
          <w:lang w:val="en-NG"/>
        </w:rPr>
        <w:t>One of the cardinal signs of malarial infection in rodents is a change in body temperature</w:t>
      </w:r>
      <w:r w:rsidR="0084061C">
        <w:rPr>
          <w:rFonts w:ascii="Garamond" w:hAnsi="Garamond"/>
          <w:bCs/>
          <w:iCs/>
          <w:sz w:val="20"/>
          <w:szCs w:val="20"/>
          <w:lang w:val="en-NG"/>
        </w:rPr>
        <w:t>.</w:t>
      </w:r>
      <w:r w:rsidRPr="005A40BF">
        <w:rPr>
          <w:rFonts w:ascii="Garamond" w:hAnsi="Garamond"/>
          <w:bCs/>
          <w:iCs/>
          <w:sz w:val="20"/>
          <w:szCs w:val="20"/>
          <w:vertAlign w:val="superscript"/>
          <w:lang w:val="en-NG"/>
        </w:rPr>
        <w:t>2</w:t>
      </w:r>
      <w:r w:rsidRPr="005A40BF">
        <w:rPr>
          <w:rFonts w:ascii="Garamond" w:hAnsi="Garamond"/>
          <w:bCs/>
          <w:iCs/>
          <w:sz w:val="20"/>
          <w:szCs w:val="20"/>
          <w:vertAlign w:val="superscript"/>
        </w:rPr>
        <w:t>9</w:t>
      </w:r>
      <w:r w:rsidRPr="005A40BF">
        <w:rPr>
          <w:rFonts w:ascii="Garamond" w:hAnsi="Garamond"/>
          <w:bCs/>
          <w:iCs/>
          <w:sz w:val="20"/>
          <w:szCs w:val="20"/>
          <w:lang w:val="en-NG"/>
        </w:rPr>
        <w:t xml:space="preserve"> The temperature recordings in this study did not show a consistent pattern. Artesunate and the 200 mg/kg dose of the extract elicited body temperatures significantly different from those treated with 100 mg/kg, 25 mg/kg, and the untreated control. The former displayed normal temperatures, while the latter had slightly elevated readings.</w:t>
      </w:r>
    </w:p>
    <w:p w14:paraId="65C2361A" w14:textId="197F9D92" w:rsidR="000D2CEF" w:rsidRPr="005A40BF" w:rsidRDefault="005A40BF" w:rsidP="005A40BF">
      <w:pPr>
        <w:spacing w:line="259" w:lineRule="auto"/>
        <w:jc w:val="both"/>
        <w:rPr>
          <w:rFonts w:ascii="Garamond" w:hAnsi="Garamond"/>
          <w:bCs/>
          <w:iCs/>
          <w:sz w:val="20"/>
          <w:szCs w:val="20"/>
          <w:lang w:val="en-NG"/>
        </w:rPr>
      </w:pPr>
      <w:r w:rsidRPr="005A40BF">
        <w:rPr>
          <w:rFonts w:ascii="Garamond" w:hAnsi="Garamond"/>
          <w:bCs/>
          <w:iCs/>
          <w:sz w:val="20"/>
          <w:szCs w:val="20"/>
          <w:lang w:val="en-NG"/>
        </w:rPr>
        <w:t>Normal mouse temperature ranges between 35.5–38°C, with a median of 37°C</w:t>
      </w:r>
      <w:r w:rsidRPr="005A40BF">
        <w:rPr>
          <w:rFonts w:ascii="Garamond" w:hAnsi="Garamond"/>
          <w:bCs/>
          <w:iCs/>
          <w:sz w:val="20"/>
          <w:szCs w:val="20"/>
          <w:vertAlign w:val="superscript"/>
        </w:rPr>
        <w:t>30</w:t>
      </w:r>
      <w:r w:rsidRPr="005A40BF">
        <w:rPr>
          <w:rFonts w:ascii="Garamond" w:hAnsi="Garamond"/>
          <w:bCs/>
          <w:iCs/>
          <w:sz w:val="20"/>
          <w:szCs w:val="20"/>
          <w:lang w:val="en-NG"/>
        </w:rPr>
        <w:t>. Rodents are known to have poor heat regulation. Larson et al. found that at 21°C, mice had an average body temperature of 38.1°C, and at 36.7°C, their temperature rose to 40°C</w:t>
      </w:r>
      <w:r w:rsidRPr="005A40BF">
        <w:rPr>
          <w:rFonts w:ascii="Garamond" w:hAnsi="Garamond"/>
          <w:bCs/>
          <w:iCs/>
          <w:sz w:val="20"/>
          <w:szCs w:val="20"/>
          <w:vertAlign w:val="superscript"/>
        </w:rPr>
        <w:t>31</w:t>
      </w:r>
      <w:r w:rsidRPr="005A40BF">
        <w:rPr>
          <w:rFonts w:ascii="Garamond" w:hAnsi="Garamond"/>
          <w:bCs/>
          <w:iCs/>
          <w:sz w:val="20"/>
          <w:szCs w:val="20"/>
          <w:lang w:val="en-NG"/>
        </w:rPr>
        <w:t xml:space="preserve">. Malaria infection in rodents, specifically by </w:t>
      </w:r>
      <w:r w:rsidRPr="005A40BF">
        <w:rPr>
          <w:rFonts w:ascii="Garamond" w:hAnsi="Garamond"/>
          <w:bCs/>
          <w:i/>
          <w:iCs/>
          <w:sz w:val="20"/>
          <w:szCs w:val="20"/>
          <w:lang w:val="en-NG"/>
        </w:rPr>
        <w:t>P. berghei</w:t>
      </w:r>
      <w:r w:rsidRPr="005A40BF">
        <w:rPr>
          <w:rFonts w:ascii="Garamond" w:hAnsi="Garamond"/>
          <w:bCs/>
          <w:iCs/>
          <w:sz w:val="20"/>
          <w:szCs w:val="20"/>
          <w:lang w:val="en-NG"/>
        </w:rPr>
        <w:t>, is associated with hypothermia rather than fever</w:t>
      </w:r>
      <w:r w:rsidR="0084061C">
        <w:rPr>
          <w:rFonts w:ascii="Garamond" w:hAnsi="Garamond"/>
          <w:bCs/>
          <w:iCs/>
          <w:sz w:val="20"/>
          <w:szCs w:val="20"/>
          <w:lang w:val="en-NG"/>
        </w:rPr>
        <w:t>.</w:t>
      </w:r>
      <w:r w:rsidRPr="005A40BF">
        <w:rPr>
          <w:rFonts w:ascii="Garamond" w:hAnsi="Garamond"/>
          <w:bCs/>
          <w:iCs/>
          <w:sz w:val="20"/>
          <w:szCs w:val="20"/>
          <w:vertAlign w:val="superscript"/>
        </w:rPr>
        <w:t>32-34</w:t>
      </w:r>
      <w:r w:rsidRPr="005A40BF">
        <w:rPr>
          <w:rFonts w:ascii="Garamond" w:hAnsi="Garamond"/>
          <w:bCs/>
          <w:iCs/>
          <w:sz w:val="20"/>
          <w:szCs w:val="20"/>
          <w:lang w:val="en-NG"/>
        </w:rPr>
        <w:t xml:space="preserve"> The exact mechanism is unclear, but increased levels of serotonin (5-HT), a neurotransmitter known to reduce food intake and body temperature, have been implicated</w:t>
      </w:r>
      <w:r w:rsidRPr="005A40BF">
        <w:rPr>
          <w:rFonts w:ascii="Garamond" w:hAnsi="Garamond"/>
          <w:bCs/>
          <w:iCs/>
          <w:sz w:val="20"/>
          <w:szCs w:val="20"/>
          <w:vertAlign w:val="superscript"/>
          <w:lang w:val="en-NG"/>
        </w:rPr>
        <w:t>3</w:t>
      </w:r>
      <w:r w:rsidRPr="005A40BF">
        <w:rPr>
          <w:rFonts w:ascii="Garamond" w:hAnsi="Garamond"/>
          <w:bCs/>
          <w:iCs/>
          <w:sz w:val="20"/>
          <w:szCs w:val="20"/>
          <w:vertAlign w:val="superscript"/>
        </w:rPr>
        <w:t>3</w:t>
      </w:r>
      <w:r w:rsidRPr="005A40BF">
        <w:rPr>
          <w:rFonts w:ascii="Garamond" w:hAnsi="Garamond"/>
          <w:bCs/>
          <w:iCs/>
          <w:sz w:val="20"/>
          <w:szCs w:val="20"/>
          <w:lang w:val="en-NG"/>
        </w:rPr>
        <w:t>. The absence of hypothermia in this study may be due to the timing of temperature measurement - day five post-treatment may have been too early to observe significant reductions.</w:t>
      </w:r>
    </w:p>
    <w:p w14:paraId="26F8D889" w14:textId="58ECDFA6" w:rsidR="000D2CEF" w:rsidRPr="005A40BF" w:rsidRDefault="005A40BF" w:rsidP="005A40BF">
      <w:pPr>
        <w:spacing w:line="259" w:lineRule="auto"/>
        <w:jc w:val="both"/>
        <w:rPr>
          <w:rFonts w:ascii="Garamond" w:hAnsi="Garamond"/>
          <w:bCs/>
          <w:iCs/>
          <w:sz w:val="20"/>
          <w:szCs w:val="20"/>
          <w:lang w:val="en-NG"/>
        </w:rPr>
      </w:pPr>
      <w:r w:rsidRPr="005A40BF">
        <w:rPr>
          <w:rFonts w:ascii="Garamond" w:hAnsi="Garamond"/>
          <w:bCs/>
          <w:iCs/>
          <w:sz w:val="20"/>
          <w:szCs w:val="20"/>
          <w:lang w:val="en-NG"/>
        </w:rPr>
        <w:t xml:space="preserve">The untreated control group recorded the highest mortality rate (40%) and the lowest percentage survivor rate (60%), though not the lowest mean survival time. The 200 mg/kg and artesunate-treated groups had the highest survival times and 100% survival rates. The 25, </w:t>
      </w:r>
      <w:r w:rsidRPr="005A40BF">
        <w:rPr>
          <w:rFonts w:ascii="Garamond" w:hAnsi="Garamond"/>
          <w:bCs/>
          <w:iCs/>
          <w:sz w:val="20"/>
          <w:szCs w:val="20"/>
          <w:lang w:val="en-NG"/>
        </w:rPr>
        <w:t>50, and 100 mg/kg groups had 80% survival rates, though with varying mean survival times.</w:t>
      </w:r>
    </w:p>
    <w:p w14:paraId="71FA5F66" w14:textId="1E3786CC" w:rsidR="005A40BF" w:rsidRPr="005A40BF" w:rsidRDefault="005A40BF" w:rsidP="005A40BF">
      <w:pPr>
        <w:spacing w:line="259" w:lineRule="auto"/>
        <w:jc w:val="both"/>
        <w:rPr>
          <w:rFonts w:ascii="Garamond" w:hAnsi="Garamond"/>
          <w:bCs/>
          <w:iCs/>
          <w:sz w:val="20"/>
          <w:szCs w:val="20"/>
          <w:lang w:val="en-NG"/>
        </w:rPr>
      </w:pPr>
      <w:r w:rsidRPr="005A40BF">
        <w:rPr>
          <w:rFonts w:ascii="Garamond" w:hAnsi="Garamond"/>
          <w:bCs/>
          <w:iCs/>
          <w:sz w:val="20"/>
          <w:szCs w:val="20"/>
          <w:lang w:val="en-NG"/>
        </w:rPr>
        <w:t>Mean survival time is an important parameter for evaluating antiplasmodial activity, although some studies correlate parasitaemia suppression with percentage survivors rather than survival time</w:t>
      </w:r>
      <w:r w:rsidR="0084061C">
        <w:rPr>
          <w:rFonts w:ascii="Garamond" w:hAnsi="Garamond"/>
          <w:bCs/>
          <w:iCs/>
          <w:sz w:val="20"/>
          <w:szCs w:val="20"/>
          <w:lang w:val="en-NG"/>
        </w:rPr>
        <w:t>.</w:t>
      </w:r>
      <w:r w:rsidRPr="005A40BF">
        <w:rPr>
          <w:rFonts w:ascii="Garamond" w:hAnsi="Garamond"/>
          <w:bCs/>
          <w:iCs/>
          <w:sz w:val="20"/>
          <w:szCs w:val="20"/>
          <w:vertAlign w:val="superscript"/>
          <w:lang w:val="en-NG"/>
        </w:rPr>
        <w:t>3</w:t>
      </w:r>
      <w:r w:rsidRPr="005A40BF">
        <w:rPr>
          <w:rFonts w:ascii="Garamond" w:hAnsi="Garamond"/>
          <w:bCs/>
          <w:iCs/>
          <w:sz w:val="20"/>
          <w:szCs w:val="20"/>
          <w:vertAlign w:val="superscript"/>
        </w:rPr>
        <w:t>5</w:t>
      </w:r>
      <w:r w:rsidRPr="005A40BF">
        <w:rPr>
          <w:rFonts w:ascii="Garamond" w:hAnsi="Garamond"/>
          <w:bCs/>
          <w:iCs/>
          <w:sz w:val="20"/>
          <w:szCs w:val="20"/>
          <w:vertAlign w:val="superscript"/>
          <w:lang w:val="en-NG"/>
        </w:rPr>
        <w:t>-3</w:t>
      </w:r>
      <w:r w:rsidRPr="005A40BF">
        <w:rPr>
          <w:rFonts w:ascii="Garamond" w:hAnsi="Garamond"/>
          <w:bCs/>
          <w:iCs/>
          <w:sz w:val="20"/>
          <w:szCs w:val="20"/>
          <w:vertAlign w:val="superscript"/>
        </w:rPr>
        <w:t>7</w:t>
      </w:r>
      <w:r w:rsidRPr="005A40BF">
        <w:rPr>
          <w:rFonts w:ascii="Garamond" w:hAnsi="Garamond"/>
          <w:bCs/>
          <w:iCs/>
          <w:sz w:val="20"/>
          <w:szCs w:val="20"/>
          <w:lang w:val="en-NG"/>
        </w:rPr>
        <w:t xml:space="preserve"> Adebajo et al. recorded prolonged survival times among mice treated with </w:t>
      </w:r>
      <w:r w:rsidRPr="005A40BF">
        <w:rPr>
          <w:rFonts w:ascii="Garamond" w:hAnsi="Garamond"/>
          <w:bCs/>
          <w:i/>
          <w:iCs/>
          <w:sz w:val="20"/>
          <w:szCs w:val="20"/>
          <w:lang w:val="en-NG"/>
        </w:rPr>
        <w:t>Artocarpus altilis</w:t>
      </w:r>
      <w:r w:rsidRPr="005A40BF">
        <w:rPr>
          <w:rFonts w:ascii="Garamond" w:hAnsi="Garamond"/>
          <w:bCs/>
          <w:iCs/>
          <w:sz w:val="20"/>
          <w:szCs w:val="20"/>
          <w:lang w:val="en-NG"/>
        </w:rPr>
        <w:t xml:space="preserve"> extract in an in vivo study evaluating ethnomedicines</w:t>
      </w:r>
      <w:r w:rsidR="0084061C">
        <w:rPr>
          <w:rFonts w:ascii="Garamond" w:hAnsi="Garamond"/>
          <w:bCs/>
          <w:iCs/>
          <w:sz w:val="20"/>
          <w:szCs w:val="20"/>
          <w:lang w:val="en-NG"/>
        </w:rPr>
        <w:t>.</w:t>
      </w:r>
      <w:r w:rsidRPr="005A40BF">
        <w:rPr>
          <w:rFonts w:ascii="Garamond" w:hAnsi="Garamond"/>
          <w:bCs/>
          <w:iCs/>
          <w:sz w:val="20"/>
          <w:szCs w:val="20"/>
          <w:vertAlign w:val="superscript"/>
          <w:lang w:val="en-NG"/>
        </w:rPr>
        <w:t>3</w:t>
      </w:r>
      <w:r w:rsidRPr="005A40BF">
        <w:rPr>
          <w:rFonts w:ascii="Garamond" w:hAnsi="Garamond"/>
          <w:bCs/>
          <w:iCs/>
          <w:sz w:val="20"/>
          <w:szCs w:val="20"/>
          <w:vertAlign w:val="superscript"/>
        </w:rPr>
        <w:t>8</w:t>
      </w:r>
      <w:r w:rsidRPr="005A40BF">
        <w:rPr>
          <w:rFonts w:ascii="Garamond" w:hAnsi="Garamond"/>
          <w:bCs/>
          <w:iCs/>
          <w:sz w:val="20"/>
          <w:szCs w:val="20"/>
          <w:lang w:val="en-NG"/>
        </w:rPr>
        <w:t xml:space="preserve"> However, Odediran et al. found that combining </w:t>
      </w:r>
      <w:r w:rsidRPr="005A40BF">
        <w:rPr>
          <w:rFonts w:ascii="Garamond" w:hAnsi="Garamond"/>
          <w:bCs/>
          <w:i/>
          <w:iCs/>
          <w:sz w:val="20"/>
          <w:szCs w:val="20"/>
          <w:lang w:val="en-NG"/>
        </w:rPr>
        <w:t>Artocarpus</w:t>
      </w:r>
      <w:r w:rsidRPr="005A40BF">
        <w:rPr>
          <w:rFonts w:ascii="Garamond" w:hAnsi="Garamond"/>
          <w:bCs/>
          <w:iCs/>
          <w:sz w:val="20"/>
          <w:szCs w:val="20"/>
          <w:lang w:val="en-NG"/>
        </w:rPr>
        <w:t xml:space="preserve"> with other ethnomedicines did not enhance survival times</w:t>
      </w:r>
      <w:r w:rsidR="0084061C">
        <w:rPr>
          <w:rFonts w:ascii="Garamond" w:hAnsi="Garamond"/>
          <w:bCs/>
          <w:iCs/>
          <w:sz w:val="20"/>
          <w:szCs w:val="20"/>
          <w:lang w:val="en-NG"/>
        </w:rPr>
        <w:t>.</w:t>
      </w:r>
      <w:r w:rsidRPr="005A40BF">
        <w:rPr>
          <w:rFonts w:ascii="Garamond" w:hAnsi="Garamond"/>
          <w:bCs/>
          <w:iCs/>
          <w:sz w:val="20"/>
          <w:szCs w:val="20"/>
          <w:vertAlign w:val="superscript"/>
          <w:lang w:val="en-NG"/>
        </w:rPr>
        <w:t>3</w:t>
      </w:r>
      <w:r w:rsidRPr="005A40BF">
        <w:rPr>
          <w:rFonts w:ascii="Garamond" w:hAnsi="Garamond"/>
          <w:bCs/>
          <w:iCs/>
          <w:sz w:val="20"/>
          <w:szCs w:val="20"/>
          <w:vertAlign w:val="superscript"/>
        </w:rPr>
        <w:t>9</w:t>
      </w:r>
    </w:p>
    <w:p w14:paraId="2D2AB76E" w14:textId="00E2FE5A" w:rsidR="005A40BF" w:rsidRPr="005A40BF" w:rsidRDefault="005A40BF" w:rsidP="005A40BF">
      <w:pPr>
        <w:spacing w:line="259" w:lineRule="auto"/>
        <w:jc w:val="both"/>
        <w:rPr>
          <w:rFonts w:ascii="Garamond" w:hAnsi="Garamond"/>
          <w:bCs/>
          <w:iCs/>
          <w:sz w:val="20"/>
          <w:szCs w:val="20"/>
          <w:lang w:val="en-NG"/>
        </w:rPr>
      </w:pPr>
      <w:r w:rsidRPr="005A40BF">
        <w:rPr>
          <w:rFonts w:ascii="Garamond" w:hAnsi="Garamond"/>
          <w:bCs/>
          <w:iCs/>
          <w:sz w:val="20"/>
          <w:szCs w:val="20"/>
          <w:lang w:val="en-NG"/>
        </w:rPr>
        <w:t xml:space="preserve">The result of the acute toxicity testing of </w:t>
      </w:r>
      <w:r w:rsidRPr="005A40BF">
        <w:rPr>
          <w:rFonts w:ascii="Garamond" w:hAnsi="Garamond"/>
          <w:bCs/>
          <w:i/>
          <w:iCs/>
          <w:sz w:val="20"/>
          <w:szCs w:val="20"/>
          <w:lang w:val="en-NG"/>
        </w:rPr>
        <w:t>A. heterophyllus</w:t>
      </w:r>
      <w:r w:rsidRPr="005A40BF">
        <w:rPr>
          <w:rFonts w:ascii="Garamond" w:hAnsi="Garamond"/>
          <w:bCs/>
          <w:iCs/>
          <w:sz w:val="20"/>
          <w:szCs w:val="20"/>
          <w:lang w:val="en-NG"/>
        </w:rPr>
        <w:t xml:space="preserve"> in this study showed that there was no mortality observed up to the maximum dose level of 2000 mg/kg body weight of the crude plant extract administered orally.  There were also no behavioural changes noted viz: lacrimation; salivation, diarrhoea, respiratory distress, lethargy, convulsion, etc., except that the rats felt sleepy the first few hours after administering the extracts. According to the limit test recommendation, the 2000 mg/kg plant extract was safe, indicating that the approximate median lethal dose (LD</w:t>
      </w:r>
      <w:r w:rsidRPr="005A40BF">
        <w:rPr>
          <w:rFonts w:ascii="Garamond" w:hAnsi="Garamond"/>
          <w:bCs/>
          <w:iCs/>
          <w:sz w:val="20"/>
          <w:szCs w:val="20"/>
          <w:vertAlign w:val="subscript"/>
          <w:lang w:val="en-NG"/>
        </w:rPr>
        <w:t>50</w:t>
      </w:r>
      <w:r w:rsidRPr="005A40BF">
        <w:rPr>
          <w:rFonts w:ascii="Garamond" w:hAnsi="Garamond"/>
          <w:bCs/>
          <w:iCs/>
          <w:sz w:val="20"/>
          <w:szCs w:val="20"/>
          <w:lang w:val="en-NG"/>
        </w:rPr>
        <w:t xml:space="preserve">) of the extract in the experimental rodents was higher than 2000 mg/kg body weight. This finding of acute toxicity in this study agrees with the findings in previous study where the extracts from a genus </w:t>
      </w:r>
      <w:r w:rsidRPr="005A40BF">
        <w:rPr>
          <w:rFonts w:ascii="Garamond" w:hAnsi="Garamond"/>
          <w:bCs/>
          <w:i/>
          <w:iCs/>
          <w:sz w:val="20"/>
          <w:szCs w:val="20"/>
          <w:lang w:val="en-NG"/>
        </w:rPr>
        <w:t xml:space="preserve">Artocarpus </w:t>
      </w:r>
      <w:r w:rsidRPr="005A40BF">
        <w:rPr>
          <w:rFonts w:ascii="Garamond" w:hAnsi="Garamond"/>
          <w:bCs/>
          <w:iCs/>
          <w:sz w:val="20"/>
          <w:szCs w:val="20"/>
          <w:lang w:val="en-NG"/>
        </w:rPr>
        <w:t>plant were subjected to toxicity tests</w:t>
      </w:r>
      <w:r w:rsidR="0084061C">
        <w:rPr>
          <w:rFonts w:ascii="Garamond" w:hAnsi="Garamond"/>
          <w:bCs/>
          <w:iCs/>
          <w:sz w:val="20"/>
          <w:szCs w:val="20"/>
          <w:lang w:val="en-NG"/>
        </w:rPr>
        <w:t>.</w:t>
      </w:r>
      <w:r w:rsidRPr="005A40BF">
        <w:rPr>
          <w:rFonts w:ascii="Garamond" w:hAnsi="Garamond"/>
          <w:bCs/>
          <w:iCs/>
          <w:sz w:val="20"/>
          <w:szCs w:val="20"/>
          <w:vertAlign w:val="superscript"/>
          <w:lang w:val="en-NG"/>
        </w:rPr>
        <w:t>26</w:t>
      </w:r>
      <w:r w:rsidRPr="005A40BF">
        <w:rPr>
          <w:rFonts w:ascii="Garamond" w:hAnsi="Garamond"/>
          <w:bCs/>
          <w:iCs/>
          <w:sz w:val="20"/>
          <w:szCs w:val="20"/>
          <w:lang w:val="en-NG"/>
        </w:rPr>
        <w:t xml:space="preserve"> The absence of mortality or overt organ toxicity at 2000 mg/kg suggests the extract’s constituents are well tolerated in vivo. Histopathological findings corroborate biochemical safety, showing only mild reversible hepatic changes at high doses—possibly due to transient metabolic adaptation</w:t>
      </w:r>
      <w:r w:rsidR="0084061C">
        <w:rPr>
          <w:rFonts w:ascii="Garamond" w:hAnsi="Garamond"/>
          <w:bCs/>
          <w:iCs/>
          <w:sz w:val="20"/>
          <w:szCs w:val="20"/>
          <w:lang w:val="en-NG"/>
        </w:rPr>
        <w:t>.</w:t>
      </w:r>
      <w:r w:rsidRPr="005A40BF">
        <w:rPr>
          <w:rFonts w:ascii="Garamond" w:hAnsi="Garamond"/>
          <w:bCs/>
          <w:iCs/>
          <w:sz w:val="20"/>
          <w:szCs w:val="20"/>
          <w:vertAlign w:val="superscript"/>
          <w:lang w:val="en-NG"/>
        </w:rPr>
        <w:t>17</w:t>
      </w:r>
    </w:p>
    <w:p w14:paraId="319FE756" w14:textId="77777777" w:rsidR="000D2CEF" w:rsidRDefault="000D2CEF" w:rsidP="005A40BF">
      <w:pPr>
        <w:spacing w:line="259" w:lineRule="auto"/>
        <w:jc w:val="both"/>
        <w:rPr>
          <w:rFonts w:ascii="Garamond" w:hAnsi="Garamond"/>
          <w:b/>
          <w:bCs/>
          <w:iCs/>
          <w:sz w:val="20"/>
          <w:szCs w:val="20"/>
          <w:lang w:val="en-NG"/>
        </w:rPr>
      </w:pPr>
    </w:p>
    <w:p w14:paraId="5ACBB5AD" w14:textId="44349E0B" w:rsidR="005A40BF" w:rsidRPr="005A40BF" w:rsidRDefault="005A40BF" w:rsidP="005A40BF">
      <w:pPr>
        <w:spacing w:line="259" w:lineRule="auto"/>
        <w:jc w:val="both"/>
        <w:rPr>
          <w:rFonts w:ascii="Garamond" w:hAnsi="Garamond"/>
          <w:b/>
          <w:bCs/>
          <w:iCs/>
          <w:sz w:val="20"/>
          <w:szCs w:val="20"/>
          <w:lang w:val="en-NG"/>
        </w:rPr>
      </w:pPr>
      <w:r w:rsidRPr="005A40BF">
        <w:rPr>
          <w:rFonts w:ascii="Garamond" w:hAnsi="Garamond"/>
          <w:b/>
          <w:bCs/>
          <w:iCs/>
          <w:sz w:val="20"/>
          <w:szCs w:val="20"/>
          <w:lang w:val="en-NG"/>
        </w:rPr>
        <w:t>Limitations of the study</w:t>
      </w:r>
    </w:p>
    <w:p w14:paraId="540588F6" w14:textId="77777777" w:rsidR="005A40BF" w:rsidRPr="005A40BF" w:rsidRDefault="005A40BF" w:rsidP="005A40BF">
      <w:pPr>
        <w:spacing w:line="259" w:lineRule="auto"/>
        <w:jc w:val="both"/>
        <w:rPr>
          <w:rFonts w:ascii="Garamond" w:hAnsi="Garamond"/>
          <w:bCs/>
          <w:iCs/>
          <w:sz w:val="20"/>
          <w:szCs w:val="20"/>
          <w:lang w:val="en-NG"/>
        </w:rPr>
      </w:pPr>
      <w:r w:rsidRPr="005A40BF">
        <w:rPr>
          <w:rFonts w:ascii="Garamond" w:hAnsi="Garamond"/>
          <w:bCs/>
          <w:iCs/>
          <w:sz w:val="20"/>
          <w:szCs w:val="20"/>
          <w:lang w:val="en-NG"/>
        </w:rPr>
        <w:t xml:space="preserve">This study like most others has its areas of strength and limitation. </w:t>
      </w:r>
      <w:r w:rsidRPr="005A40BF">
        <w:rPr>
          <w:rFonts w:ascii="Garamond" w:hAnsi="Garamond"/>
          <w:bCs/>
          <w:i/>
          <w:iCs/>
          <w:sz w:val="20"/>
          <w:szCs w:val="20"/>
          <w:lang w:val="en-NG"/>
        </w:rPr>
        <w:t>In vivo</w:t>
      </w:r>
      <w:r w:rsidRPr="005A40BF">
        <w:rPr>
          <w:rFonts w:ascii="Garamond" w:hAnsi="Garamond"/>
          <w:bCs/>
          <w:iCs/>
          <w:sz w:val="20"/>
          <w:szCs w:val="20"/>
          <w:lang w:val="en-NG"/>
        </w:rPr>
        <w:t xml:space="preserve"> testing of plant extracts for medicinal activity has some notable limitations - the issue of complexity of biological systems. The use of whole animals that exhibit complex interactions and responses that makes interpretation difficult. Actually, the activities or effects observed in this study may not be solely due to the methanol plant extract. Furthermore, there is the problem of biological variability that do exist among test subjects such as genetic differences, health status, etc., that could lead to inconsistence in outcomes, this could pose a challenge in drawing definitive conclusions. Additionally, there is problem of limited predictive value – animal-model study results may not always translate to </w:t>
      </w:r>
      <w:r w:rsidRPr="005A40BF">
        <w:rPr>
          <w:rFonts w:ascii="Garamond" w:hAnsi="Garamond"/>
          <w:bCs/>
          <w:iCs/>
          <w:sz w:val="20"/>
          <w:szCs w:val="20"/>
          <w:lang w:val="en-NG"/>
        </w:rPr>
        <w:lastRenderedPageBreak/>
        <w:t>humans due to differences in physiology and metabolism, which could lead to failure in clinical trials.</w:t>
      </w:r>
    </w:p>
    <w:p w14:paraId="73641A68" w14:textId="77777777" w:rsidR="005A40BF" w:rsidRPr="005A40BF" w:rsidRDefault="005A40BF" w:rsidP="005A40BF">
      <w:pPr>
        <w:spacing w:line="259" w:lineRule="auto"/>
        <w:jc w:val="both"/>
        <w:rPr>
          <w:rFonts w:ascii="Garamond" w:hAnsi="Garamond"/>
          <w:bCs/>
          <w:iCs/>
          <w:sz w:val="20"/>
          <w:szCs w:val="20"/>
          <w:lang w:val="en-NG"/>
        </w:rPr>
      </w:pPr>
      <w:r w:rsidRPr="005A40BF">
        <w:rPr>
          <w:rFonts w:ascii="Garamond" w:hAnsi="Garamond"/>
          <w:bCs/>
          <w:iCs/>
          <w:sz w:val="20"/>
          <w:szCs w:val="20"/>
          <w:lang w:val="en-NG"/>
        </w:rPr>
        <w:t xml:space="preserve">Overall, the present findings align with existing literature confirming that </w:t>
      </w:r>
      <w:r w:rsidRPr="005A40BF">
        <w:rPr>
          <w:rFonts w:ascii="Garamond" w:hAnsi="Garamond"/>
          <w:bCs/>
          <w:i/>
          <w:iCs/>
          <w:sz w:val="20"/>
          <w:szCs w:val="20"/>
          <w:lang w:val="en-NG"/>
        </w:rPr>
        <w:t>Artocarpus</w:t>
      </w:r>
      <w:r w:rsidRPr="005A40BF">
        <w:rPr>
          <w:rFonts w:ascii="Garamond" w:hAnsi="Garamond"/>
          <w:bCs/>
          <w:iCs/>
          <w:sz w:val="20"/>
          <w:szCs w:val="20"/>
          <w:lang w:val="en-NG"/>
        </w:rPr>
        <w:t xml:space="preserve"> species possess promising antiplasmodial activity and good safety profiles. The observed dose-dependent efficacy, favourable survival outcomes, and high LD</w:t>
      </w:r>
      <w:r w:rsidRPr="005A40BF">
        <w:rPr>
          <w:rFonts w:ascii="Cambria Math" w:hAnsi="Cambria Math" w:cs="Cambria Math"/>
          <w:bCs/>
          <w:iCs/>
          <w:sz w:val="20"/>
          <w:szCs w:val="20"/>
          <w:lang w:val="en-NG"/>
        </w:rPr>
        <w:t>₅₀</w:t>
      </w:r>
      <w:r w:rsidRPr="005A40BF">
        <w:rPr>
          <w:rFonts w:ascii="Garamond" w:hAnsi="Garamond"/>
          <w:bCs/>
          <w:iCs/>
          <w:sz w:val="20"/>
          <w:szCs w:val="20"/>
          <w:lang w:val="en-NG"/>
        </w:rPr>
        <w:t xml:space="preserve"> together support </w:t>
      </w:r>
      <w:r w:rsidRPr="005A40BF">
        <w:rPr>
          <w:rFonts w:ascii="Garamond" w:hAnsi="Garamond"/>
          <w:bCs/>
          <w:i/>
          <w:iCs/>
          <w:sz w:val="20"/>
          <w:szCs w:val="20"/>
          <w:lang w:val="en-NG"/>
        </w:rPr>
        <w:t>A. heterophyllus</w:t>
      </w:r>
      <w:r w:rsidRPr="005A40BF">
        <w:rPr>
          <w:rFonts w:ascii="Garamond" w:hAnsi="Garamond"/>
          <w:bCs/>
          <w:iCs/>
          <w:sz w:val="20"/>
          <w:szCs w:val="20"/>
          <w:lang w:val="en-NG"/>
        </w:rPr>
        <w:t xml:space="preserve"> stem-bark extract as a potential source of lead compounds for new antimalarial therapies.</w:t>
      </w:r>
    </w:p>
    <w:p w14:paraId="76A30E17" w14:textId="77777777" w:rsidR="008E5356" w:rsidRDefault="008E5356" w:rsidP="005A40BF">
      <w:pPr>
        <w:spacing w:line="259" w:lineRule="auto"/>
        <w:jc w:val="both"/>
        <w:rPr>
          <w:rFonts w:ascii="Garamond" w:hAnsi="Garamond"/>
          <w:b/>
          <w:bCs/>
          <w:iCs/>
          <w:sz w:val="22"/>
          <w:szCs w:val="22"/>
          <w:lang w:val="en-NG"/>
        </w:rPr>
      </w:pPr>
    </w:p>
    <w:p w14:paraId="62560E33" w14:textId="060E88CF" w:rsidR="005A40BF" w:rsidRPr="008E5356" w:rsidRDefault="008E5356" w:rsidP="005A40BF">
      <w:pPr>
        <w:spacing w:line="259" w:lineRule="auto"/>
        <w:jc w:val="both"/>
        <w:rPr>
          <w:rFonts w:ascii="Garamond" w:hAnsi="Garamond"/>
          <w:b/>
          <w:bCs/>
          <w:iCs/>
          <w:sz w:val="22"/>
          <w:szCs w:val="22"/>
          <w:lang w:val="en-NG"/>
        </w:rPr>
      </w:pPr>
      <w:r w:rsidRPr="008E5356">
        <w:rPr>
          <w:rFonts w:ascii="Garamond" w:hAnsi="Garamond"/>
          <w:b/>
          <w:bCs/>
          <w:iCs/>
          <w:sz w:val="22"/>
          <w:szCs w:val="22"/>
          <w:lang w:val="en-NG"/>
        </w:rPr>
        <w:t>CONCLUSION</w:t>
      </w:r>
    </w:p>
    <w:p w14:paraId="1A6BB5A3" w14:textId="77777777" w:rsidR="005A40BF" w:rsidRDefault="005A40BF" w:rsidP="005A40BF">
      <w:pPr>
        <w:spacing w:line="259" w:lineRule="auto"/>
        <w:jc w:val="both"/>
        <w:rPr>
          <w:rFonts w:ascii="Garamond" w:hAnsi="Garamond"/>
          <w:bCs/>
          <w:iCs/>
          <w:sz w:val="20"/>
          <w:szCs w:val="20"/>
          <w:lang w:val="en-NG"/>
        </w:rPr>
      </w:pPr>
      <w:r w:rsidRPr="005A40BF">
        <w:rPr>
          <w:rFonts w:ascii="Garamond" w:hAnsi="Garamond"/>
          <w:bCs/>
          <w:iCs/>
          <w:sz w:val="20"/>
          <w:szCs w:val="20"/>
          <w:lang w:val="en-NG"/>
        </w:rPr>
        <w:t xml:space="preserve">The methanolic stem-bark extract of </w:t>
      </w:r>
      <w:r w:rsidRPr="005A40BF">
        <w:rPr>
          <w:rFonts w:ascii="Garamond" w:hAnsi="Garamond"/>
          <w:bCs/>
          <w:i/>
          <w:iCs/>
          <w:sz w:val="20"/>
          <w:szCs w:val="20"/>
          <w:lang w:val="en-NG"/>
        </w:rPr>
        <w:t>Artocarpus heterophyllus</w:t>
      </w:r>
      <w:r w:rsidRPr="005A40BF">
        <w:rPr>
          <w:rFonts w:ascii="Garamond" w:hAnsi="Garamond"/>
          <w:bCs/>
          <w:iCs/>
          <w:sz w:val="20"/>
          <w:szCs w:val="20"/>
          <w:lang w:val="en-NG"/>
        </w:rPr>
        <w:t xml:space="preserve"> exhibited significant dose-dependent antiplasmodial activity achieving over 50% suppression at 100–200 mg/kg and demonstrating good safety margins and minimal histopathological alterations in </w:t>
      </w:r>
      <w:r w:rsidRPr="005A40BF">
        <w:rPr>
          <w:rFonts w:ascii="Garamond" w:hAnsi="Garamond"/>
          <w:bCs/>
          <w:i/>
          <w:iCs/>
          <w:sz w:val="20"/>
          <w:szCs w:val="20"/>
          <w:lang w:val="en-NG"/>
        </w:rPr>
        <w:t>P. berghei</w:t>
      </w:r>
      <w:r w:rsidRPr="005A40BF">
        <w:rPr>
          <w:rFonts w:ascii="Garamond" w:hAnsi="Garamond"/>
          <w:bCs/>
          <w:iCs/>
          <w:sz w:val="20"/>
          <w:szCs w:val="20"/>
          <w:lang w:val="en-NG"/>
        </w:rPr>
        <w:t>-infected mice. These results confirm its ethnomedicinal use against malaria and suggest further studies focusing on isolation and characterization of active constituents, as well as mechanistic and chronic toxicity assessments.</w:t>
      </w:r>
    </w:p>
    <w:p w14:paraId="61E05A39" w14:textId="77777777" w:rsidR="000D2CEF" w:rsidRPr="005A40BF" w:rsidRDefault="000D2CEF" w:rsidP="005A40BF">
      <w:pPr>
        <w:spacing w:line="259" w:lineRule="auto"/>
        <w:jc w:val="both"/>
        <w:rPr>
          <w:rFonts w:ascii="Garamond" w:hAnsi="Garamond"/>
          <w:bCs/>
          <w:iCs/>
          <w:sz w:val="20"/>
          <w:szCs w:val="20"/>
          <w:lang w:val="en-NG"/>
        </w:rPr>
      </w:pPr>
    </w:p>
    <w:p w14:paraId="3123F267" w14:textId="77777777" w:rsidR="005A40BF" w:rsidRPr="008E5356" w:rsidRDefault="005A40BF" w:rsidP="005A40BF">
      <w:pPr>
        <w:spacing w:line="259" w:lineRule="auto"/>
        <w:jc w:val="both"/>
        <w:rPr>
          <w:rFonts w:ascii="Garamond" w:hAnsi="Garamond"/>
          <w:b/>
          <w:bCs/>
          <w:iCs/>
          <w:sz w:val="22"/>
          <w:szCs w:val="22"/>
          <w:lang w:val="en-NG"/>
        </w:rPr>
      </w:pPr>
      <w:r w:rsidRPr="008E5356">
        <w:rPr>
          <w:rFonts w:ascii="Garamond" w:hAnsi="Garamond"/>
          <w:b/>
          <w:bCs/>
          <w:iCs/>
          <w:sz w:val="22"/>
          <w:szCs w:val="22"/>
          <w:lang w:val="en-NG"/>
        </w:rPr>
        <w:t>Declarations</w:t>
      </w:r>
    </w:p>
    <w:p w14:paraId="131F657A" w14:textId="77777777" w:rsidR="0084061C" w:rsidRPr="00B116F1" w:rsidRDefault="005A40BF" w:rsidP="0084061C">
      <w:pPr>
        <w:rPr>
          <w:rFonts w:ascii="Garamond" w:hAnsi="Garamond" w:cs="Times New Roman"/>
          <w:sz w:val="20"/>
          <w:szCs w:val="20"/>
        </w:rPr>
      </w:pPr>
      <w:r w:rsidRPr="008E5356">
        <w:rPr>
          <w:rFonts w:ascii="Garamond" w:hAnsi="Garamond"/>
          <w:b/>
          <w:bCs/>
          <w:i/>
          <w:sz w:val="20"/>
          <w:szCs w:val="20"/>
          <w:lang w:val="en-NG"/>
        </w:rPr>
        <w:t>Contributions of authors</w:t>
      </w:r>
      <w:r w:rsidRPr="005A40BF">
        <w:rPr>
          <w:rFonts w:ascii="Garamond" w:hAnsi="Garamond"/>
          <w:b/>
          <w:bCs/>
          <w:iCs/>
          <w:sz w:val="20"/>
          <w:szCs w:val="20"/>
          <w:lang w:val="en-NG"/>
        </w:rPr>
        <w:t xml:space="preserve">: </w:t>
      </w:r>
      <w:r w:rsidR="0084061C" w:rsidRPr="00B116F1">
        <w:rPr>
          <w:rFonts w:ascii="Garamond" w:hAnsi="Garamond" w:cs="Times New Roman"/>
          <w:sz w:val="20"/>
          <w:szCs w:val="20"/>
        </w:rPr>
        <w:t>AAI, GIO, and COO conceptualized this study. AAI, UEE, ABO designed the study. OME, CJI, PAO, and BEE participated in fieldwork and data collection. AAI performed data analysis and interpretation. All authors contributed to the development of the final manuscript and approved its submission.</w:t>
      </w:r>
    </w:p>
    <w:p w14:paraId="5005AB77" w14:textId="3684B3EA" w:rsidR="005A40BF" w:rsidRPr="005A40BF" w:rsidRDefault="005A40BF" w:rsidP="005A40BF">
      <w:pPr>
        <w:spacing w:line="259" w:lineRule="auto"/>
        <w:jc w:val="both"/>
        <w:rPr>
          <w:rFonts w:ascii="Garamond" w:hAnsi="Garamond"/>
          <w:bCs/>
          <w:iCs/>
          <w:sz w:val="20"/>
          <w:szCs w:val="20"/>
          <w:lang w:val="en-NG"/>
        </w:rPr>
      </w:pPr>
      <w:r w:rsidRPr="008E5356">
        <w:rPr>
          <w:rFonts w:ascii="Garamond" w:hAnsi="Garamond"/>
          <w:b/>
          <w:bCs/>
          <w:i/>
          <w:sz w:val="20"/>
          <w:szCs w:val="20"/>
          <w:lang w:val="en-NG"/>
        </w:rPr>
        <w:t>Source of Funding:</w:t>
      </w:r>
      <w:r w:rsidRPr="005A40BF">
        <w:rPr>
          <w:rFonts w:ascii="Garamond" w:hAnsi="Garamond"/>
          <w:b/>
          <w:bCs/>
          <w:iCs/>
          <w:sz w:val="20"/>
          <w:szCs w:val="20"/>
          <w:lang w:val="en-NG"/>
        </w:rPr>
        <w:t xml:space="preserve"> </w:t>
      </w:r>
      <w:r w:rsidRPr="005A40BF">
        <w:rPr>
          <w:rFonts w:ascii="Garamond" w:hAnsi="Garamond"/>
          <w:bCs/>
          <w:iCs/>
          <w:sz w:val="20"/>
          <w:szCs w:val="20"/>
          <w:lang w:val="en-NG"/>
        </w:rPr>
        <w:t>None.</w:t>
      </w:r>
    </w:p>
    <w:p w14:paraId="048FC947" w14:textId="77777777" w:rsidR="005A40BF" w:rsidRPr="005A40BF" w:rsidRDefault="005A40BF" w:rsidP="005A40BF">
      <w:pPr>
        <w:spacing w:line="259" w:lineRule="auto"/>
        <w:jc w:val="both"/>
        <w:rPr>
          <w:rFonts w:ascii="Garamond" w:hAnsi="Garamond"/>
          <w:bCs/>
          <w:iCs/>
          <w:sz w:val="20"/>
          <w:szCs w:val="20"/>
          <w:lang w:val="en-NG"/>
        </w:rPr>
      </w:pPr>
      <w:r w:rsidRPr="008E5356">
        <w:rPr>
          <w:rFonts w:ascii="Garamond" w:hAnsi="Garamond"/>
          <w:b/>
          <w:bCs/>
          <w:i/>
          <w:sz w:val="20"/>
          <w:szCs w:val="20"/>
          <w:lang w:val="en-NG"/>
        </w:rPr>
        <w:t>Conflict of Interest:</w:t>
      </w:r>
      <w:r w:rsidRPr="005A40BF">
        <w:rPr>
          <w:rFonts w:ascii="Garamond" w:hAnsi="Garamond"/>
          <w:b/>
          <w:bCs/>
          <w:iCs/>
          <w:sz w:val="20"/>
          <w:szCs w:val="20"/>
          <w:lang w:val="en-NG"/>
        </w:rPr>
        <w:t xml:space="preserve"> </w:t>
      </w:r>
      <w:r w:rsidRPr="005A40BF">
        <w:rPr>
          <w:rFonts w:ascii="Garamond" w:hAnsi="Garamond"/>
          <w:bCs/>
          <w:iCs/>
          <w:sz w:val="20"/>
          <w:szCs w:val="20"/>
          <w:lang w:val="en-NG"/>
        </w:rPr>
        <w:t>The authors declare no conflict of interest.</w:t>
      </w:r>
    </w:p>
    <w:p w14:paraId="215AFBC8" w14:textId="77777777" w:rsidR="00A62AD8" w:rsidRDefault="00A62AD8" w:rsidP="007A1526">
      <w:pPr>
        <w:spacing w:line="259" w:lineRule="auto"/>
        <w:jc w:val="both"/>
        <w:rPr>
          <w:rFonts w:ascii="Garamond" w:hAnsi="Garamond"/>
          <w:bCs/>
          <w:iCs/>
          <w:sz w:val="20"/>
          <w:szCs w:val="20"/>
        </w:rPr>
      </w:pPr>
    </w:p>
    <w:p w14:paraId="4F363A95" w14:textId="58E558D2" w:rsidR="000D2CEF" w:rsidRPr="000D2CEF" w:rsidRDefault="008E5356" w:rsidP="000D2CEF">
      <w:pPr>
        <w:spacing w:line="259" w:lineRule="auto"/>
        <w:jc w:val="both"/>
        <w:rPr>
          <w:rFonts w:ascii="Garamond" w:hAnsi="Garamond"/>
          <w:b/>
          <w:bCs/>
          <w:iCs/>
          <w:sz w:val="22"/>
          <w:szCs w:val="22"/>
          <w:lang w:val="en-NG"/>
        </w:rPr>
      </w:pPr>
      <w:r w:rsidRPr="000D2CEF">
        <w:rPr>
          <w:rFonts w:ascii="Garamond" w:hAnsi="Garamond"/>
          <w:b/>
          <w:bCs/>
          <w:iCs/>
          <w:sz w:val="22"/>
          <w:szCs w:val="22"/>
          <w:lang w:val="en-NG"/>
        </w:rPr>
        <w:t>REFERENCES</w:t>
      </w:r>
    </w:p>
    <w:p w14:paraId="6E724283" w14:textId="77777777" w:rsidR="000D2CEF" w:rsidRPr="000D2CEF" w:rsidRDefault="000D2CEF" w:rsidP="008E5356">
      <w:pPr>
        <w:numPr>
          <w:ilvl w:val="0"/>
          <w:numId w:val="26"/>
        </w:numPr>
        <w:tabs>
          <w:tab w:val="clear" w:pos="720"/>
          <w:tab w:val="num" w:pos="284"/>
        </w:tabs>
        <w:ind w:left="284" w:hanging="284"/>
        <w:rPr>
          <w:rFonts w:ascii="Garamond" w:hAnsi="Garamond"/>
          <w:bCs/>
          <w:iCs/>
          <w:sz w:val="20"/>
          <w:szCs w:val="20"/>
          <w:lang w:val="en-NG"/>
        </w:rPr>
      </w:pPr>
      <w:r w:rsidRPr="000D2CEF">
        <w:rPr>
          <w:rFonts w:ascii="Garamond" w:hAnsi="Garamond"/>
          <w:bCs/>
          <w:iCs/>
          <w:sz w:val="20"/>
          <w:szCs w:val="20"/>
          <w:lang w:val="en-NG"/>
        </w:rPr>
        <w:t>World Health Organization. World malaria report 2023. Geneva: WHO; 2023.</w:t>
      </w:r>
    </w:p>
    <w:p w14:paraId="306E9A5F" w14:textId="77777777" w:rsidR="000D2CEF" w:rsidRPr="000D2CEF" w:rsidRDefault="000D2CEF" w:rsidP="008E5356">
      <w:pPr>
        <w:numPr>
          <w:ilvl w:val="0"/>
          <w:numId w:val="26"/>
        </w:numPr>
        <w:tabs>
          <w:tab w:val="clear" w:pos="720"/>
          <w:tab w:val="num" w:pos="284"/>
        </w:tabs>
        <w:ind w:left="284" w:hanging="284"/>
        <w:rPr>
          <w:rFonts w:ascii="Garamond" w:hAnsi="Garamond"/>
          <w:bCs/>
          <w:iCs/>
          <w:sz w:val="20"/>
          <w:szCs w:val="20"/>
          <w:lang w:val="en-NG"/>
        </w:rPr>
      </w:pPr>
      <w:r w:rsidRPr="000D2CEF">
        <w:rPr>
          <w:rFonts w:ascii="Garamond" w:hAnsi="Garamond"/>
          <w:bCs/>
          <w:iCs/>
          <w:sz w:val="20"/>
          <w:szCs w:val="20"/>
          <w:lang w:val="en-NG"/>
        </w:rPr>
        <w:t xml:space="preserve">Snow RW, Sartorius B, Kyalo D, Maina J, Amratia P, Mundia CW, et al. The prevalence of </w:t>
      </w:r>
      <w:r w:rsidRPr="000D2CEF">
        <w:rPr>
          <w:rFonts w:ascii="Garamond" w:hAnsi="Garamond"/>
          <w:bCs/>
          <w:i/>
          <w:iCs/>
          <w:sz w:val="20"/>
          <w:szCs w:val="20"/>
          <w:lang w:val="en-NG"/>
        </w:rPr>
        <w:t>Plasmodium falciparum</w:t>
      </w:r>
      <w:r w:rsidRPr="000D2CEF">
        <w:rPr>
          <w:rFonts w:ascii="Garamond" w:hAnsi="Garamond"/>
          <w:bCs/>
          <w:iCs/>
          <w:sz w:val="20"/>
          <w:szCs w:val="20"/>
          <w:lang w:val="en-NG"/>
        </w:rPr>
        <w:t xml:space="preserve"> in sub-Saharan Africa since 1900. Nature. 2020;550(7677):515–8.</w:t>
      </w:r>
    </w:p>
    <w:p w14:paraId="1E24EEE1" w14:textId="77777777" w:rsidR="000D2CEF" w:rsidRPr="000D2CEF" w:rsidRDefault="000D2CEF" w:rsidP="008E5356">
      <w:pPr>
        <w:numPr>
          <w:ilvl w:val="0"/>
          <w:numId w:val="26"/>
        </w:numPr>
        <w:tabs>
          <w:tab w:val="clear" w:pos="720"/>
          <w:tab w:val="num" w:pos="284"/>
        </w:tabs>
        <w:ind w:left="284" w:hanging="284"/>
        <w:rPr>
          <w:rFonts w:ascii="Garamond" w:hAnsi="Garamond"/>
          <w:bCs/>
          <w:iCs/>
          <w:sz w:val="20"/>
          <w:szCs w:val="20"/>
          <w:lang w:val="en-NG"/>
        </w:rPr>
      </w:pPr>
      <w:r w:rsidRPr="000D2CEF">
        <w:rPr>
          <w:rFonts w:ascii="Garamond" w:hAnsi="Garamond"/>
          <w:bCs/>
          <w:iCs/>
          <w:sz w:val="20"/>
          <w:szCs w:val="20"/>
          <w:lang w:val="en-NG"/>
        </w:rPr>
        <w:t>White NJ, Pukrittayakamee S, Hien TT, Faiz MA, Mokuolu OA, Dondorp AM. Malaria. Lancet. 2014;383(9918):723–35.</w:t>
      </w:r>
    </w:p>
    <w:p w14:paraId="09ECE257" w14:textId="77777777" w:rsidR="000D2CEF" w:rsidRPr="000D2CEF" w:rsidRDefault="000D2CEF" w:rsidP="008E5356">
      <w:pPr>
        <w:numPr>
          <w:ilvl w:val="0"/>
          <w:numId w:val="26"/>
        </w:numPr>
        <w:tabs>
          <w:tab w:val="clear" w:pos="720"/>
          <w:tab w:val="num" w:pos="284"/>
        </w:tabs>
        <w:ind w:left="284" w:hanging="284"/>
        <w:rPr>
          <w:rFonts w:ascii="Garamond" w:hAnsi="Garamond"/>
          <w:bCs/>
          <w:iCs/>
          <w:sz w:val="20"/>
          <w:szCs w:val="20"/>
          <w:lang w:val="en-NG"/>
        </w:rPr>
      </w:pPr>
      <w:r w:rsidRPr="000D2CEF">
        <w:rPr>
          <w:rFonts w:ascii="Garamond" w:hAnsi="Garamond"/>
          <w:bCs/>
          <w:iCs/>
          <w:sz w:val="20"/>
          <w:szCs w:val="20"/>
          <w:lang w:val="en-NG"/>
        </w:rPr>
        <w:t>Noedl H, Se Y, Schaecher K, Smith BL, Socheat D, Fukuda MM. Evidence of artemisinin-resistant malaria in western Cambodia. N Engl J Med. 2008;359(24):2619–20.</w:t>
      </w:r>
    </w:p>
    <w:p w14:paraId="5FB3EAB6" w14:textId="77777777" w:rsidR="000D2CEF" w:rsidRPr="000D2CEF" w:rsidRDefault="000D2CEF" w:rsidP="008E5356">
      <w:pPr>
        <w:numPr>
          <w:ilvl w:val="0"/>
          <w:numId w:val="26"/>
        </w:numPr>
        <w:tabs>
          <w:tab w:val="clear" w:pos="720"/>
          <w:tab w:val="num" w:pos="284"/>
        </w:tabs>
        <w:ind w:left="284" w:hanging="284"/>
        <w:rPr>
          <w:rFonts w:ascii="Garamond" w:hAnsi="Garamond"/>
          <w:bCs/>
          <w:iCs/>
          <w:sz w:val="20"/>
          <w:szCs w:val="20"/>
          <w:lang w:val="en-NG"/>
        </w:rPr>
      </w:pPr>
      <w:r w:rsidRPr="000D2CEF">
        <w:rPr>
          <w:rFonts w:ascii="Garamond" w:hAnsi="Garamond"/>
          <w:bCs/>
          <w:iCs/>
          <w:sz w:val="20"/>
          <w:szCs w:val="20"/>
          <w:lang w:val="en-NG"/>
        </w:rPr>
        <w:t xml:space="preserve">Blasco B, Leroy D, Fidock DA. Antimalarial drug resistance: linking </w:t>
      </w:r>
      <w:r w:rsidRPr="000D2CEF">
        <w:rPr>
          <w:rFonts w:ascii="Garamond" w:hAnsi="Garamond"/>
          <w:bCs/>
          <w:i/>
          <w:iCs/>
          <w:sz w:val="20"/>
          <w:szCs w:val="20"/>
          <w:lang w:val="en-NG"/>
        </w:rPr>
        <w:t>Plasmodium falciparum</w:t>
      </w:r>
      <w:r w:rsidRPr="000D2CEF">
        <w:rPr>
          <w:rFonts w:ascii="Garamond" w:hAnsi="Garamond"/>
          <w:bCs/>
          <w:iCs/>
          <w:sz w:val="20"/>
          <w:szCs w:val="20"/>
          <w:lang w:val="en-NG"/>
        </w:rPr>
        <w:t xml:space="preserve"> parasite biology to the clinic. Nat Med. 2017;23(8):917–28.</w:t>
      </w:r>
    </w:p>
    <w:p w14:paraId="1440306C" w14:textId="77777777" w:rsidR="000D2CEF" w:rsidRPr="000D2CEF" w:rsidRDefault="000D2CEF" w:rsidP="008E5356">
      <w:pPr>
        <w:numPr>
          <w:ilvl w:val="0"/>
          <w:numId w:val="26"/>
        </w:numPr>
        <w:tabs>
          <w:tab w:val="clear" w:pos="720"/>
          <w:tab w:val="num" w:pos="284"/>
        </w:tabs>
        <w:ind w:left="284" w:hanging="284"/>
        <w:rPr>
          <w:rFonts w:ascii="Garamond" w:hAnsi="Garamond"/>
          <w:bCs/>
          <w:iCs/>
          <w:sz w:val="20"/>
          <w:szCs w:val="20"/>
          <w:lang w:val="en-NG"/>
        </w:rPr>
      </w:pPr>
      <w:r w:rsidRPr="000D2CEF">
        <w:rPr>
          <w:rFonts w:ascii="Garamond" w:hAnsi="Garamond"/>
          <w:bCs/>
          <w:iCs/>
          <w:sz w:val="20"/>
          <w:szCs w:val="20"/>
          <w:lang w:val="en-NG"/>
        </w:rPr>
        <w:t>Fidock DA, Rosenthal PJ, Croft SL, Brun R, Nwaka S. Antimalarial drug discovery: efficacy models for compound screening. Nat Rev Drug Discov. 2004;3(6):509–20.</w:t>
      </w:r>
    </w:p>
    <w:p w14:paraId="7D8E4CB6" w14:textId="77777777" w:rsidR="000D2CEF" w:rsidRPr="000D2CEF" w:rsidRDefault="000D2CEF" w:rsidP="008E5356">
      <w:pPr>
        <w:numPr>
          <w:ilvl w:val="0"/>
          <w:numId w:val="26"/>
        </w:numPr>
        <w:tabs>
          <w:tab w:val="clear" w:pos="720"/>
          <w:tab w:val="num" w:pos="284"/>
        </w:tabs>
        <w:ind w:left="284" w:hanging="284"/>
        <w:rPr>
          <w:rFonts w:ascii="Garamond" w:hAnsi="Garamond"/>
          <w:bCs/>
          <w:iCs/>
          <w:sz w:val="20"/>
          <w:szCs w:val="20"/>
          <w:lang w:val="en-NG"/>
        </w:rPr>
      </w:pPr>
      <w:r w:rsidRPr="000D2CEF">
        <w:rPr>
          <w:rFonts w:ascii="Garamond" w:hAnsi="Garamond"/>
          <w:bCs/>
          <w:iCs/>
          <w:sz w:val="20"/>
          <w:szCs w:val="20"/>
          <w:lang w:val="en-NG"/>
        </w:rPr>
        <w:t>Willcox ML, Bodeker G, Bourdy G. Traditional medicinal plants and malaria. Boca Raton: CRC Press; 2011.</w:t>
      </w:r>
    </w:p>
    <w:p w14:paraId="5721EC22" w14:textId="77777777" w:rsidR="000D2CEF" w:rsidRPr="000D2CEF" w:rsidRDefault="000D2CEF" w:rsidP="008E5356">
      <w:pPr>
        <w:numPr>
          <w:ilvl w:val="0"/>
          <w:numId w:val="26"/>
        </w:numPr>
        <w:tabs>
          <w:tab w:val="clear" w:pos="720"/>
          <w:tab w:val="num" w:pos="284"/>
        </w:tabs>
        <w:ind w:left="284" w:hanging="284"/>
        <w:rPr>
          <w:rFonts w:ascii="Garamond" w:hAnsi="Garamond"/>
          <w:bCs/>
          <w:iCs/>
          <w:sz w:val="20"/>
          <w:szCs w:val="20"/>
          <w:lang w:val="en-NG"/>
        </w:rPr>
      </w:pPr>
      <w:r w:rsidRPr="000D2CEF">
        <w:rPr>
          <w:rFonts w:ascii="Garamond" w:hAnsi="Garamond"/>
          <w:bCs/>
          <w:iCs/>
          <w:sz w:val="20"/>
          <w:szCs w:val="20"/>
          <w:lang w:val="en-NG"/>
        </w:rPr>
        <w:t xml:space="preserve">Nguyen PH, Tran MH, Oh SH. Traditional uses and pharmacological properties of </w:t>
      </w:r>
      <w:r w:rsidRPr="000D2CEF">
        <w:rPr>
          <w:rFonts w:ascii="Garamond" w:hAnsi="Garamond"/>
          <w:bCs/>
          <w:i/>
          <w:iCs/>
          <w:sz w:val="20"/>
          <w:szCs w:val="20"/>
          <w:lang w:val="en-NG"/>
        </w:rPr>
        <w:t>Artocarpus heterophyllus</w:t>
      </w:r>
      <w:r w:rsidRPr="000D2CEF">
        <w:rPr>
          <w:rFonts w:ascii="Garamond" w:hAnsi="Garamond"/>
          <w:bCs/>
          <w:iCs/>
          <w:sz w:val="20"/>
          <w:szCs w:val="20"/>
          <w:lang w:val="en-NG"/>
        </w:rPr>
        <w:t>: an overview. Asian Pac J Trop Biomed. 2016;6(11):987–94.</w:t>
      </w:r>
    </w:p>
    <w:p w14:paraId="4B6CC4AB" w14:textId="77777777" w:rsidR="000D2CEF" w:rsidRPr="000D2CEF" w:rsidRDefault="000D2CEF" w:rsidP="008E5356">
      <w:pPr>
        <w:numPr>
          <w:ilvl w:val="0"/>
          <w:numId w:val="26"/>
        </w:numPr>
        <w:tabs>
          <w:tab w:val="clear" w:pos="720"/>
          <w:tab w:val="num" w:pos="284"/>
        </w:tabs>
        <w:ind w:left="284" w:hanging="284"/>
        <w:rPr>
          <w:rFonts w:ascii="Garamond" w:hAnsi="Garamond"/>
          <w:bCs/>
          <w:iCs/>
          <w:sz w:val="20"/>
          <w:szCs w:val="20"/>
          <w:lang w:val="en-NG"/>
        </w:rPr>
      </w:pPr>
      <w:r w:rsidRPr="000D2CEF">
        <w:rPr>
          <w:rFonts w:ascii="Garamond" w:hAnsi="Garamond"/>
          <w:bCs/>
          <w:iCs/>
          <w:sz w:val="20"/>
          <w:szCs w:val="20"/>
          <w:lang w:val="en-NG"/>
        </w:rPr>
        <w:t xml:space="preserve">Ogunlesi M, Adaramoye O, Ogundipe O. Evaluation of antimicrobial and antioxidant properties of </w:t>
      </w:r>
      <w:r w:rsidRPr="000D2CEF">
        <w:rPr>
          <w:rFonts w:ascii="Garamond" w:hAnsi="Garamond"/>
          <w:bCs/>
          <w:i/>
          <w:iCs/>
          <w:sz w:val="20"/>
          <w:szCs w:val="20"/>
          <w:lang w:val="en-NG"/>
        </w:rPr>
        <w:t>Artocarpus heterophyllus</w:t>
      </w:r>
      <w:r w:rsidRPr="000D2CEF">
        <w:rPr>
          <w:rFonts w:ascii="Garamond" w:hAnsi="Garamond"/>
          <w:bCs/>
          <w:iCs/>
          <w:sz w:val="20"/>
          <w:szCs w:val="20"/>
          <w:lang w:val="en-NG"/>
        </w:rPr>
        <w:t>. Afr J Tradit Complement Altern Med. 2021;18(5):65–73.</w:t>
      </w:r>
    </w:p>
    <w:p w14:paraId="26C1B8AD" w14:textId="77777777" w:rsidR="000D2CEF" w:rsidRPr="000D2CEF" w:rsidRDefault="000D2CEF" w:rsidP="008E5356">
      <w:pPr>
        <w:numPr>
          <w:ilvl w:val="0"/>
          <w:numId w:val="26"/>
        </w:numPr>
        <w:tabs>
          <w:tab w:val="clear" w:pos="720"/>
          <w:tab w:val="num" w:pos="284"/>
        </w:tabs>
        <w:ind w:left="284" w:hanging="284"/>
        <w:rPr>
          <w:rFonts w:ascii="Garamond" w:hAnsi="Garamond"/>
          <w:bCs/>
          <w:iCs/>
          <w:sz w:val="20"/>
          <w:szCs w:val="20"/>
          <w:lang w:val="en-NG"/>
        </w:rPr>
      </w:pPr>
      <w:r w:rsidRPr="000D2CEF">
        <w:rPr>
          <w:rFonts w:ascii="Garamond" w:hAnsi="Garamond"/>
          <w:bCs/>
          <w:iCs/>
          <w:sz w:val="20"/>
          <w:szCs w:val="20"/>
          <w:lang w:val="en-NG"/>
        </w:rPr>
        <w:t xml:space="preserve">Mandal S, Roy A, Das S. Phytochemical and pharmacological overview of </w:t>
      </w:r>
      <w:r w:rsidRPr="000D2CEF">
        <w:rPr>
          <w:rFonts w:ascii="Garamond" w:hAnsi="Garamond"/>
          <w:bCs/>
          <w:i/>
          <w:iCs/>
          <w:sz w:val="20"/>
          <w:szCs w:val="20"/>
          <w:lang w:val="en-NG"/>
        </w:rPr>
        <w:t>Artocarpus heterophyllus</w:t>
      </w:r>
      <w:r w:rsidRPr="000D2CEF">
        <w:rPr>
          <w:rFonts w:ascii="Garamond" w:hAnsi="Garamond"/>
          <w:bCs/>
          <w:iCs/>
          <w:sz w:val="20"/>
          <w:szCs w:val="20"/>
          <w:lang w:val="en-NG"/>
        </w:rPr>
        <w:t xml:space="preserve"> Lam. Int J Pharm Sci Rev Res. 2020;62(1):123–30.</w:t>
      </w:r>
    </w:p>
    <w:p w14:paraId="70D6958B" w14:textId="77777777" w:rsidR="000D2CEF" w:rsidRPr="000D2CEF" w:rsidRDefault="000D2CEF" w:rsidP="008E5356">
      <w:pPr>
        <w:numPr>
          <w:ilvl w:val="0"/>
          <w:numId w:val="26"/>
        </w:numPr>
        <w:tabs>
          <w:tab w:val="clear" w:pos="720"/>
          <w:tab w:val="num" w:pos="284"/>
        </w:tabs>
        <w:ind w:left="284" w:hanging="284"/>
        <w:rPr>
          <w:rFonts w:ascii="Garamond" w:hAnsi="Garamond"/>
          <w:bCs/>
          <w:iCs/>
          <w:sz w:val="20"/>
          <w:szCs w:val="20"/>
          <w:lang w:val="en-NG"/>
        </w:rPr>
      </w:pPr>
      <w:r w:rsidRPr="000D2CEF">
        <w:rPr>
          <w:rFonts w:ascii="Garamond" w:hAnsi="Garamond"/>
          <w:bCs/>
          <w:iCs/>
          <w:sz w:val="20"/>
          <w:szCs w:val="20"/>
          <w:lang w:val="en-NG"/>
        </w:rPr>
        <w:t xml:space="preserve">Chen H, Li X, Zhang Y. Bioactive phenolic constituents of </w:t>
      </w:r>
      <w:r w:rsidRPr="000D2CEF">
        <w:rPr>
          <w:rFonts w:ascii="Garamond" w:hAnsi="Garamond"/>
          <w:bCs/>
          <w:i/>
          <w:iCs/>
          <w:sz w:val="20"/>
          <w:szCs w:val="20"/>
          <w:lang w:val="en-NG"/>
        </w:rPr>
        <w:t>Artocarpus</w:t>
      </w:r>
      <w:r w:rsidRPr="000D2CEF">
        <w:rPr>
          <w:rFonts w:ascii="Garamond" w:hAnsi="Garamond"/>
          <w:bCs/>
          <w:iCs/>
          <w:sz w:val="20"/>
          <w:szCs w:val="20"/>
          <w:lang w:val="en-NG"/>
        </w:rPr>
        <w:t xml:space="preserve"> species: chemistry and pharmacology. Phytochem Rev. 2021;20(3):555–75.</w:t>
      </w:r>
    </w:p>
    <w:p w14:paraId="7333E762" w14:textId="77777777" w:rsidR="000D2CEF" w:rsidRPr="000D2CEF" w:rsidRDefault="000D2CEF" w:rsidP="008E5356">
      <w:pPr>
        <w:numPr>
          <w:ilvl w:val="0"/>
          <w:numId w:val="26"/>
        </w:numPr>
        <w:tabs>
          <w:tab w:val="clear" w:pos="720"/>
          <w:tab w:val="num" w:pos="284"/>
        </w:tabs>
        <w:ind w:left="284" w:hanging="284"/>
        <w:rPr>
          <w:rFonts w:ascii="Garamond" w:hAnsi="Garamond"/>
          <w:bCs/>
          <w:iCs/>
          <w:sz w:val="20"/>
          <w:szCs w:val="20"/>
          <w:lang w:val="en-NG"/>
        </w:rPr>
      </w:pPr>
      <w:r w:rsidRPr="000D2CEF">
        <w:rPr>
          <w:rFonts w:ascii="Garamond" w:hAnsi="Garamond"/>
          <w:bCs/>
          <w:iCs/>
          <w:sz w:val="20"/>
          <w:szCs w:val="20"/>
          <w:lang w:val="en-NG"/>
        </w:rPr>
        <w:t xml:space="preserve">Ahmad S, Khan MS, Jameel M. Ethnomedicinal and pharmacological potential of </w:t>
      </w:r>
      <w:r w:rsidRPr="000D2CEF">
        <w:rPr>
          <w:rFonts w:ascii="Garamond" w:hAnsi="Garamond"/>
          <w:bCs/>
          <w:i/>
          <w:iCs/>
          <w:sz w:val="20"/>
          <w:szCs w:val="20"/>
          <w:lang w:val="en-NG"/>
        </w:rPr>
        <w:t>Artocarpus</w:t>
      </w:r>
      <w:r w:rsidRPr="000D2CEF">
        <w:rPr>
          <w:rFonts w:ascii="Garamond" w:hAnsi="Garamond"/>
          <w:bCs/>
          <w:iCs/>
          <w:sz w:val="20"/>
          <w:szCs w:val="20"/>
          <w:lang w:val="en-NG"/>
        </w:rPr>
        <w:t xml:space="preserve"> species: a review. J Pharm Pharmacol. 2017;69(4):437–52.</w:t>
      </w:r>
    </w:p>
    <w:p w14:paraId="29409E67" w14:textId="77777777" w:rsidR="000D2CEF" w:rsidRPr="000D2CEF" w:rsidRDefault="000D2CEF" w:rsidP="008E5356">
      <w:pPr>
        <w:numPr>
          <w:ilvl w:val="0"/>
          <w:numId w:val="26"/>
        </w:numPr>
        <w:tabs>
          <w:tab w:val="clear" w:pos="720"/>
          <w:tab w:val="num" w:pos="284"/>
        </w:tabs>
        <w:ind w:left="284" w:hanging="284"/>
        <w:rPr>
          <w:rFonts w:ascii="Garamond" w:hAnsi="Garamond"/>
          <w:bCs/>
          <w:iCs/>
          <w:sz w:val="20"/>
          <w:szCs w:val="20"/>
          <w:lang w:val="en-NG"/>
        </w:rPr>
      </w:pPr>
      <w:r w:rsidRPr="000D2CEF">
        <w:rPr>
          <w:rFonts w:ascii="Garamond" w:hAnsi="Garamond"/>
          <w:bCs/>
          <w:iCs/>
          <w:sz w:val="20"/>
          <w:szCs w:val="20"/>
          <w:lang w:val="en-NG"/>
        </w:rPr>
        <w:t>Peters W, Portus H, Robinson BL. The four-day suppressive in vivo antimalarial test. Ann Trop Med Parasitol. 1975;69(2):155–71.</w:t>
      </w:r>
    </w:p>
    <w:p w14:paraId="2F099C60" w14:textId="77777777" w:rsidR="000D2CEF" w:rsidRPr="000D2CEF" w:rsidRDefault="000D2CEF" w:rsidP="008E5356">
      <w:pPr>
        <w:numPr>
          <w:ilvl w:val="0"/>
          <w:numId w:val="26"/>
        </w:numPr>
        <w:tabs>
          <w:tab w:val="clear" w:pos="720"/>
          <w:tab w:val="num" w:pos="284"/>
        </w:tabs>
        <w:ind w:left="284" w:hanging="284"/>
        <w:rPr>
          <w:rFonts w:ascii="Garamond" w:hAnsi="Garamond"/>
          <w:bCs/>
          <w:iCs/>
          <w:sz w:val="20"/>
          <w:szCs w:val="20"/>
          <w:lang w:val="en-NG"/>
        </w:rPr>
      </w:pPr>
      <w:r w:rsidRPr="000D2CEF">
        <w:rPr>
          <w:rFonts w:ascii="Garamond" w:hAnsi="Garamond"/>
          <w:bCs/>
          <w:iCs/>
          <w:sz w:val="20"/>
          <w:szCs w:val="20"/>
          <w:lang w:val="en-NG"/>
        </w:rPr>
        <w:t>Organisation for Economic Co-operation and Development (OECD). Guideline for testing of chemicals: acute oral toxicity — up-and-down procedure (No. 423). Paris: OECD; 2001.</w:t>
      </w:r>
    </w:p>
    <w:p w14:paraId="1EC0E93E" w14:textId="77777777" w:rsidR="000D2CEF" w:rsidRPr="000D2CEF" w:rsidRDefault="000D2CEF" w:rsidP="008E5356">
      <w:pPr>
        <w:numPr>
          <w:ilvl w:val="0"/>
          <w:numId w:val="26"/>
        </w:numPr>
        <w:tabs>
          <w:tab w:val="clear" w:pos="720"/>
          <w:tab w:val="num" w:pos="284"/>
        </w:tabs>
        <w:ind w:left="284" w:hanging="284"/>
        <w:rPr>
          <w:rFonts w:ascii="Garamond" w:hAnsi="Garamond"/>
          <w:bCs/>
          <w:iCs/>
          <w:sz w:val="20"/>
          <w:szCs w:val="20"/>
          <w:lang w:val="en-NG"/>
        </w:rPr>
      </w:pPr>
      <w:r w:rsidRPr="000D2CEF">
        <w:rPr>
          <w:rFonts w:ascii="Garamond" w:hAnsi="Garamond"/>
          <w:bCs/>
          <w:iCs/>
          <w:sz w:val="20"/>
          <w:szCs w:val="20"/>
          <w:lang w:val="en-NG"/>
        </w:rPr>
        <w:t>Sofowora A. Medicinal plants and traditional medicine in Africa. 3rd ed. Ibadan: Spectrum Books; 2008.</w:t>
      </w:r>
    </w:p>
    <w:p w14:paraId="69C0A53F" w14:textId="77777777" w:rsidR="000D2CEF" w:rsidRPr="000D2CEF" w:rsidRDefault="000D2CEF" w:rsidP="008E5356">
      <w:pPr>
        <w:numPr>
          <w:ilvl w:val="0"/>
          <w:numId w:val="26"/>
        </w:numPr>
        <w:tabs>
          <w:tab w:val="clear" w:pos="720"/>
          <w:tab w:val="num" w:pos="284"/>
        </w:tabs>
        <w:ind w:left="284" w:hanging="284"/>
        <w:rPr>
          <w:rFonts w:ascii="Garamond" w:hAnsi="Garamond"/>
          <w:bCs/>
          <w:iCs/>
          <w:sz w:val="20"/>
          <w:szCs w:val="20"/>
          <w:lang w:val="en-NG"/>
        </w:rPr>
      </w:pPr>
      <w:r w:rsidRPr="000D2CEF">
        <w:rPr>
          <w:rFonts w:ascii="Garamond" w:hAnsi="Garamond"/>
          <w:bCs/>
          <w:iCs/>
          <w:sz w:val="20"/>
          <w:szCs w:val="20"/>
          <w:lang w:val="en-NG"/>
        </w:rPr>
        <w:t xml:space="preserve">Federal Ministry of Health. </w:t>
      </w:r>
      <w:r w:rsidRPr="000D2CEF">
        <w:rPr>
          <w:rFonts w:ascii="Garamond" w:hAnsi="Garamond"/>
          <w:bCs/>
          <w:i/>
          <w:iCs/>
          <w:sz w:val="20"/>
          <w:szCs w:val="20"/>
          <w:lang w:val="en-NG"/>
        </w:rPr>
        <w:t>National Code of Health Research Ethics.</w:t>
      </w:r>
      <w:r w:rsidRPr="000D2CEF">
        <w:rPr>
          <w:rFonts w:ascii="Garamond" w:hAnsi="Garamond"/>
          <w:bCs/>
          <w:iCs/>
          <w:sz w:val="20"/>
          <w:szCs w:val="20"/>
          <w:lang w:val="en-NG"/>
        </w:rPr>
        <w:t xml:space="preserve"> Abuja (Nigeria): National Health Research Ethics Committee of Nigeria; 2014 [cited 2025 Nov 11]. Available from: </w:t>
      </w:r>
      <w:hyperlink r:id="rId28" w:tgtFrame="_new" w:history="1">
        <w:r w:rsidRPr="000D2CEF">
          <w:rPr>
            <w:rStyle w:val="Hyperlink"/>
            <w:rFonts w:ascii="Garamond" w:hAnsi="Garamond"/>
            <w:bCs/>
            <w:iCs/>
            <w:sz w:val="20"/>
            <w:szCs w:val="20"/>
            <w:lang w:val="en-NG"/>
          </w:rPr>
          <w:t>https://nhrec.net</w:t>
        </w:r>
      </w:hyperlink>
    </w:p>
    <w:p w14:paraId="1E9044CB" w14:textId="77777777" w:rsidR="000D2CEF" w:rsidRPr="000D2CEF" w:rsidRDefault="000D2CEF" w:rsidP="008E5356">
      <w:pPr>
        <w:numPr>
          <w:ilvl w:val="0"/>
          <w:numId w:val="26"/>
        </w:numPr>
        <w:tabs>
          <w:tab w:val="clear" w:pos="720"/>
          <w:tab w:val="num" w:pos="284"/>
        </w:tabs>
        <w:ind w:left="284" w:hanging="284"/>
        <w:rPr>
          <w:rFonts w:ascii="Garamond" w:hAnsi="Garamond"/>
          <w:bCs/>
          <w:iCs/>
          <w:sz w:val="20"/>
          <w:szCs w:val="20"/>
          <w:lang w:val="en-NG"/>
        </w:rPr>
      </w:pPr>
      <w:r w:rsidRPr="000D2CEF">
        <w:rPr>
          <w:rFonts w:ascii="Garamond" w:hAnsi="Garamond"/>
          <w:bCs/>
          <w:iCs/>
          <w:sz w:val="20"/>
          <w:szCs w:val="20"/>
          <w:lang w:val="en-NG"/>
        </w:rPr>
        <w:t>Bancroft JD, Gamble M. Theory and practice of histological techniques. 6th ed. London: Churchill Livingstone; 2008.</w:t>
      </w:r>
    </w:p>
    <w:p w14:paraId="1FABF099" w14:textId="77777777" w:rsidR="000D2CEF" w:rsidRPr="000D2CEF" w:rsidRDefault="000D2CEF" w:rsidP="008E5356">
      <w:pPr>
        <w:numPr>
          <w:ilvl w:val="0"/>
          <w:numId w:val="26"/>
        </w:numPr>
        <w:tabs>
          <w:tab w:val="clear" w:pos="720"/>
          <w:tab w:val="num" w:pos="284"/>
        </w:tabs>
        <w:ind w:left="284" w:hanging="284"/>
        <w:rPr>
          <w:rFonts w:ascii="Garamond" w:hAnsi="Garamond"/>
          <w:bCs/>
          <w:iCs/>
          <w:sz w:val="20"/>
          <w:szCs w:val="20"/>
          <w:lang w:val="en-NG"/>
        </w:rPr>
      </w:pPr>
      <w:r w:rsidRPr="000D2CEF">
        <w:rPr>
          <w:rFonts w:ascii="Garamond" w:hAnsi="Garamond"/>
          <w:bCs/>
          <w:iCs/>
          <w:sz w:val="20"/>
          <w:szCs w:val="20"/>
          <w:lang w:val="en-NG"/>
        </w:rPr>
        <w:t>Bewick V, Cheek L, Ball J. Statistics review 9: one-way ANOVA. Crit Care. 2004;8(2):130–6.</w:t>
      </w:r>
    </w:p>
    <w:p w14:paraId="2239D0AF" w14:textId="77777777" w:rsidR="000D2CEF" w:rsidRPr="000D2CEF" w:rsidRDefault="000D2CEF" w:rsidP="008E5356">
      <w:pPr>
        <w:numPr>
          <w:ilvl w:val="0"/>
          <w:numId w:val="26"/>
        </w:numPr>
        <w:tabs>
          <w:tab w:val="clear" w:pos="720"/>
          <w:tab w:val="num" w:pos="284"/>
        </w:tabs>
        <w:ind w:left="284" w:hanging="284"/>
        <w:rPr>
          <w:rFonts w:ascii="Garamond" w:hAnsi="Garamond"/>
          <w:bCs/>
          <w:iCs/>
          <w:sz w:val="20"/>
          <w:szCs w:val="20"/>
          <w:lang w:val="en-NG"/>
        </w:rPr>
      </w:pPr>
      <w:r w:rsidRPr="000D2CEF">
        <w:rPr>
          <w:rFonts w:ascii="Garamond" w:hAnsi="Garamond"/>
          <w:bCs/>
          <w:iCs/>
          <w:sz w:val="20"/>
          <w:szCs w:val="20"/>
          <w:lang w:val="en-NG"/>
        </w:rPr>
        <w:t xml:space="preserve">Bantie L, Assefa S, Teklehaimanot T, Engidawork E. In vivo antimalarial activity of the crude leaf extract and solvent fractions of </w:t>
      </w:r>
      <w:r w:rsidRPr="000D2CEF">
        <w:rPr>
          <w:rFonts w:ascii="Garamond" w:hAnsi="Garamond"/>
          <w:bCs/>
          <w:i/>
          <w:iCs/>
          <w:sz w:val="20"/>
          <w:szCs w:val="20"/>
          <w:lang w:val="en-NG"/>
        </w:rPr>
        <w:t>Croton macrostachyus</w:t>
      </w:r>
      <w:r w:rsidRPr="000D2CEF">
        <w:rPr>
          <w:rFonts w:ascii="Garamond" w:hAnsi="Garamond"/>
          <w:bCs/>
          <w:iCs/>
          <w:sz w:val="20"/>
          <w:szCs w:val="20"/>
          <w:lang w:val="en-NG"/>
        </w:rPr>
        <w:t xml:space="preserve"> Hocsht. (Euphorbiaceae) in mice infected with </w:t>
      </w:r>
      <w:r w:rsidRPr="000D2CEF">
        <w:rPr>
          <w:rFonts w:ascii="Garamond" w:hAnsi="Garamond"/>
          <w:bCs/>
          <w:i/>
          <w:iCs/>
          <w:sz w:val="20"/>
          <w:szCs w:val="20"/>
          <w:lang w:val="en-NG"/>
        </w:rPr>
        <w:t>Plasmodium berghei</w:t>
      </w:r>
      <w:r w:rsidRPr="000D2CEF">
        <w:rPr>
          <w:rFonts w:ascii="Garamond" w:hAnsi="Garamond"/>
          <w:bCs/>
          <w:iCs/>
          <w:sz w:val="20"/>
          <w:szCs w:val="20"/>
          <w:lang w:val="en-NG"/>
        </w:rPr>
        <w:t xml:space="preserve">. </w:t>
      </w:r>
      <w:r w:rsidRPr="000D2CEF">
        <w:rPr>
          <w:rFonts w:ascii="Garamond" w:hAnsi="Garamond"/>
          <w:bCs/>
          <w:i/>
          <w:iCs/>
          <w:sz w:val="20"/>
          <w:szCs w:val="20"/>
          <w:lang w:val="en-NG"/>
        </w:rPr>
        <w:t>BMC Complement Altern Med</w:t>
      </w:r>
      <w:r w:rsidRPr="000D2CEF">
        <w:rPr>
          <w:rFonts w:ascii="Garamond" w:hAnsi="Garamond"/>
          <w:bCs/>
          <w:iCs/>
          <w:sz w:val="20"/>
          <w:szCs w:val="20"/>
          <w:lang w:val="en-NG"/>
        </w:rPr>
        <w:t>. 2014;14:79.</w:t>
      </w:r>
    </w:p>
    <w:p w14:paraId="1F079EC5" w14:textId="77777777" w:rsidR="000D2CEF" w:rsidRPr="000D2CEF" w:rsidRDefault="000D2CEF" w:rsidP="008E5356">
      <w:pPr>
        <w:numPr>
          <w:ilvl w:val="0"/>
          <w:numId w:val="26"/>
        </w:numPr>
        <w:tabs>
          <w:tab w:val="clear" w:pos="720"/>
          <w:tab w:val="num" w:pos="284"/>
        </w:tabs>
        <w:ind w:left="284" w:hanging="284"/>
        <w:rPr>
          <w:rFonts w:ascii="Garamond" w:hAnsi="Garamond"/>
          <w:bCs/>
          <w:iCs/>
          <w:sz w:val="20"/>
          <w:szCs w:val="20"/>
          <w:lang w:val="en-NG"/>
        </w:rPr>
      </w:pPr>
      <w:r w:rsidRPr="000D2CEF">
        <w:rPr>
          <w:rFonts w:ascii="Garamond" w:hAnsi="Garamond"/>
          <w:bCs/>
          <w:iCs/>
          <w:sz w:val="20"/>
          <w:szCs w:val="20"/>
          <w:lang w:val="en-NG"/>
        </w:rPr>
        <w:t xml:space="preserve">Munoz V, Sauvain M, Bourdy G, Callapa J, Rojas I, Vargas L, et al. Evaluation of the antimalarial activity of plants used by the Tacana Indians. </w:t>
      </w:r>
      <w:r w:rsidRPr="000D2CEF">
        <w:rPr>
          <w:rFonts w:ascii="Garamond" w:hAnsi="Garamond"/>
          <w:bCs/>
          <w:i/>
          <w:iCs/>
          <w:sz w:val="20"/>
          <w:szCs w:val="20"/>
          <w:lang w:val="en-NG"/>
        </w:rPr>
        <w:t>J Ethnopharmacol</w:t>
      </w:r>
      <w:r w:rsidRPr="000D2CEF">
        <w:rPr>
          <w:rFonts w:ascii="Garamond" w:hAnsi="Garamond"/>
          <w:bCs/>
          <w:iCs/>
          <w:sz w:val="20"/>
          <w:szCs w:val="20"/>
          <w:lang w:val="en-NG"/>
        </w:rPr>
        <w:t>. 2000;77(1):91–98.</w:t>
      </w:r>
    </w:p>
    <w:p w14:paraId="0262B334" w14:textId="77777777" w:rsidR="000D2CEF" w:rsidRPr="000D2CEF" w:rsidRDefault="000D2CEF" w:rsidP="008E5356">
      <w:pPr>
        <w:numPr>
          <w:ilvl w:val="0"/>
          <w:numId w:val="26"/>
        </w:numPr>
        <w:tabs>
          <w:tab w:val="clear" w:pos="720"/>
          <w:tab w:val="num" w:pos="284"/>
        </w:tabs>
        <w:ind w:left="284" w:hanging="284"/>
        <w:rPr>
          <w:rFonts w:ascii="Garamond" w:hAnsi="Garamond"/>
          <w:bCs/>
          <w:iCs/>
          <w:sz w:val="20"/>
          <w:szCs w:val="20"/>
          <w:lang w:val="en-NG"/>
        </w:rPr>
      </w:pPr>
      <w:r w:rsidRPr="000D2CEF">
        <w:rPr>
          <w:rFonts w:ascii="Garamond" w:hAnsi="Garamond"/>
          <w:bCs/>
          <w:iCs/>
          <w:sz w:val="20"/>
          <w:szCs w:val="20"/>
          <w:lang w:val="en-NG"/>
        </w:rPr>
        <w:lastRenderedPageBreak/>
        <w:t xml:space="preserve">Widyawaruyanti A, Hafid AF, Tumewu L, Febrianty N, Ranggaditya D, Septiani R, et al. Antimalarial activity of crude extracts of </w:t>
      </w:r>
      <w:r w:rsidRPr="000D2CEF">
        <w:rPr>
          <w:rFonts w:ascii="Garamond" w:hAnsi="Garamond"/>
          <w:bCs/>
          <w:i/>
          <w:iCs/>
          <w:sz w:val="20"/>
          <w:szCs w:val="20"/>
          <w:lang w:val="en-NG"/>
        </w:rPr>
        <w:t>Artocarpus heterophyllus</w:t>
      </w:r>
      <w:r w:rsidRPr="000D2CEF">
        <w:rPr>
          <w:rFonts w:ascii="Garamond" w:hAnsi="Garamond"/>
          <w:bCs/>
          <w:iCs/>
          <w:sz w:val="20"/>
          <w:szCs w:val="20"/>
          <w:lang w:val="en-NG"/>
        </w:rPr>
        <w:t xml:space="preserve">, </w:t>
      </w:r>
      <w:r w:rsidRPr="000D2CEF">
        <w:rPr>
          <w:rFonts w:ascii="Garamond" w:hAnsi="Garamond"/>
          <w:bCs/>
          <w:i/>
          <w:iCs/>
          <w:sz w:val="20"/>
          <w:szCs w:val="20"/>
          <w:lang w:val="en-NG"/>
        </w:rPr>
        <w:t>Artocarpus altilis</w:t>
      </w:r>
      <w:r w:rsidRPr="000D2CEF">
        <w:rPr>
          <w:rFonts w:ascii="Garamond" w:hAnsi="Garamond"/>
          <w:bCs/>
          <w:iCs/>
          <w:sz w:val="20"/>
          <w:szCs w:val="20"/>
          <w:lang w:val="en-NG"/>
        </w:rPr>
        <w:t xml:space="preserve">, and </w:t>
      </w:r>
      <w:r w:rsidRPr="000D2CEF">
        <w:rPr>
          <w:rFonts w:ascii="Garamond" w:hAnsi="Garamond"/>
          <w:bCs/>
          <w:i/>
          <w:iCs/>
          <w:sz w:val="20"/>
          <w:szCs w:val="20"/>
          <w:lang w:val="en-NG"/>
        </w:rPr>
        <w:t>Artocarpus camansi</w:t>
      </w:r>
      <w:r w:rsidRPr="000D2CEF">
        <w:rPr>
          <w:rFonts w:ascii="Garamond" w:hAnsi="Garamond"/>
          <w:bCs/>
          <w:iCs/>
          <w:sz w:val="20"/>
          <w:szCs w:val="20"/>
          <w:lang w:val="en-NG"/>
        </w:rPr>
        <w:t xml:space="preserve">. </w:t>
      </w:r>
      <w:r w:rsidRPr="000D2CEF">
        <w:rPr>
          <w:rFonts w:ascii="Garamond" w:hAnsi="Garamond"/>
          <w:bCs/>
          <w:i/>
          <w:iCs/>
          <w:sz w:val="20"/>
          <w:szCs w:val="20"/>
          <w:lang w:val="en-NG"/>
        </w:rPr>
        <w:t>Asian J Pharm Clin Res</w:t>
      </w:r>
      <w:r w:rsidRPr="000D2CEF">
        <w:rPr>
          <w:rFonts w:ascii="Garamond" w:hAnsi="Garamond"/>
          <w:bCs/>
          <w:iCs/>
          <w:sz w:val="20"/>
          <w:szCs w:val="20"/>
          <w:lang w:val="en-NG"/>
        </w:rPr>
        <w:t>. 2020;13(1):279–281.</w:t>
      </w:r>
    </w:p>
    <w:p w14:paraId="1F8177E2" w14:textId="77777777" w:rsidR="000D2CEF" w:rsidRPr="000D2CEF" w:rsidRDefault="000D2CEF" w:rsidP="008E5356">
      <w:pPr>
        <w:numPr>
          <w:ilvl w:val="0"/>
          <w:numId w:val="26"/>
        </w:numPr>
        <w:tabs>
          <w:tab w:val="clear" w:pos="720"/>
          <w:tab w:val="num" w:pos="284"/>
        </w:tabs>
        <w:ind w:left="284" w:hanging="284"/>
        <w:rPr>
          <w:rFonts w:ascii="Garamond" w:hAnsi="Garamond"/>
          <w:bCs/>
          <w:iCs/>
          <w:sz w:val="20"/>
          <w:szCs w:val="20"/>
          <w:lang w:val="en-NG"/>
        </w:rPr>
      </w:pPr>
      <w:r w:rsidRPr="000D2CEF">
        <w:rPr>
          <w:rFonts w:ascii="Garamond" w:hAnsi="Garamond"/>
          <w:bCs/>
          <w:iCs/>
          <w:sz w:val="20"/>
          <w:szCs w:val="20"/>
          <w:lang w:val="en-NG"/>
        </w:rPr>
        <w:t xml:space="preserve">Boonlaksiri C, Kamchonwongpaisan S, Tunsuwan K, Kongsaeree P, Kittakoop P, Tanticharoen M, et al. Antimalarial activity of </w:t>
      </w:r>
      <w:r w:rsidRPr="000D2CEF">
        <w:rPr>
          <w:rFonts w:ascii="Garamond" w:hAnsi="Garamond"/>
          <w:bCs/>
          <w:i/>
          <w:iCs/>
          <w:sz w:val="20"/>
          <w:szCs w:val="20"/>
          <w:lang w:val="en-NG"/>
        </w:rPr>
        <w:t>Artocarpus</w:t>
      </w:r>
      <w:r w:rsidRPr="000D2CEF">
        <w:rPr>
          <w:rFonts w:ascii="Garamond" w:hAnsi="Garamond"/>
          <w:bCs/>
          <w:iCs/>
          <w:sz w:val="20"/>
          <w:szCs w:val="20"/>
          <w:lang w:val="en-NG"/>
        </w:rPr>
        <w:t xml:space="preserve"> species. </w:t>
      </w:r>
      <w:r w:rsidRPr="000D2CEF">
        <w:rPr>
          <w:rFonts w:ascii="Garamond" w:hAnsi="Garamond"/>
          <w:bCs/>
          <w:i/>
          <w:iCs/>
          <w:sz w:val="20"/>
          <w:szCs w:val="20"/>
          <w:lang w:val="en-NG"/>
        </w:rPr>
        <w:t>Phytochemistry</w:t>
      </w:r>
      <w:r w:rsidRPr="000D2CEF">
        <w:rPr>
          <w:rFonts w:ascii="Garamond" w:hAnsi="Garamond"/>
          <w:bCs/>
          <w:iCs/>
          <w:sz w:val="20"/>
          <w:szCs w:val="20"/>
          <w:lang w:val="en-NG"/>
        </w:rPr>
        <w:t>. 2000;54(1):55–58.</w:t>
      </w:r>
    </w:p>
    <w:p w14:paraId="44E0D01A" w14:textId="77777777" w:rsidR="000D2CEF" w:rsidRPr="000D2CEF" w:rsidRDefault="000D2CEF" w:rsidP="008E5356">
      <w:pPr>
        <w:numPr>
          <w:ilvl w:val="0"/>
          <w:numId w:val="26"/>
        </w:numPr>
        <w:tabs>
          <w:tab w:val="clear" w:pos="720"/>
          <w:tab w:val="num" w:pos="284"/>
        </w:tabs>
        <w:ind w:left="284" w:hanging="284"/>
        <w:rPr>
          <w:rFonts w:ascii="Garamond" w:hAnsi="Garamond"/>
          <w:bCs/>
          <w:iCs/>
          <w:sz w:val="20"/>
          <w:szCs w:val="20"/>
          <w:lang w:val="en-NG"/>
        </w:rPr>
      </w:pPr>
      <w:r w:rsidRPr="000D2CEF">
        <w:rPr>
          <w:rFonts w:ascii="Garamond" w:hAnsi="Garamond"/>
          <w:bCs/>
          <w:iCs/>
          <w:sz w:val="20"/>
          <w:szCs w:val="20"/>
          <w:lang w:val="en-NG"/>
        </w:rPr>
        <w:t xml:space="preserve">Hafid AF, Tumewu L, Widyawaruyanti A, Febrianty N, Ranggaditya D, Septiani R, et al. In vitro and in vivo antimalarial activity of </w:t>
      </w:r>
      <w:r w:rsidRPr="000D2CEF">
        <w:rPr>
          <w:rFonts w:ascii="Garamond" w:hAnsi="Garamond"/>
          <w:bCs/>
          <w:i/>
          <w:iCs/>
          <w:sz w:val="20"/>
          <w:szCs w:val="20"/>
          <w:lang w:val="en-NG"/>
        </w:rPr>
        <w:t>Artocarpus</w:t>
      </w:r>
      <w:r w:rsidRPr="000D2CEF">
        <w:rPr>
          <w:rFonts w:ascii="Garamond" w:hAnsi="Garamond"/>
          <w:bCs/>
          <w:iCs/>
          <w:sz w:val="20"/>
          <w:szCs w:val="20"/>
          <w:lang w:val="en-NG"/>
        </w:rPr>
        <w:t xml:space="preserve"> species. </w:t>
      </w:r>
      <w:r w:rsidRPr="000D2CEF">
        <w:rPr>
          <w:rFonts w:ascii="Garamond" w:hAnsi="Garamond"/>
          <w:bCs/>
          <w:i/>
          <w:iCs/>
          <w:sz w:val="20"/>
          <w:szCs w:val="20"/>
          <w:lang w:val="en-NG"/>
        </w:rPr>
        <w:t>Asian J Pharm Clin Res</w:t>
      </w:r>
      <w:r w:rsidRPr="000D2CEF">
        <w:rPr>
          <w:rFonts w:ascii="Garamond" w:hAnsi="Garamond"/>
          <w:bCs/>
          <w:iCs/>
          <w:sz w:val="20"/>
          <w:szCs w:val="20"/>
          <w:lang w:val="en-NG"/>
        </w:rPr>
        <w:t>. 2016;9(1):279–281.</w:t>
      </w:r>
    </w:p>
    <w:p w14:paraId="7F9C4C5C" w14:textId="77777777" w:rsidR="000D2CEF" w:rsidRPr="000D2CEF" w:rsidRDefault="000D2CEF" w:rsidP="008E5356">
      <w:pPr>
        <w:numPr>
          <w:ilvl w:val="0"/>
          <w:numId w:val="26"/>
        </w:numPr>
        <w:tabs>
          <w:tab w:val="clear" w:pos="720"/>
          <w:tab w:val="num" w:pos="284"/>
        </w:tabs>
        <w:ind w:left="284" w:hanging="284"/>
        <w:rPr>
          <w:rFonts w:ascii="Garamond" w:hAnsi="Garamond"/>
          <w:bCs/>
          <w:iCs/>
          <w:sz w:val="20"/>
          <w:szCs w:val="20"/>
          <w:lang w:val="en-NG"/>
        </w:rPr>
      </w:pPr>
      <w:r w:rsidRPr="000D2CEF">
        <w:rPr>
          <w:rFonts w:ascii="Garamond" w:hAnsi="Garamond"/>
          <w:bCs/>
          <w:iCs/>
          <w:sz w:val="20"/>
          <w:szCs w:val="20"/>
          <w:lang w:val="en-NG"/>
        </w:rPr>
        <w:t xml:space="preserve">Tumewu L, Hafid AF, Widyawaruyanti A, Febrianty N, Ranggaditya D, Septiani R, et al. Antiplasmodial activity of </w:t>
      </w:r>
      <w:r w:rsidRPr="000D2CEF">
        <w:rPr>
          <w:rFonts w:ascii="Garamond" w:hAnsi="Garamond"/>
          <w:bCs/>
          <w:i/>
          <w:iCs/>
          <w:sz w:val="20"/>
          <w:szCs w:val="20"/>
          <w:lang w:val="en-NG"/>
        </w:rPr>
        <w:t>Artocarpus camansi</w:t>
      </w:r>
      <w:r w:rsidRPr="000D2CEF">
        <w:rPr>
          <w:rFonts w:ascii="Garamond" w:hAnsi="Garamond"/>
          <w:bCs/>
          <w:iCs/>
          <w:sz w:val="20"/>
          <w:szCs w:val="20"/>
          <w:lang w:val="en-NG"/>
        </w:rPr>
        <w:t xml:space="preserve"> extract. </w:t>
      </w:r>
      <w:r w:rsidRPr="000D2CEF">
        <w:rPr>
          <w:rFonts w:ascii="Garamond" w:hAnsi="Garamond"/>
          <w:bCs/>
          <w:i/>
          <w:iCs/>
          <w:sz w:val="20"/>
          <w:szCs w:val="20"/>
          <w:lang w:val="en-NG"/>
        </w:rPr>
        <w:t>Asian J Pharm Clin Res</w:t>
      </w:r>
      <w:r w:rsidRPr="000D2CEF">
        <w:rPr>
          <w:rFonts w:ascii="Garamond" w:hAnsi="Garamond"/>
          <w:bCs/>
          <w:iCs/>
          <w:sz w:val="20"/>
          <w:szCs w:val="20"/>
          <w:lang w:val="en-NG"/>
        </w:rPr>
        <w:t>. 2021;14(1):279–281.</w:t>
      </w:r>
    </w:p>
    <w:p w14:paraId="2A2A5A3D" w14:textId="77777777" w:rsidR="000D2CEF" w:rsidRPr="000D2CEF" w:rsidRDefault="000D2CEF" w:rsidP="008E5356">
      <w:pPr>
        <w:numPr>
          <w:ilvl w:val="0"/>
          <w:numId w:val="26"/>
        </w:numPr>
        <w:tabs>
          <w:tab w:val="clear" w:pos="720"/>
          <w:tab w:val="num" w:pos="284"/>
        </w:tabs>
        <w:ind w:left="284" w:hanging="284"/>
        <w:rPr>
          <w:rFonts w:ascii="Garamond" w:hAnsi="Garamond"/>
          <w:bCs/>
          <w:iCs/>
          <w:sz w:val="20"/>
          <w:szCs w:val="20"/>
          <w:lang w:val="en-NG"/>
        </w:rPr>
      </w:pPr>
      <w:r w:rsidRPr="000D2CEF">
        <w:rPr>
          <w:rFonts w:ascii="Garamond" w:hAnsi="Garamond"/>
          <w:bCs/>
          <w:iCs/>
          <w:sz w:val="20"/>
          <w:szCs w:val="20"/>
          <w:lang w:val="en-NG"/>
        </w:rPr>
        <w:t xml:space="preserve">Widyawaruyanti A, Kikuchi M, Murakami A, Kalauni SK, Zaini NC, Syafruddin D, et al. Antimalarial activity of prenylated flavonoids from </w:t>
      </w:r>
      <w:r w:rsidRPr="000D2CEF">
        <w:rPr>
          <w:rFonts w:ascii="Garamond" w:hAnsi="Garamond"/>
          <w:bCs/>
          <w:i/>
          <w:iCs/>
          <w:sz w:val="20"/>
          <w:szCs w:val="20"/>
          <w:lang w:val="en-NG"/>
        </w:rPr>
        <w:t>Artocarpus champeden</w:t>
      </w:r>
      <w:r w:rsidRPr="000D2CEF">
        <w:rPr>
          <w:rFonts w:ascii="Garamond" w:hAnsi="Garamond"/>
          <w:bCs/>
          <w:iCs/>
          <w:sz w:val="20"/>
          <w:szCs w:val="20"/>
          <w:lang w:val="en-NG"/>
        </w:rPr>
        <w:t xml:space="preserve">. </w:t>
      </w:r>
      <w:r w:rsidRPr="000D2CEF">
        <w:rPr>
          <w:rFonts w:ascii="Garamond" w:hAnsi="Garamond"/>
          <w:bCs/>
          <w:i/>
          <w:iCs/>
          <w:sz w:val="20"/>
          <w:szCs w:val="20"/>
          <w:lang w:val="en-NG"/>
        </w:rPr>
        <w:t>Biol Pharm Bull</w:t>
      </w:r>
      <w:r w:rsidRPr="000D2CEF">
        <w:rPr>
          <w:rFonts w:ascii="Garamond" w:hAnsi="Garamond"/>
          <w:bCs/>
          <w:iCs/>
          <w:sz w:val="20"/>
          <w:szCs w:val="20"/>
          <w:lang w:val="en-NG"/>
        </w:rPr>
        <w:t>. 2007;30(4):668–670.</w:t>
      </w:r>
    </w:p>
    <w:p w14:paraId="35D49088" w14:textId="77777777" w:rsidR="000D2CEF" w:rsidRPr="000D2CEF" w:rsidRDefault="000D2CEF" w:rsidP="008E5356">
      <w:pPr>
        <w:numPr>
          <w:ilvl w:val="0"/>
          <w:numId w:val="26"/>
        </w:numPr>
        <w:tabs>
          <w:tab w:val="clear" w:pos="720"/>
          <w:tab w:val="num" w:pos="284"/>
        </w:tabs>
        <w:ind w:left="284" w:hanging="284"/>
        <w:rPr>
          <w:rFonts w:ascii="Garamond" w:hAnsi="Garamond"/>
          <w:bCs/>
          <w:iCs/>
          <w:sz w:val="20"/>
          <w:szCs w:val="20"/>
          <w:lang w:val="en-NG"/>
        </w:rPr>
      </w:pPr>
      <w:r w:rsidRPr="000D2CEF">
        <w:rPr>
          <w:rFonts w:ascii="Garamond" w:hAnsi="Garamond"/>
          <w:bCs/>
          <w:iCs/>
          <w:sz w:val="20"/>
          <w:szCs w:val="20"/>
          <w:lang w:val="en-NG"/>
        </w:rPr>
        <w:t xml:space="preserve">Aladesanmi A, Odiba O, Odediran S, Oriola A. Antiplasmodial activities of the stem bark extract of </w:t>
      </w:r>
      <w:r w:rsidRPr="000D2CEF">
        <w:rPr>
          <w:rFonts w:ascii="Garamond" w:hAnsi="Garamond"/>
          <w:bCs/>
          <w:i/>
          <w:iCs/>
          <w:sz w:val="20"/>
          <w:szCs w:val="20"/>
          <w:lang w:val="en-NG"/>
        </w:rPr>
        <w:t>Artocarpus altilis</w:t>
      </w:r>
      <w:r w:rsidRPr="000D2CEF">
        <w:rPr>
          <w:rFonts w:ascii="Garamond" w:hAnsi="Garamond"/>
          <w:bCs/>
          <w:iCs/>
          <w:sz w:val="20"/>
          <w:szCs w:val="20"/>
          <w:lang w:val="en-NG"/>
        </w:rPr>
        <w:t xml:space="preserve"> Forsberg. </w:t>
      </w:r>
      <w:r w:rsidRPr="000D2CEF">
        <w:rPr>
          <w:rFonts w:ascii="Garamond" w:hAnsi="Garamond"/>
          <w:bCs/>
          <w:i/>
          <w:iCs/>
          <w:sz w:val="20"/>
          <w:szCs w:val="20"/>
          <w:lang w:val="en-NG"/>
        </w:rPr>
        <w:t>Afr J Infect Dis</w:t>
      </w:r>
      <w:r w:rsidRPr="000D2CEF">
        <w:rPr>
          <w:rFonts w:ascii="Garamond" w:hAnsi="Garamond"/>
          <w:bCs/>
          <w:iCs/>
          <w:sz w:val="20"/>
          <w:szCs w:val="20"/>
          <w:lang w:val="en-NG"/>
        </w:rPr>
        <w:t>. 2022;16(2S):33–45.</w:t>
      </w:r>
    </w:p>
    <w:p w14:paraId="36B977FD" w14:textId="77777777" w:rsidR="000D2CEF" w:rsidRPr="000D2CEF" w:rsidRDefault="000D2CEF" w:rsidP="008E5356">
      <w:pPr>
        <w:numPr>
          <w:ilvl w:val="0"/>
          <w:numId w:val="26"/>
        </w:numPr>
        <w:tabs>
          <w:tab w:val="clear" w:pos="720"/>
          <w:tab w:val="num" w:pos="284"/>
        </w:tabs>
        <w:ind w:left="284" w:hanging="284"/>
        <w:rPr>
          <w:rFonts w:ascii="Garamond" w:hAnsi="Garamond"/>
          <w:bCs/>
          <w:iCs/>
          <w:sz w:val="20"/>
          <w:szCs w:val="20"/>
          <w:lang w:val="en-NG"/>
        </w:rPr>
      </w:pPr>
      <w:r w:rsidRPr="000D2CEF">
        <w:rPr>
          <w:rFonts w:ascii="Garamond" w:hAnsi="Garamond"/>
          <w:bCs/>
          <w:iCs/>
          <w:sz w:val="20"/>
          <w:szCs w:val="20"/>
          <w:lang w:val="en-NG"/>
        </w:rPr>
        <w:t xml:space="preserve">Adebajo AC, Odediran SA, Aliyu FA, Nwafor PA, Nwoko NT, Umana US. In vivo antiplasmodial potentials of the combinations of four Nigerian antimalarial plants. </w:t>
      </w:r>
      <w:r w:rsidRPr="008E5356">
        <w:rPr>
          <w:rFonts w:ascii="Garamond" w:hAnsi="Garamond"/>
          <w:i/>
          <w:sz w:val="20"/>
          <w:szCs w:val="20"/>
          <w:lang w:val="en-NG"/>
        </w:rPr>
        <w:t>Molecules</w:t>
      </w:r>
      <w:r w:rsidRPr="000D2CEF">
        <w:rPr>
          <w:rFonts w:ascii="Garamond" w:hAnsi="Garamond"/>
          <w:b/>
          <w:bCs/>
          <w:iCs/>
          <w:sz w:val="20"/>
          <w:szCs w:val="20"/>
          <w:lang w:val="en-NG"/>
        </w:rPr>
        <w:t>.</w:t>
      </w:r>
      <w:r w:rsidRPr="000D2CEF">
        <w:rPr>
          <w:rFonts w:ascii="Garamond" w:hAnsi="Garamond"/>
          <w:bCs/>
          <w:iCs/>
          <w:sz w:val="20"/>
          <w:szCs w:val="20"/>
          <w:lang w:val="en-NG"/>
        </w:rPr>
        <w:t xml:space="preserve"> 2014;19(9):13136-13146.</w:t>
      </w:r>
    </w:p>
    <w:p w14:paraId="043D02CD" w14:textId="77777777" w:rsidR="000D2CEF" w:rsidRPr="000D2CEF" w:rsidRDefault="000D2CEF" w:rsidP="008E5356">
      <w:pPr>
        <w:numPr>
          <w:ilvl w:val="0"/>
          <w:numId w:val="26"/>
        </w:numPr>
        <w:tabs>
          <w:tab w:val="clear" w:pos="720"/>
          <w:tab w:val="num" w:pos="284"/>
        </w:tabs>
        <w:ind w:left="284" w:hanging="284"/>
        <w:rPr>
          <w:rFonts w:ascii="Garamond" w:hAnsi="Garamond"/>
          <w:bCs/>
          <w:iCs/>
          <w:sz w:val="20"/>
          <w:szCs w:val="20"/>
          <w:lang w:val="en-NG"/>
        </w:rPr>
      </w:pPr>
      <w:r w:rsidRPr="000D2CEF">
        <w:rPr>
          <w:rFonts w:ascii="Garamond" w:hAnsi="Garamond"/>
          <w:bCs/>
          <w:iCs/>
          <w:sz w:val="20"/>
          <w:szCs w:val="20"/>
          <w:lang w:val="en-NG"/>
        </w:rPr>
        <w:t xml:space="preserve">Tumewu L, A’yun LQ, Ilmi H, Hafid AF, Widyawaruyanti A. </w:t>
      </w:r>
      <w:r w:rsidRPr="000D2CEF">
        <w:rPr>
          <w:rFonts w:ascii="Garamond" w:hAnsi="Garamond"/>
          <w:bCs/>
          <w:i/>
          <w:iCs/>
          <w:sz w:val="20"/>
          <w:szCs w:val="20"/>
          <w:lang w:val="en-NG"/>
        </w:rPr>
        <w:t>Artocarpus sericicarpus</w:t>
      </w:r>
      <w:r w:rsidRPr="000D2CEF">
        <w:rPr>
          <w:rFonts w:ascii="Garamond" w:hAnsi="Garamond"/>
          <w:bCs/>
          <w:iCs/>
          <w:sz w:val="20"/>
          <w:szCs w:val="20"/>
          <w:lang w:val="en-NG"/>
        </w:rPr>
        <w:t xml:space="preserve"> stem bark contains antimalarial substances against </w:t>
      </w:r>
      <w:r w:rsidRPr="000D2CEF">
        <w:rPr>
          <w:rFonts w:ascii="Garamond" w:hAnsi="Garamond"/>
          <w:bCs/>
          <w:i/>
          <w:iCs/>
          <w:sz w:val="20"/>
          <w:szCs w:val="20"/>
          <w:lang w:val="en-NG"/>
        </w:rPr>
        <w:t>Plasmodium falciparum</w:t>
      </w:r>
      <w:r w:rsidRPr="008E5356">
        <w:rPr>
          <w:rFonts w:ascii="Garamond" w:hAnsi="Garamond"/>
          <w:bCs/>
          <w:iCs/>
          <w:sz w:val="20"/>
          <w:szCs w:val="20"/>
          <w:lang w:val="en-NG"/>
        </w:rPr>
        <w:t>. J Basic Clin Physiol Pharmacol.</w:t>
      </w:r>
      <w:r w:rsidRPr="000D2CEF">
        <w:rPr>
          <w:rFonts w:ascii="Garamond" w:hAnsi="Garamond"/>
          <w:bCs/>
          <w:iCs/>
          <w:sz w:val="20"/>
          <w:szCs w:val="20"/>
          <w:lang w:val="en-NG"/>
        </w:rPr>
        <w:t xml:space="preserve"> 2021;32(4):853-858.</w:t>
      </w:r>
    </w:p>
    <w:p w14:paraId="33A11670" w14:textId="77777777" w:rsidR="000D2CEF" w:rsidRPr="000D2CEF" w:rsidRDefault="000D2CEF" w:rsidP="008E5356">
      <w:pPr>
        <w:numPr>
          <w:ilvl w:val="0"/>
          <w:numId w:val="26"/>
        </w:numPr>
        <w:tabs>
          <w:tab w:val="clear" w:pos="720"/>
          <w:tab w:val="num" w:pos="284"/>
        </w:tabs>
        <w:ind w:left="284" w:hanging="284"/>
        <w:rPr>
          <w:rFonts w:ascii="Garamond" w:hAnsi="Garamond"/>
          <w:bCs/>
          <w:iCs/>
          <w:sz w:val="20"/>
          <w:szCs w:val="20"/>
          <w:lang w:val="en-NG"/>
        </w:rPr>
      </w:pPr>
      <w:r w:rsidRPr="000D2CEF">
        <w:rPr>
          <w:rFonts w:ascii="Garamond" w:hAnsi="Garamond"/>
          <w:bCs/>
          <w:iCs/>
          <w:sz w:val="20"/>
          <w:szCs w:val="20"/>
          <w:lang w:val="en-NG"/>
        </w:rPr>
        <w:t xml:space="preserve">Langhorne J, Quin S, Sanni L. Mouse models of blood-stage malaria infections: immune responses and cytokines involved in protection and pathology. </w:t>
      </w:r>
      <w:r w:rsidRPr="000D2CEF">
        <w:rPr>
          <w:rFonts w:ascii="Garamond" w:hAnsi="Garamond"/>
          <w:bCs/>
          <w:i/>
          <w:iCs/>
          <w:sz w:val="20"/>
          <w:szCs w:val="20"/>
          <w:lang w:val="en-NG"/>
        </w:rPr>
        <w:t>Malaria Immunol</w:t>
      </w:r>
      <w:r w:rsidRPr="000D2CEF">
        <w:rPr>
          <w:rFonts w:ascii="Garamond" w:hAnsi="Garamond"/>
          <w:bCs/>
          <w:iCs/>
          <w:sz w:val="20"/>
          <w:szCs w:val="20"/>
          <w:lang w:val="en-NG"/>
        </w:rPr>
        <w:t>. 2002;2:204–228.</w:t>
      </w:r>
    </w:p>
    <w:p w14:paraId="45E6A7B8" w14:textId="77777777" w:rsidR="000D2CEF" w:rsidRPr="000D2CEF" w:rsidRDefault="000D2CEF" w:rsidP="008E5356">
      <w:pPr>
        <w:numPr>
          <w:ilvl w:val="0"/>
          <w:numId w:val="26"/>
        </w:numPr>
        <w:tabs>
          <w:tab w:val="clear" w:pos="720"/>
          <w:tab w:val="num" w:pos="284"/>
        </w:tabs>
        <w:ind w:left="284" w:hanging="284"/>
        <w:rPr>
          <w:rFonts w:ascii="Garamond" w:hAnsi="Garamond"/>
          <w:bCs/>
          <w:iCs/>
          <w:sz w:val="20"/>
          <w:szCs w:val="20"/>
          <w:lang w:val="en-NG"/>
        </w:rPr>
      </w:pPr>
      <w:r w:rsidRPr="000D2CEF">
        <w:rPr>
          <w:rFonts w:ascii="Garamond" w:hAnsi="Garamond"/>
          <w:bCs/>
          <w:iCs/>
          <w:sz w:val="20"/>
          <w:szCs w:val="20"/>
          <w:lang w:val="en-NG"/>
        </w:rPr>
        <w:t xml:space="preserve">Seiffert E, Jahncke A, Arnold A. Normal temperature range in laboratory mice. </w:t>
      </w:r>
      <w:r w:rsidRPr="000D2CEF">
        <w:rPr>
          <w:rFonts w:ascii="Garamond" w:hAnsi="Garamond"/>
          <w:bCs/>
          <w:i/>
          <w:iCs/>
          <w:sz w:val="20"/>
          <w:szCs w:val="20"/>
          <w:lang w:val="en-NG"/>
        </w:rPr>
        <w:t>J Physiol</w:t>
      </w:r>
      <w:r w:rsidRPr="000D2CEF">
        <w:rPr>
          <w:rFonts w:ascii="Garamond" w:hAnsi="Garamond"/>
          <w:bCs/>
          <w:iCs/>
          <w:sz w:val="20"/>
          <w:szCs w:val="20"/>
          <w:lang w:val="en-NG"/>
        </w:rPr>
        <w:t>. 1928;65(3):345–350.</w:t>
      </w:r>
    </w:p>
    <w:p w14:paraId="3CBD204D" w14:textId="77777777" w:rsidR="000D2CEF" w:rsidRPr="000D2CEF" w:rsidRDefault="000D2CEF" w:rsidP="008E5356">
      <w:pPr>
        <w:numPr>
          <w:ilvl w:val="0"/>
          <w:numId w:val="26"/>
        </w:numPr>
        <w:tabs>
          <w:tab w:val="clear" w:pos="720"/>
          <w:tab w:val="num" w:pos="284"/>
        </w:tabs>
        <w:ind w:left="284" w:hanging="284"/>
        <w:rPr>
          <w:rFonts w:ascii="Garamond" w:hAnsi="Garamond"/>
          <w:bCs/>
          <w:iCs/>
          <w:sz w:val="20"/>
          <w:szCs w:val="20"/>
          <w:lang w:val="en-NG"/>
        </w:rPr>
      </w:pPr>
      <w:r w:rsidRPr="000D2CEF">
        <w:rPr>
          <w:rFonts w:ascii="Garamond" w:hAnsi="Garamond"/>
          <w:bCs/>
          <w:iCs/>
          <w:sz w:val="20"/>
          <w:szCs w:val="20"/>
          <w:lang w:val="en-NG"/>
        </w:rPr>
        <w:t xml:space="preserve">Larson WP, Levine M, Bieter R, McLimans W. Study of mouse temperatures, with reference to the effect of temperature on sulfanilamide therapy. </w:t>
      </w:r>
      <w:r w:rsidRPr="000D2CEF">
        <w:rPr>
          <w:rFonts w:ascii="Garamond" w:hAnsi="Garamond"/>
          <w:bCs/>
          <w:i/>
          <w:iCs/>
          <w:sz w:val="20"/>
          <w:szCs w:val="20"/>
          <w:lang w:val="en-NG"/>
        </w:rPr>
        <w:t>J Bact</w:t>
      </w:r>
      <w:r w:rsidRPr="000D2CEF">
        <w:rPr>
          <w:rFonts w:ascii="Garamond" w:hAnsi="Garamond"/>
          <w:bCs/>
          <w:iCs/>
          <w:sz w:val="20"/>
          <w:szCs w:val="20"/>
          <w:lang w:val="en-NG"/>
        </w:rPr>
        <w:t>. 1940;39:45.</w:t>
      </w:r>
    </w:p>
    <w:p w14:paraId="3E8CF760" w14:textId="77777777" w:rsidR="000D2CEF" w:rsidRPr="000D2CEF" w:rsidRDefault="000D2CEF" w:rsidP="008E5356">
      <w:pPr>
        <w:numPr>
          <w:ilvl w:val="0"/>
          <w:numId w:val="26"/>
        </w:numPr>
        <w:tabs>
          <w:tab w:val="clear" w:pos="720"/>
          <w:tab w:val="num" w:pos="284"/>
        </w:tabs>
        <w:ind w:left="284" w:hanging="284"/>
        <w:rPr>
          <w:rFonts w:ascii="Garamond" w:hAnsi="Garamond"/>
          <w:bCs/>
          <w:iCs/>
          <w:sz w:val="20"/>
          <w:szCs w:val="20"/>
          <w:lang w:val="en-NG"/>
        </w:rPr>
      </w:pPr>
      <w:r w:rsidRPr="000D2CEF">
        <w:rPr>
          <w:rFonts w:ascii="Garamond" w:hAnsi="Garamond"/>
          <w:bCs/>
          <w:iCs/>
          <w:sz w:val="20"/>
          <w:szCs w:val="20"/>
          <w:lang w:val="en-NG"/>
        </w:rPr>
        <w:t xml:space="preserve">Cordeiro RS, Cunha FQ, Filho JA, Flores CA, Vasconcelos HN, Martins MA, et al. Hypothermia in </w:t>
      </w:r>
      <w:r w:rsidRPr="000D2CEF">
        <w:rPr>
          <w:rFonts w:ascii="Garamond" w:hAnsi="Garamond"/>
          <w:bCs/>
          <w:i/>
          <w:iCs/>
          <w:sz w:val="20"/>
          <w:szCs w:val="20"/>
          <w:lang w:val="en-NG"/>
        </w:rPr>
        <w:t>Plasmodium berghei</w:t>
      </w:r>
      <w:r w:rsidRPr="000D2CEF">
        <w:rPr>
          <w:rFonts w:ascii="Garamond" w:hAnsi="Garamond"/>
          <w:bCs/>
          <w:iCs/>
          <w:sz w:val="20"/>
          <w:szCs w:val="20"/>
          <w:lang w:val="en-NG"/>
        </w:rPr>
        <w:t xml:space="preserve">-infected mice. </w:t>
      </w:r>
      <w:r w:rsidRPr="000D2CEF">
        <w:rPr>
          <w:rFonts w:ascii="Garamond" w:hAnsi="Garamond"/>
          <w:bCs/>
          <w:i/>
          <w:iCs/>
          <w:sz w:val="20"/>
          <w:szCs w:val="20"/>
          <w:lang w:val="en-NG"/>
        </w:rPr>
        <w:t>J Parasitol</w:t>
      </w:r>
      <w:r w:rsidRPr="000D2CEF">
        <w:rPr>
          <w:rFonts w:ascii="Garamond" w:hAnsi="Garamond"/>
          <w:bCs/>
          <w:iCs/>
          <w:sz w:val="20"/>
          <w:szCs w:val="20"/>
          <w:lang w:val="en-NG"/>
        </w:rPr>
        <w:t>. 1983;69(1):123–126.</w:t>
      </w:r>
    </w:p>
    <w:p w14:paraId="40FAE9B4" w14:textId="77777777" w:rsidR="000D2CEF" w:rsidRPr="000D2CEF" w:rsidRDefault="000D2CEF" w:rsidP="008E5356">
      <w:pPr>
        <w:numPr>
          <w:ilvl w:val="0"/>
          <w:numId w:val="26"/>
        </w:numPr>
        <w:tabs>
          <w:tab w:val="clear" w:pos="720"/>
          <w:tab w:val="num" w:pos="284"/>
        </w:tabs>
        <w:ind w:left="284" w:hanging="284"/>
        <w:rPr>
          <w:rFonts w:ascii="Garamond" w:hAnsi="Garamond"/>
          <w:bCs/>
          <w:iCs/>
          <w:sz w:val="20"/>
          <w:szCs w:val="20"/>
          <w:lang w:val="en-NG"/>
        </w:rPr>
      </w:pPr>
      <w:r w:rsidRPr="000D2CEF">
        <w:rPr>
          <w:rFonts w:ascii="Garamond" w:hAnsi="Garamond"/>
          <w:bCs/>
          <w:iCs/>
          <w:sz w:val="20"/>
          <w:szCs w:val="20"/>
          <w:lang w:val="en-NG"/>
        </w:rPr>
        <w:t>Dascombe MJ, Sidara J. The absence of fever in rat malaria is associated with increased turnover of 5-</w:t>
      </w:r>
      <w:r w:rsidRPr="000D2CEF">
        <w:rPr>
          <w:rFonts w:ascii="Garamond" w:hAnsi="Garamond"/>
          <w:bCs/>
          <w:iCs/>
          <w:sz w:val="20"/>
          <w:szCs w:val="20"/>
          <w:lang w:val="en-NG"/>
        </w:rPr>
        <w:t xml:space="preserve">hydroxytryptamine in the brain. In: Milton A, editor. </w:t>
      </w:r>
      <w:r w:rsidRPr="000D2CEF">
        <w:rPr>
          <w:rFonts w:ascii="Garamond" w:hAnsi="Garamond"/>
          <w:bCs/>
          <w:i/>
          <w:iCs/>
          <w:sz w:val="20"/>
          <w:szCs w:val="20"/>
          <w:lang w:val="en-NG"/>
        </w:rPr>
        <w:t>Advances in Pharmacological Sciences: Temperature Regulation</w:t>
      </w:r>
      <w:r w:rsidRPr="000D2CEF">
        <w:rPr>
          <w:rFonts w:ascii="Garamond" w:hAnsi="Garamond"/>
          <w:bCs/>
          <w:iCs/>
          <w:sz w:val="20"/>
          <w:szCs w:val="20"/>
          <w:lang w:val="en-NG"/>
        </w:rPr>
        <w:t>. Birkhäuser; 1994. p. 204–228.</w:t>
      </w:r>
    </w:p>
    <w:p w14:paraId="74E47155" w14:textId="77777777" w:rsidR="000D2CEF" w:rsidRPr="000D2CEF" w:rsidRDefault="000D2CEF" w:rsidP="008E5356">
      <w:pPr>
        <w:numPr>
          <w:ilvl w:val="0"/>
          <w:numId w:val="26"/>
        </w:numPr>
        <w:tabs>
          <w:tab w:val="clear" w:pos="720"/>
          <w:tab w:val="num" w:pos="284"/>
        </w:tabs>
        <w:ind w:left="284" w:hanging="284"/>
        <w:rPr>
          <w:rFonts w:ascii="Garamond" w:hAnsi="Garamond"/>
          <w:bCs/>
          <w:iCs/>
          <w:sz w:val="20"/>
          <w:szCs w:val="20"/>
          <w:lang w:val="en-NG"/>
        </w:rPr>
      </w:pPr>
      <w:r w:rsidRPr="000D2CEF">
        <w:rPr>
          <w:rFonts w:ascii="Garamond" w:hAnsi="Garamond"/>
          <w:bCs/>
          <w:iCs/>
          <w:sz w:val="20"/>
          <w:szCs w:val="20"/>
          <w:lang w:val="en-NG"/>
        </w:rPr>
        <w:t xml:space="preserve">Oyewo EA, Dascombe MJ. Thermoregulatory responses in </w:t>
      </w:r>
      <w:r w:rsidRPr="000D2CEF">
        <w:rPr>
          <w:rFonts w:ascii="Garamond" w:hAnsi="Garamond"/>
          <w:bCs/>
          <w:i/>
          <w:iCs/>
          <w:sz w:val="20"/>
          <w:szCs w:val="20"/>
          <w:lang w:val="en-NG"/>
        </w:rPr>
        <w:t>Plasmodium berghei</w:t>
      </w:r>
      <w:r w:rsidRPr="000D2CEF">
        <w:rPr>
          <w:rFonts w:ascii="Garamond" w:hAnsi="Garamond"/>
          <w:bCs/>
          <w:iCs/>
          <w:sz w:val="20"/>
          <w:szCs w:val="20"/>
          <w:lang w:val="en-NG"/>
        </w:rPr>
        <w:t xml:space="preserve">-infected rodents. </w:t>
      </w:r>
      <w:r w:rsidRPr="000D2CEF">
        <w:rPr>
          <w:rFonts w:ascii="Garamond" w:hAnsi="Garamond"/>
          <w:bCs/>
          <w:i/>
          <w:iCs/>
          <w:sz w:val="20"/>
          <w:szCs w:val="20"/>
          <w:lang w:val="en-NG"/>
        </w:rPr>
        <w:t>J Physiol</w:t>
      </w:r>
      <w:r w:rsidRPr="000D2CEF">
        <w:rPr>
          <w:rFonts w:ascii="Garamond" w:hAnsi="Garamond"/>
          <w:bCs/>
          <w:iCs/>
          <w:sz w:val="20"/>
          <w:szCs w:val="20"/>
          <w:lang w:val="en-NG"/>
        </w:rPr>
        <w:t>. 1986;72(2):145–150.</w:t>
      </w:r>
    </w:p>
    <w:p w14:paraId="7ADCCD00" w14:textId="77777777" w:rsidR="000D2CEF" w:rsidRPr="000D2CEF" w:rsidRDefault="000D2CEF" w:rsidP="008E5356">
      <w:pPr>
        <w:numPr>
          <w:ilvl w:val="0"/>
          <w:numId w:val="26"/>
        </w:numPr>
        <w:tabs>
          <w:tab w:val="clear" w:pos="720"/>
          <w:tab w:val="num" w:pos="284"/>
        </w:tabs>
        <w:ind w:left="284" w:hanging="284"/>
        <w:rPr>
          <w:rFonts w:ascii="Garamond" w:hAnsi="Garamond"/>
          <w:bCs/>
          <w:iCs/>
          <w:sz w:val="20"/>
          <w:szCs w:val="20"/>
          <w:lang w:val="en-NG"/>
        </w:rPr>
      </w:pPr>
      <w:r w:rsidRPr="000D2CEF">
        <w:rPr>
          <w:rFonts w:ascii="Garamond" w:hAnsi="Garamond"/>
          <w:bCs/>
          <w:iCs/>
          <w:sz w:val="20"/>
          <w:szCs w:val="20"/>
          <w:lang w:val="en-NG"/>
        </w:rPr>
        <w:t xml:space="preserve">Adepiti AO, Iwalewa EO. Evaluation of antiplasmodial activity and toxicity of </w:t>
      </w:r>
      <w:r w:rsidRPr="000D2CEF">
        <w:rPr>
          <w:rFonts w:ascii="Garamond" w:hAnsi="Garamond"/>
          <w:bCs/>
          <w:i/>
          <w:iCs/>
          <w:sz w:val="20"/>
          <w:szCs w:val="20"/>
          <w:lang w:val="en-NG"/>
        </w:rPr>
        <w:t>Alstonia boonei</w:t>
      </w:r>
      <w:r w:rsidRPr="000D2CEF">
        <w:rPr>
          <w:rFonts w:ascii="Garamond" w:hAnsi="Garamond"/>
          <w:bCs/>
          <w:iCs/>
          <w:sz w:val="20"/>
          <w:szCs w:val="20"/>
          <w:lang w:val="en-NG"/>
        </w:rPr>
        <w:t xml:space="preserve"> stem bark extract. </w:t>
      </w:r>
      <w:r w:rsidRPr="000D2CEF">
        <w:rPr>
          <w:rFonts w:ascii="Garamond" w:hAnsi="Garamond"/>
          <w:bCs/>
          <w:i/>
          <w:iCs/>
          <w:sz w:val="20"/>
          <w:szCs w:val="20"/>
          <w:lang w:val="en-NG"/>
        </w:rPr>
        <w:t>J Ethnopharmacol</w:t>
      </w:r>
      <w:r w:rsidRPr="000D2CEF">
        <w:rPr>
          <w:rFonts w:ascii="Garamond" w:hAnsi="Garamond"/>
          <w:bCs/>
          <w:iCs/>
          <w:sz w:val="20"/>
          <w:szCs w:val="20"/>
          <w:lang w:val="en-NG"/>
        </w:rPr>
        <w:t>. 2016;183:1–6.</w:t>
      </w:r>
    </w:p>
    <w:p w14:paraId="03B17469" w14:textId="77777777" w:rsidR="000D2CEF" w:rsidRPr="000D2CEF" w:rsidRDefault="000D2CEF" w:rsidP="008E5356">
      <w:pPr>
        <w:numPr>
          <w:ilvl w:val="0"/>
          <w:numId w:val="26"/>
        </w:numPr>
        <w:tabs>
          <w:tab w:val="clear" w:pos="720"/>
          <w:tab w:val="num" w:pos="284"/>
        </w:tabs>
        <w:ind w:left="284" w:hanging="284"/>
        <w:rPr>
          <w:rFonts w:ascii="Garamond" w:hAnsi="Garamond"/>
          <w:bCs/>
          <w:iCs/>
          <w:sz w:val="20"/>
          <w:szCs w:val="20"/>
          <w:lang w:val="en-NG"/>
        </w:rPr>
      </w:pPr>
      <w:r w:rsidRPr="000D2CEF">
        <w:rPr>
          <w:rFonts w:ascii="Garamond" w:hAnsi="Garamond"/>
          <w:bCs/>
          <w:iCs/>
          <w:sz w:val="20"/>
          <w:szCs w:val="20"/>
          <w:lang w:val="en-NG"/>
        </w:rPr>
        <w:t xml:space="preserve">Adesida A, Odediran S, Elujoba A, Aladesanmi A, Oriola A, Adeoti R, et al. Correlation of parasitaemia suppression with survival rates in </w:t>
      </w:r>
      <w:r w:rsidRPr="000D2CEF">
        <w:rPr>
          <w:rFonts w:ascii="Garamond" w:hAnsi="Garamond"/>
          <w:bCs/>
          <w:i/>
          <w:iCs/>
          <w:sz w:val="20"/>
          <w:szCs w:val="20"/>
          <w:lang w:val="en-NG"/>
        </w:rPr>
        <w:t>Plasmodium berghei</w:t>
      </w:r>
      <w:r w:rsidRPr="000D2CEF">
        <w:rPr>
          <w:rFonts w:ascii="Garamond" w:hAnsi="Garamond"/>
          <w:bCs/>
          <w:iCs/>
          <w:sz w:val="20"/>
          <w:szCs w:val="20"/>
          <w:lang w:val="en-NG"/>
        </w:rPr>
        <w:t xml:space="preserve">-infected mice. </w:t>
      </w:r>
      <w:r w:rsidRPr="000D2CEF">
        <w:rPr>
          <w:rFonts w:ascii="Garamond" w:hAnsi="Garamond"/>
          <w:bCs/>
          <w:i/>
          <w:iCs/>
          <w:sz w:val="20"/>
          <w:szCs w:val="20"/>
          <w:lang w:val="en-NG"/>
        </w:rPr>
        <w:t>Afr J Biomed Res</w:t>
      </w:r>
      <w:r w:rsidRPr="000D2CEF">
        <w:rPr>
          <w:rFonts w:ascii="Garamond" w:hAnsi="Garamond"/>
          <w:bCs/>
          <w:iCs/>
          <w:sz w:val="20"/>
          <w:szCs w:val="20"/>
          <w:lang w:val="en-NG"/>
        </w:rPr>
        <w:t>. 2021;24(1):45–52.</w:t>
      </w:r>
    </w:p>
    <w:p w14:paraId="49CB99EA" w14:textId="77777777" w:rsidR="000D2CEF" w:rsidRPr="000D2CEF" w:rsidRDefault="000D2CEF" w:rsidP="008E5356">
      <w:pPr>
        <w:numPr>
          <w:ilvl w:val="0"/>
          <w:numId w:val="26"/>
        </w:numPr>
        <w:tabs>
          <w:tab w:val="clear" w:pos="720"/>
          <w:tab w:val="num" w:pos="284"/>
        </w:tabs>
        <w:ind w:left="284" w:hanging="284"/>
        <w:rPr>
          <w:rFonts w:ascii="Garamond" w:hAnsi="Garamond"/>
          <w:bCs/>
          <w:iCs/>
          <w:sz w:val="20"/>
          <w:szCs w:val="20"/>
          <w:lang w:val="en-NG"/>
        </w:rPr>
      </w:pPr>
      <w:r w:rsidRPr="000D2CEF">
        <w:rPr>
          <w:rFonts w:ascii="Garamond" w:hAnsi="Garamond"/>
          <w:bCs/>
          <w:iCs/>
          <w:sz w:val="20"/>
          <w:szCs w:val="20"/>
          <w:lang w:val="en-NG"/>
        </w:rPr>
        <w:t xml:space="preserve">Peters W. The chemotherapy of rodent malaria. XXII. The value of mean survival time as an index of drug efficacy. </w:t>
      </w:r>
      <w:r w:rsidRPr="000D2CEF">
        <w:rPr>
          <w:rFonts w:ascii="Garamond" w:hAnsi="Garamond"/>
          <w:bCs/>
          <w:i/>
          <w:iCs/>
          <w:sz w:val="20"/>
          <w:szCs w:val="20"/>
          <w:lang w:val="en-NG"/>
        </w:rPr>
        <w:t>Ann Trop Med Parasitol</w:t>
      </w:r>
      <w:r w:rsidRPr="000D2CEF">
        <w:rPr>
          <w:rFonts w:ascii="Garamond" w:hAnsi="Garamond"/>
          <w:bCs/>
          <w:iCs/>
          <w:sz w:val="20"/>
          <w:szCs w:val="20"/>
          <w:lang w:val="en-NG"/>
        </w:rPr>
        <w:t>. 1975;69(2):155–171.</w:t>
      </w:r>
    </w:p>
    <w:p w14:paraId="22DC8193" w14:textId="77777777" w:rsidR="000D2CEF" w:rsidRPr="000D2CEF" w:rsidRDefault="000D2CEF" w:rsidP="008E5356">
      <w:pPr>
        <w:numPr>
          <w:ilvl w:val="0"/>
          <w:numId w:val="26"/>
        </w:numPr>
        <w:tabs>
          <w:tab w:val="clear" w:pos="720"/>
          <w:tab w:val="num" w:pos="284"/>
        </w:tabs>
        <w:ind w:left="284" w:hanging="284"/>
        <w:rPr>
          <w:rFonts w:ascii="Garamond" w:hAnsi="Garamond"/>
          <w:bCs/>
          <w:iCs/>
          <w:sz w:val="20"/>
          <w:szCs w:val="20"/>
          <w:lang w:val="en-NG"/>
        </w:rPr>
      </w:pPr>
      <w:r w:rsidRPr="000D2CEF">
        <w:rPr>
          <w:rFonts w:ascii="Garamond" w:hAnsi="Garamond"/>
          <w:bCs/>
          <w:iCs/>
          <w:sz w:val="20"/>
          <w:szCs w:val="20"/>
          <w:lang w:val="en-NG"/>
        </w:rPr>
        <w:t xml:space="preserve">Adebajo AC, Odediran SA, Aliyu FA, Nwafor PA, Nwoko NT, Umana US, et al. Evaluation of ethnomedicines for antiplasmodial potentials. </w:t>
      </w:r>
      <w:r w:rsidRPr="000D2CEF">
        <w:rPr>
          <w:rFonts w:ascii="Garamond" w:hAnsi="Garamond"/>
          <w:bCs/>
          <w:i/>
          <w:iCs/>
          <w:sz w:val="20"/>
          <w:szCs w:val="20"/>
          <w:lang w:val="en-NG"/>
        </w:rPr>
        <w:t>J Ethnopharmacol</w:t>
      </w:r>
      <w:r w:rsidRPr="000D2CEF">
        <w:rPr>
          <w:rFonts w:ascii="Garamond" w:hAnsi="Garamond"/>
          <w:bCs/>
          <w:iCs/>
          <w:sz w:val="20"/>
          <w:szCs w:val="20"/>
          <w:lang w:val="en-NG"/>
        </w:rPr>
        <w:t>. 2014;153(3):725–732.</w:t>
      </w:r>
    </w:p>
    <w:p w14:paraId="00639689" w14:textId="77777777" w:rsidR="000D2CEF" w:rsidRPr="000D2CEF" w:rsidRDefault="000D2CEF" w:rsidP="008E5356">
      <w:pPr>
        <w:numPr>
          <w:ilvl w:val="0"/>
          <w:numId w:val="26"/>
        </w:numPr>
        <w:tabs>
          <w:tab w:val="clear" w:pos="720"/>
          <w:tab w:val="num" w:pos="284"/>
        </w:tabs>
        <w:ind w:left="284" w:hanging="284"/>
        <w:rPr>
          <w:rFonts w:ascii="Garamond" w:hAnsi="Garamond"/>
          <w:bCs/>
          <w:iCs/>
          <w:sz w:val="20"/>
          <w:szCs w:val="20"/>
          <w:lang w:val="en-NG"/>
        </w:rPr>
      </w:pPr>
      <w:r w:rsidRPr="000D2CEF">
        <w:rPr>
          <w:rFonts w:ascii="Garamond" w:hAnsi="Garamond"/>
          <w:bCs/>
          <w:iCs/>
          <w:sz w:val="20"/>
          <w:szCs w:val="20"/>
          <w:lang w:val="en-NG"/>
        </w:rPr>
        <w:t xml:space="preserve">Odediran S, Ehigie A, Akadiri S, Bamikole R, Adeniyi R, Adeoti R, et al. Combination of ethnomedicines and their effect on survival in malaria-infected mice. </w:t>
      </w:r>
      <w:r w:rsidRPr="000D2CEF">
        <w:rPr>
          <w:rFonts w:ascii="Garamond" w:hAnsi="Garamond"/>
          <w:bCs/>
          <w:i/>
          <w:iCs/>
          <w:sz w:val="20"/>
          <w:szCs w:val="20"/>
          <w:lang w:val="en-NG"/>
        </w:rPr>
        <w:t>Afr J Tradit Complement Altern Med</w:t>
      </w:r>
      <w:r w:rsidRPr="000D2CEF">
        <w:rPr>
          <w:rFonts w:ascii="Garamond" w:hAnsi="Garamond"/>
          <w:bCs/>
          <w:iCs/>
          <w:sz w:val="20"/>
          <w:szCs w:val="20"/>
          <w:lang w:val="en-NG"/>
        </w:rPr>
        <w:t>. 2022;19(1):45–52.</w:t>
      </w:r>
    </w:p>
    <w:p w14:paraId="0792A6BE" w14:textId="77777777" w:rsidR="000D2CEF" w:rsidRPr="000D2CEF" w:rsidRDefault="000D2CEF" w:rsidP="000D2CEF">
      <w:pPr>
        <w:spacing w:line="259" w:lineRule="auto"/>
        <w:jc w:val="both"/>
        <w:rPr>
          <w:rFonts w:ascii="Garamond" w:hAnsi="Garamond"/>
          <w:bCs/>
          <w:iCs/>
          <w:sz w:val="20"/>
          <w:szCs w:val="20"/>
          <w:lang w:val="en-NG"/>
        </w:rPr>
      </w:pPr>
    </w:p>
    <w:p w14:paraId="55CF6C17" w14:textId="77777777" w:rsidR="000D2CEF" w:rsidRDefault="000D2CEF" w:rsidP="007A1526">
      <w:pPr>
        <w:spacing w:line="259" w:lineRule="auto"/>
        <w:jc w:val="both"/>
        <w:rPr>
          <w:rFonts w:ascii="Garamond" w:hAnsi="Garamond"/>
          <w:bCs/>
          <w:iCs/>
          <w:sz w:val="20"/>
          <w:szCs w:val="20"/>
        </w:rPr>
      </w:pPr>
    </w:p>
    <w:p w14:paraId="4C2A7ABC" w14:textId="77777777" w:rsidR="008E5356" w:rsidRDefault="008E5356" w:rsidP="007A1526">
      <w:pPr>
        <w:spacing w:line="259" w:lineRule="auto"/>
        <w:jc w:val="both"/>
        <w:rPr>
          <w:rFonts w:ascii="Garamond" w:hAnsi="Garamond"/>
          <w:bCs/>
          <w:iCs/>
          <w:sz w:val="20"/>
          <w:szCs w:val="20"/>
        </w:rPr>
      </w:pPr>
    </w:p>
    <w:p w14:paraId="71202A47" w14:textId="77777777" w:rsidR="00A62AD8" w:rsidRDefault="00A62AD8" w:rsidP="007A1526">
      <w:pPr>
        <w:spacing w:line="259" w:lineRule="auto"/>
        <w:jc w:val="both"/>
        <w:rPr>
          <w:rFonts w:ascii="Garamond" w:hAnsi="Garamond"/>
          <w:bCs/>
          <w:iCs/>
          <w:sz w:val="20"/>
          <w:szCs w:val="20"/>
        </w:rPr>
      </w:pPr>
    </w:p>
    <w:sectPr w:rsidR="00A62AD8" w:rsidSect="005A40BF">
      <w:type w:val="continuous"/>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5CBD0" w14:textId="77777777" w:rsidR="00490D3F" w:rsidRDefault="00490D3F" w:rsidP="00202B90">
      <w:r>
        <w:separator/>
      </w:r>
    </w:p>
  </w:endnote>
  <w:endnote w:type="continuationSeparator" w:id="0">
    <w:p w14:paraId="05395C18" w14:textId="77777777" w:rsidR="00490D3F" w:rsidRDefault="00490D3F"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6" w:name="_Hlk114232143"/>
    <w:bookmarkStart w:id="7"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6"/>
    <w:bookmarkEnd w:id="7"/>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28"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&#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2">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525601D"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DC3D4" w14:textId="77777777" w:rsidR="00490D3F" w:rsidRDefault="00490D3F" w:rsidP="00202B90">
      <w:bookmarkStart w:id="0" w:name="_Hlk191386689"/>
      <w:bookmarkEnd w:id="0"/>
      <w:r>
        <w:separator/>
      </w:r>
    </w:p>
  </w:footnote>
  <w:footnote w:type="continuationSeparator" w:id="0">
    <w:p w14:paraId="30944777" w14:textId="77777777" w:rsidR="00490D3F" w:rsidRDefault="00490D3F"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33FA03D0"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5"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0F2C55" w:rsidRPr="000F2C55">
      <w:rPr>
        <w:rFonts w:ascii="Garamond" w:hAnsi="Garamond"/>
        <w:sz w:val="20"/>
        <w:szCs w:val="22"/>
      </w:rPr>
      <w:t>Volume 26, Issue 1 – March, 2026</w:t>
    </w:r>
  </w:p>
  <w:bookmarkEnd w:id="5"/>
  <w:p w14:paraId="1D17AA13" w14:textId="1409031C" w:rsidR="00F33268" w:rsidRPr="00F33268" w:rsidRDefault="00F33268" w:rsidP="00F33268">
    <w:pPr>
      <w:pStyle w:val="Header"/>
      <w:tabs>
        <w:tab w:val="left" w:pos="630"/>
      </w:tabs>
      <w:rPr>
        <w:rFonts w:ascii="Garamond" w:hAnsi="Garamond"/>
        <w:sz w:val="20"/>
        <w:szCs w:val="22"/>
        <w:lang w:val="en-NG"/>
      </w:rPr>
    </w:pPr>
    <w:r w:rsidRPr="00F33268">
      <w:rPr>
        <w:rFonts w:ascii="Garamond" w:hAnsi="Garamond"/>
        <w:sz w:val="20"/>
        <w:szCs w:val="22"/>
        <w:lang w:val="en-NG"/>
      </w:rPr>
      <w:t xml:space="preserve">Evaluation of the Extract of Artocarpus Heterophyllus in </w:t>
    </w:r>
    <w:r w:rsidRPr="00F33268">
      <w:rPr>
        <w:rFonts w:ascii="Garamond" w:hAnsi="Garamond"/>
        <w:i/>
        <w:iCs/>
        <w:sz w:val="20"/>
        <w:szCs w:val="22"/>
        <w:lang w:val="en-NG"/>
      </w:rPr>
      <w:t>Plasmodium Berghei</w:t>
    </w:r>
    <w:r w:rsidRPr="00F33268">
      <w:rPr>
        <w:rFonts w:ascii="Garamond" w:hAnsi="Garamond"/>
        <w:sz w:val="20"/>
        <w:szCs w:val="22"/>
        <w:lang w:val="en-NG"/>
      </w:rPr>
      <w:t>-Infected Mice</w:t>
    </w:r>
  </w:p>
  <w:p w14:paraId="5D172485" w14:textId="0200C907" w:rsidR="002238CA" w:rsidRDefault="00F33268" w:rsidP="00E94E49">
    <w:pPr>
      <w:pStyle w:val="Header"/>
      <w:tabs>
        <w:tab w:val="clear" w:pos="4320"/>
        <w:tab w:val="clear" w:pos="8640"/>
        <w:tab w:val="left" w:pos="630"/>
      </w:tabs>
      <w:jc w:val="both"/>
      <w:rPr>
        <w:rFonts w:ascii="Garamond" w:hAnsi="Garamond"/>
        <w:sz w:val="20"/>
        <w:szCs w:val="22"/>
        <w:lang w:val="en-GB"/>
      </w:rPr>
    </w:pPr>
    <w:proofErr w:type="spellStart"/>
    <w:r>
      <w:rPr>
        <w:rFonts w:ascii="Garamond" w:hAnsi="Garamond"/>
        <w:sz w:val="20"/>
        <w:szCs w:val="22"/>
      </w:rPr>
      <w:t>Iwuafor</w:t>
    </w:r>
    <w:proofErr w:type="spellEnd"/>
    <w:r w:rsidR="008134A3">
      <w:rPr>
        <w:rFonts w:ascii="Garamond" w:hAnsi="Garamond"/>
        <w:sz w:val="20"/>
        <w:szCs w:val="22"/>
      </w:rPr>
      <w:t xml:space="preserve"> et al</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12B677BD" w14:textId="77777777" w:rsidR="00F33268" w:rsidRPr="00F33268" w:rsidRDefault="00F33268" w:rsidP="00F33268">
    <w:pPr>
      <w:pStyle w:val="Header"/>
      <w:tabs>
        <w:tab w:val="left" w:pos="630"/>
      </w:tabs>
      <w:rPr>
        <w:rFonts w:ascii="Garamond" w:hAnsi="Garamond"/>
        <w:sz w:val="20"/>
        <w:szCs w:val="22"/>
        <w:lang w:val="en-NG"/>
      </w:rPr>
    </w:pPr>
    <w:r w:rsidRPr="00F33268">
      <w:rPr>
        <w:rFonts w:ascii="Garamond" w:hAnsi="Garamond"/>
        <w:sz w:val="20"/>
        <w:szCs w:val="22"/>
        <w:lang w:val="en-NG"/>
      </w:rPr>
      <w:t xml:space="preserve">Evaluation of the Extract of Artocarpus Heterophyllus in </w:t>
    </w:r>
    <w:r w:rsidRPr="00F33268">
      <w:rPr>
        <w:rFonts w:ascii="Garamond" w:hAnsi="Garamond"/>
        <w:i/>
        <w:iCs/>
        <w:sz w:val="20"/>
        <w:szCs w:val="22"/>
        <w:lang w:val="en-NG"/>
      </w:rPr>
      <w:t>Plasmodium Berghei</w:t>
    </w:r>
    <w:r w:rsidRPr="00F33268">
      <w:rPr>
        <w:rFonts w:ascii="Garamond" w:hAnsi="Garamond"/>
        <w:sz w:val="20"/>
        <w:szCs w:val="22"/>
        <w:lang w:val="en-NG"/>
      </w:rPr>
      <w:t>-Infected Mice</w:t>
    </w:r>
  </w:p>
  <w:p w14:paraId="7D1C49C0" w14:textId="77777777" w:rsidR="00F33268" w:rsidRDefault="00F33268" w:rsidP="00F33268">
    <w:pPr>
      <w:pStyle w:val="Header"/>
      <w:tabs>
        <w:tab w:val="clear" w:pos="4320"/>
        <w:tab w:val="clear" w:pos="8640"/>
        <w:tab w:val="left" w:pos="630"/>
      </w:tabs>
      <w:jc w:val="both"/>
      <w:rPr>
        <w:rFonts w:ascii="Garamond" w:hAnsi="Garamond"/>
        <w:sz w:val="20"/>
        <w:szCs w:val="22"/>
        <w:lang w:val="en-GB"/>
      </w:rPr>
    </w:pPr>
    <w:proofErr w:type="spellStart"/>
    <w:r>
      <w:rPr>
        <w:rFonts w:ascii="Garamond" w:hAnsi="Garamond"/>
        <w:sz w:val="20"/>
        <w:szCs w:val="22"/>
      </w:rPr>
      <w:t>Iwuafor</w:t>
    </w:r>
    <w:proofErr w:type="spellEnd"/>
    <w:r>
      <w:rPr>
        <w:rFonts w:ascii="Garamond" w:hAnsi="Garamond"/>
        <w:sz w:val="20"/>
        <w:szCs w:val="22"/>
      </w:rPr>
      <w:t xml:space="preserve"> et al</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22A204B0" w14:textId="77777777" w:rsidR="00F33268" w:rsidRPr="00F33268" w:rsidRDefault="00F33268" w:rsidP="00F33268">
    <w:pPr>
      <w:pStyle w:val="Header"/>
      <w:tabs>
        <w:tab w:val="left" w:pos="630"/>
      </w:tabs>
      <w:rPr>
        <w:rFonts w:ascii="Garamond" w:hAnsi="Garamond"/>
        <w:sz w:val="20"/>
        <w:szCs w:val="22"/>
        <w:lang w:val="en-NG"/>
      </w:rPr>
    </w:pPr>
    <w:r w:rsidRPr="00F33268">
      <w:rPr>
        <w:rFonts w:ascii="Garamond" w:hAnsi="Garamond"/>
        <w:sz w:val="20"/>
        <w:szCs w:val="22"/>
        <w:lang w:val="en-NG"/>
      </w:rPr>
      <w:t xml:space="preserve">Evaluation of the Extract of Artocarpus Heterophyllus in </w:t>
    </w:r>
    <w:r w:rsidRPr="00F33268">
      <w:rPr>
        <w:rFonts w:ascii="Garamond" w:hAnsi="Garamond"/>
        <w:i/>
        <w:iCs/>
        <w:sz w:val="20"/>
        <w:szCs w:val="22"/>
        <w:lang w:val="en-NG"/>
      </w:rPr>
      <w:t>Plasmodium Berghei</w:t>
    </w:r>
    <w:r w:rsidRPr="00F33268">
      <w:rPr>
        <w:rFonts w:ascii="Garamond" w:hAnsi="Garamond"/>
        <w:sz w:val="20"/>
        <w:szCs w:val="22"/>
        <w:lang w:val="en-NG"/>
      </w:rPr>
      <w:t>-Infected Mice</w:t>
    </w:r>
  </w:p>
  <w:p w14:paraId="3C9A9E44" w14:textId="77777777" w:rsidR="00F33268" w:rsidRDefault="00F33268" w:rsidP="00F33268">
    <w:pPr>
      <w:pStyle w:val="Header"/>
      <w:tabs>
        <w:tab w:val="clear" w:pos="4320"/>
        <w:tab w:val="clear" w:pos="8640"/>
        <w:tab w:val="left" w:pos="630"/>
      </w:tabs>
      <w:jc w:val="both"/>
      <w:rPr>
        <w:rFonts w:ascii="Garamond" w:hAnsi="Garamond"/>
        <w:sz w:val="20"/>
        <w:szCs w:val="22"/>
        <w:lang w:val="en-GB"/>
      </w:rPr>
    </w:pPr>
    <w:proofErr w:type="spellStart"/>
    <w:r>
      <w:rPr>
        <w:rFonts w:ascii="Garamond" w:hAnsi="Garamond"/>
        <w:sz w:val="20"/>
        <w:szCs w:val="22"/>
      </w:rPr>
      <w:t>Iwuafor</w:t>
    </w:r>
    <w:proofErr w:type="spellEnd"/>
    <w:r>
      <w:rPr>
        <w:rFonts w:ascii="Garamond" w:hAnsi="Garamond"/>
        <w:sz w:val="20"/>
        <w:szCs w:val="22"/>
      </w:rPr>
      <w:t xml:space="preserve"> et al</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5"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2A59F3"/>
    <w:multiLevelType w:val="multilevel"/>
    <w:tmpl w:val="359613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6"/>
  </w:num>
  <w:num w:numId="2" w16cid:durableId="189728065">
    <w:abstractNumId w:val="1"/>
  </w:num>
  <w:num w:numId="3" w16cid:durableId="34425020">
    <w:abstractNumId w:val="14"/>
  </w:num>
  <w:num w:numId="4" w16cid:durableId="1129132120">
    <w:abstractNumId w:val="12"/>
  </w:num>
  <w:num w:numId="5" w16cid:durableId="970405640">
    <w:abstractNumId w:val="4"/>
  </w:num>
  <w:num w:numId="6" w16cid:durableId="1155297297">
    <w:abstractNumId w:val="0"/>
  </w:num>
  <w:num w:numId="7" w16cid:durableId="1289319636">
    <w:abstractNumId w:val="17"/>
  </w:num>
  <w:num w:numId="8" w16cid:durableId="1595816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3"/>
  </w:num>
  <w:num w:numId="10" w16cid:durableId="1714503964">
    <w:abstractNumId w:val="15"/>
  </w:num>
  <w:num w:numId="11" w16cid:durableId="624430197">
    <w:abstractNumId w:val="9"/>
  </w:num>
  <w:num w:numId="12" w16cid:durableId="1779639381">
    <w:abstractNumId w:val="19"/>
  </w:num>
  <w:num w:numId="13" w16cid:durableId="52851340">
    <w:abstractNumId w:val="20"/>
  </w:num>
  <w:num w:numId="14" w16cid:durableId="1055860988">
    <w:abstractNumId w:val="11"/>
  </w:num>
  <w:num w:numId="15" w16cid:durableId="1380934824">
    <w:abstractNumId w:val="21"/>
  </w:num>
  <w:num w:numId="16" w16cid:durableId="1314261793">
    <w:abstractNumId w:val="5"/>
  </w:num>
  <w:num w:numId="17" w16cid:durableId="1221361593">
    <w:abstractNumId w:val="24"/>
  </w:num>
  <w:num w:numId="18" w16cid:durableId="377054002">
    <w:abstractNumId w:val="7"/>
  </w:num>
  <w:num w:numId="19" w16cid:durableId="5133750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2"/>
  </w:num>
  <w:num w:numId="21" w16cid:durableId="299457719">
    <w:abstractNumId w:val="8"/>
  </w:num>
  <w:num w:numId="22" w16cid:durableId="1575044381">
    <w:abstractNumId w:val="18"/>
  </w:num>
  <w:num w:numId="23" w16cid:durableId="1550071572">
    <w:abstractNumId w:val="25"/>
  </w:num>
  <w:num w:numId="24" w16cid:durableId="1200505831">
    <w:abstractNumId w:val="23"/>
  </w:num>
  <w:num w:numId="25" w16cid:durableId="1501195848">
    <w:abstractNumId w:val="3"/>
  </w:num>
  <w:num w:numId="26" w16cid:durableId="499781888">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36E6"/>
    <w:rsid w:val="00027874"/>
    <w:rsid w:val="00030449"/>
    <w:rsid w:val="00030481"/>
    <w:rsid w:val="000304B6"/>
    <w:rsid w:val="000372C5"/>
    <w:rsid w:val="00040ADD"/>
    <w:rsid w:val="000413D3"/>
    <w:rsid w:val="00044076"/>
    <w:rsid w:val="00045140"/>
    <w:rsid w:val="00047BAC"/>
    <w:rsid w:val="00057CF5"/>
    <w:rsid w:val="00070678"/>
    <w:rsid w:val="00070BE4"/>
    <w:rsid w:val="00070E04"/>
    <w:rsid w:val="00070E0C"/>
    <w:rsid w:val="000720E5"/>
    <w:rsid w:val="00073531"/>
    <w:rsid w:val="0007700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776D"/>
    <w:rsid w:val="000C2816"/>
    <w:rsid w:val="000C3EF8"/>
    <w:rsid w:val="000C79DF"/>
    <w:rsid w:val="000D160B"/>
    <w:rsid w:val="000D1812"/>
    <w:rsid w:val="000D2CEF"/>
    <w:rsid w:val="000D417B"/>
    <w:rsid w:val="000D6A44"/>
    <w:rsid w:val="000E3A4F"/>
    <w:rsid w:val="000E6FCF"/>
    <w:rsid w:val="000F21BF"/>
    <w:rsid w:val="000F2C55"/>
    <w:rsid w:val="000F5FDD"/>
    <w:rsid w:val="000F7F4D"/>
    <w:rsid w:val="00100BBC"/>
    <w:rsid w:val="001026C1"/>
    <w:rsid w:val="00104CD0"/>
    <w:rsid w:val="0010553E"/>
    <w:rsid w:val="0011138D"/>
    <w:rsid w:val="0011345B"/>
    <w:rsid w:val="001140AA"/>
    <w:rsid w:val="00116A5A"/>
    <w:rsid w:val="00124E31"/>
    <w:rsid w:val="0013078B"/>
    <w:rsid w:val="00137B10"/>
    <w:rsid w:val="001402A2"/>
    <w:rsid w:val="0014051B"/>
    <w:rsid w:val="001435BF"/>
    <w:rsid w:val="001439E5"/>
    <w:rsid w:val="001530D1"/>
    <w:rsid w:val="0015359E"/>
    <w:rsid w:val="00154D8F"/>
    <w:rsid w:val="00155E5E"/>
    <w:rsid w:val="00156EB2"/>
    <w:rsid w:val="001610A9"/>
    <w:rsid w:val="00161160"/>
    <w:rsid w:val="00162549"/>
    <w:rsid w:val="0016465D"/>
    <w:rsid w:val="001649CA"/>
    <w:rsid w:val="001724E2"/>
    <w:rsid w:val="00173D7A"/>
    <w:rsid w:val="00174F75"/>
    <w:rsid w:val="0017507F"/>
    <w:rsid w:val="00180EDE"/>
    <w:rsid w:val="00184306"/>
    <w:rsid w:val="001857FC"/>
    <w:rsid w:val="0019561E"/>
    <w:rsid w:val="001A0F0A"/>
    <w:rsid w:val="001A2F05"/>
    <w:rsid w:val="001A6332"/>
    <w:rsid w:val="001B11BD"/>
    <w:rsid w:val="001B3E91"/>
    <w:rsid w:val="001B5DE2"/>
    <w:rsid w:val="001C1CB0"/>
    <w:rsid w:val="001C795E"/>
    <w:rsid w:val="001D1C1F"/>
    <w:rsid w:val="001D23F8"/>
    <w:rsid w:val="001D4202"/>
    <w:rsid w:val="001D4D3C"/>
    <w:rsid w:val="001E0AAF"/>
    <w:rsid w:val="001E3E4D"/>
    <w:rsid w:val="001E7489"/>
    <w:rsid w:val="001E7E00"/>
    <w:rsid w:val="001F4E2C"/>
    <w:rsid w:val="001F6078"/>
    <w:rsid w:val="001F6B72"/>
    <w:rsid w:val="001F7E42"/>
    <w:rsid w:val="00201078"/>
    <w:rsid w:val="00202A03"/>
    <w:rsid w:val="00202B90"/>
    <w:rsid w:val="00203959"/>
    <w:rsid w:val="00203D14"/>
    <w:rsid w:val="00204621"/>
    <w:rsid w:val="00205797"/>
    <w:rsid w:val="002103A7"/>
    <w:rsid w:val="002124CE"/>
    <w:rsid w:val="00212A76"/>
    <w:rsid w:val="00214F76"/>
    <w:rsid w:val="002150B7"/>
    <w:rsid w:val="0021561C"/>
    <w:rsid w:val="00220580"/>
    <w:rsid w:val="00222B80"/>
    <w:rsid w:val="002238CA"/>
    <w:rsid w:val="002265FA"/>
    <w:rsid w:val="00226907"/>
    <w:rsid w:val="00227257"/>
    <w:rsid w:val="0023427E"/>
    <w:rsid w:val="0023667C"/>
    <w:rsid w:val="002413C0"/>
    <w:rsid w:val="002416D2"/>
    <w:rsid w:val="002425EA"/>
    <w:rsid w:val="00242889"/>
    <w:rsid w:val="002433AF"/>
    <w:rsid w:val="00243EFA"/>
    <w:rsid w:val="0024428E"/>
    <w:rsid w:val="0024597C"/>
    <w:rsid w:val="00251782"/>
    <w:rsid w:val="002524AC"/>
    <w:rsid w:val="002528AE"/>
    <w:rsid w:val="00253757"/>
    <w:rsid w:val="0025599F"/>
    <w:rsid w:val="00255DE8"/>
    <w:rsid w:val="002563C4"/>
    <w:rsid w:val="002600B8"/>
    <w:rsid w:val="002639EF"/>
    <w:rsid w:val="00266FEB"/>
    <w:rsid w:val="00270D5C"/>
    <w:rsid w:val="00271A58"/>
    <w:rsid w:val="00272E11"/>
    <w:rsid w:val="002807E8"/>
    <w:rsid w:val="00281C21"/>
    <w:rsid w:val="002A2C5B"/>
    <w:rsid w:val="002A61BC"/>
    <w:rsid w:val="002B2F96"/>
    <w:rsid w:val="002B703D"/>
    <w:rsid w:val="002B73EA"/>
    <w:rsid w:val="002C202A"/>
    <w:rsid w:val="002C3C99"/>
    <w:rsid w:val="002C550D"/>
    <w:rsid w:val="002C5B38"/>
    <w:rsid w:val="002C5D0E"/>
    <w:rsid w:val="002C6DD9"/>
    <w:rsid w:val="002D2DC8"/>
    <w:rsid w:val="002E1E5C"/>
    <w:rsid w:val="002E2DB5"/>
    <w:rsid w:val="002E3587"/>
    <w:rsid w:val="002E4C28"/>
    <w:rsid w:val="00300343"/>
    <w:rsid w:val="0030052D"/>
    <w:rsid w:val="00300F04"/>
    <w:rsid w:val="0030520A"/>
    <w:rsid w:val="0030596C"/>
    <w:rsid w:val="00306701"/>
    <w:rsid w:val="00307E62"/>
    <w:rsid w:val="00310818"/>
    <w:rsid w:val="00310A0B"/>
    <w:rsid w:val="00313E51"/>
    <w:rsid w:val="00317744"/>
    <w:rsid w:val="0031782B"/>
    <w:rsid w:val="00317B38"/>
    <w:rsid w:val="00321127"/>
    <w:rsid w:val="00322FCF"/>
    <w:rsid w:val="003233BB"/>
    <w:rsid w:val="00324C10"/>
    <w:rsid w:val="003252DE"/>
    <w:rsid w:val="00325E63"/>
    <w:rsid w:val="00333DE6"/>
    <w:rsid w:val="003357FF"/>
    <w:rsid w:val="003370AE"/>
    <w:rsid w:val="00346176"/>
    <w:rsid w:val="00346DBC"/>
    <w:rsid w:val="00347612"/>
    <w:rsid w:val="00353F2A"/>
    <w:rsid w:val="003656A7"/>
    <w:rsid w:val="00366B4C"/>
    <w:rsid w:val="00367B7D"/>
    <w:rsid w:val="00367E3D"/>
    <w:rsid w:val="00376CF8"/>
    <w:rsid w:val="0037723C"/>
    <w:rsid w:val="00377C61"/>
    <w:rsid w:val="00380E05"/>
    <w:rsid w:val="00382163"/>
    <w:rsid w:val="00382AAF"/>
    <w:rsid w:val="00386B3D"/>
    <w:rsid w:val="0039305C"/>
    <w:rsid w:val="0039476D"/>
    <w:rsid w:val="003949A7"/>
    <w:rsid w:val="003A0B40"/>
    <w:rsid w:val="003A37C4"/>
    <w:rsid w:val="003A49BA"/>
    <w:rsid w:val="003A5EF4"/>
    <w:rsid w:val="003B346B"/>
    <w:rsid w:val="003B6136"/>
    <w:rsid w:val="003B659C"/>
    <w:rsid w:val="003C1F14"/>
    <w:rsid w:val="003C3052"/>
    <w:rsid w:val="003C3609"/>
    <w:rsid w:val="003C416E"/>
    <w:rsid w:val="003D02D5"/>
    <w:rsid w:val="003D1EC1"/>
    <w:rsid w:val="003D2681"/>
    <w:rsid w:val="003D27EA"/>
    <w:rsid w:val="003D29EC"/>
    <w:rsid w:val="003D43B9"/>
    <w:rsid w:val="003D4D32"/>
    <w:rsid w:val="003D5892"/>
    <w:rsid w:val="003E15B8"/>
    <w:rsid w:val="003E22D9"/>
    <w:rsid w:val="003E3B4A"/>
    <w:rsid w:val="003E4E58"/>
    <w:rsid w:val="003E71DE"/>
    <w:rsid w:val="003F3840"/>
    <w:rsid w:val="003F597B"/>
    <w:rsid w:val="003F5F40"/>
    <w:rsid w:val="0040043D"/>
    <w:rsid w:val="004066A5"/>
    <w:rsid w:val="00410519"/>
    <w:rsid w:val="004123B4"/>
    <w:rsid w:val="00412BAC"/>
    <w:rsid w:val="004247C4"/>
    <w:rsid w:val="00426356"/>
    <w:rsid w:val="00426FF1"/>
    <w:rsid w:val="00427DD4"/>
    <w:rsid w:val="0043209A"/>
    <w:rsid w:val="00433C88"/>
    <w:rsid w:val="0043758D"/>
    <w:rsid w:val="004413E9"/>
    <w:rsid w:val="0044252F"/>
    <w:rsid w:val="00446CB7"/>
    <w:rsid w:val="00447FA5"/>
    <w:rsid w:val="00460C55"/>
    <w:rsid w:val="00465011"/>
    <w:rsid w:val="004705A9"/>
    <w:rsid w:val="00472E78"/>
    <w:rsid w:val="00474FFF"/>
    <w:rsid w:val="004754AA"/>
    <w:rsid w:val="004777AF"/>
    <w:rsid w:val="00480046"/>
    <w:rsid w:val="00490D3F"/>
    <w:rsid w:val="0049178F"/>
    <w:rsid w:val="00491DAB"/>
    <w:rsid w:val="0049425B"/>
    <w:rsid w:val="00495CD0"/>
    <w:rsid w:val="004A0153"/>
    <w:rsid w:val="004A1730"/>
    <w:rsid w:val="004A21AD"/>
    <w:rsid w:val="004B0F2C"/>
    <w:rsid w:val="004B1DD6"/>
    <w:rsid w:val="004B3D60"/>
    <w:rsid w:val="004B72E3"/>
    <w:rsid w:val="004C1161"/>
    <w:rsid w:val="004C397E"/>
    <w:rsid w:val="004C55C9"/>
    <w:rsid w:val="004C5B71"/>
    <w:rsid w:val="004C5C38"/>
    <w:rsid w:val="004C739E"/>
    <w:rsid w:val="004D411D"/>
    <w:rsid w:val="004D4300"/>
    <w:rsid w:val="004E01BE"/>
    <w:rsid w:val="004E0E16"/>
    <w:rsid w:val="004E4397"/>
    <w:rsid w:val="004F0A11"/>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4A18"/>
    <w:rsid w:val="00535573"/>
    <w:rsid w:val="005402D6"/>
    <w:rsid w:val="00542BD6"/>
    <w:rsid w:val="005468DF"/>
    <w:rsid w:val="005469E3"/>
    <w:rsid w:val="005513A1"/>
    <w:rsid w:val="00554FAD"/>
    <w:rsid w:val="0055506C"/>
    <w:rsid w:val="005559D2"/>
    <w:rsid w:val="00555E8E"/>
    <w:rsid w:val="005601E6"/>
    <w:rsid w:val="00560D19"/>
    <w:rsid w:val="00560E26"/>
    <w:rsid w:val="00563C92"/>
    <w:rsid w:val="00567B85"/>
    <w:rsid w:val="00570A64"/>
    <w:rsid w:val="00572441"/>
    <w:rsid w:val="00573A79"/>
    <w:rsid w:val="00574461"/>
    <w:rsid w:val="00574D42"/>
    <w:rsid w:val="0057650C"/>
    <w:rsid w:val="00576687"/>
    <w:rsid w:val="00576722"/>
    <w:rsid w:val="0058167B"/>
    <w:rsid w:val="00586091"/>
    <w:rsid w:val="005875E7"/>
    <w:rsid w:val="00587C21"/>
    <w:rsid w:val="00591AEB"/>
    <w:rsid w:val="0059331C"/>
    <w:rsid w:val="00594DA1"/>
    <w:rsid w:val="005960DA"/>
    <w:rsid w:val="005A1025"/>
    <w:rsid w:val="005A3DA6"/>
    <w:rsid w:val="005A40BF"/>
    <w:rsid w:val="005A46B6"/>
    <w:rsid w:val="005A486D"/>
    <w:rsid w:val="005B38EF"/>
    <w:rsid w:val="005C4B82"/>
    <w:rsid w:val="005C56D6"/>
    <w:rsid w:val="005D1303"/>
    <w:rsid w:val="005D69B0"/>
    <w:rsid w:val="005E72F4"/>
    <w:rsid w:val="005E7E10"/>
    <w:rsid w:val="005F3C1A"/>
    <w:rsid w:val="005F578E"/>
    <w:rsid w:val="005F7F0B"/>
    <w:rsid w:val="0060273B"/>
    <w:rsid w:val="00604D12"/>
    <w:rsid w:val="0060516C"/>
    <w:rsid w:val="00607572"/>
    <w:rsid w:val="0061054B"/>
    <w:rsid w:val="006113FB"/>
    <w:rsid w:val="0061367D"/>
    <w:rsid w:val="00617221"/>
    <w:rsid w:val="00617BC7"/>
    <w:rsid w:val="00620EC5"/>
    <w:rsid w:val="006214DC"/>
    <w:rsid w:val="00626BDA"/>
    <w:rsid w:val="00627957"/>
    <w:rsid w:val="00627E1F"/>
    <w:rsid w:val="00627F71"/>
    <w:rsid w:val="00633617"/>
    <w:rsid w:val="006337C2"/>
    <w:rsid w:val="0063483A"/>
    <w:rsid w:val="00634896"/>
    <w:rsid w:val="006359CB"/>
    <w:rsid w:val="0064358A"/>
    <w:rsid w:val="006445E9"/>
    <w:rsid w:val="0065029F"/>
    <w:rsid w:val="0065243F"/>
    <w:rsid w:val="00652AEE"/>
    <w:rsid w:val="00655021"/>
    <w:rsid w:val="006561C1"/>
    <w:rsid w:val="00662212"/>
    <w:rsid w:val="00662359"/>
    <w:rsid w:val="00664166"/>
    <w:rsid w:val="00665B5A"/>
    <w:rsid w:val="00665F2F"/>
    <w:rsid w:val="006673EE"/>
    <w:rsid w:val="00670FCA"/>
    <w:rsid w:val="00671D5F"/>
    <w:rsid w:val="006723D5"/>
    <w:rsid w:val="00672E9B"/>
    <w:rsid w:val="006732D7"/>
    <w:rsid w:val="006739B3"/>
    <w:rsid w:val="006767E6"/>
    <w:rsid w:val="00677628"/>
    <w:rsid w:val="00682789"/>
    <w:rsid w:val="00682AD5"/>
    <w:rsid w:val="00684FE3"/>
    <w:rsid w:val="0068559D"/>
    <w:rsid w:val="006914B1"/>
    <w:rsid w:val="006A11FA"/>
    <w:rsid w:val="006A2484"/>
    <w:rsid w:val="006A3912"/>
    <w:rsid w:val="006A60E9"/>
    <w:rsid w:val="006B0F53"/>
    <w:rsid w:val="006B1305"/>
    <w:rsid w:val="006B1C19"/>
    <w:rsid w:val="006B3919"/>
    <w:rsid w:val="006B7D6A"/>
    <w:rsid w:val="006C0A7F"/>
    <w:rsid w:val="006C7AC4"/>
    <w:rsid w:val="006D008D"/>
    <w:rsid w:val="006D06A4"/>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2F73"/>
    <w:rsid w:val="007145E7"/>
    <w:rsid w:val="007152FB"/>
    <w:rsid w:val="0071551F"/>
    <w:rsid w:val="00720BE5"/>
    <w:rsid w:val="00720D2C"/>
    <w:rsid w:val="0072145F"/>
    <w:rsid w:val="007222F8"/>
    <w:rsid w:val="0072477F"/>
    <w:rsid w:val="00730F4A"/>
    <w:rsid w:val="007310E4"/>
    <w:rsid w:val="00731357"/>
    <w:rsid w:val="007318FE"/>
    <w:rsid w:val="00734FC3"/>
    <w:rsid w:val="007409A3"/>
    <w:rsid w:val="00743C71"/>
    <w:rsid w:val="0074762E"/>
    <w:rsid w:val="007523CE"/>
    <w:rsid w:val="007539CB"/>
    <w:rsid w:val="007568FA"/>
    <w:rsid w:val="00756C3E"/>
    <w:rsid w:val="00762EB6"/>
    <w:rsid w:val="007633F2"/>
    <w:rsid w:val="00763477"/>
    <w:rsid w:val="0076492D"/>
    <w:rsid w:val="007657AE"/>
    <w:rsid w:val="00765E71"/>
    <w:rsid w:val="00766EC8"/>
    <w:rsid w:val="00775105"/>
    <w:rsid w:val="00782CA7"/>
    <w:rsid w:val="00786EDE"/>
    <w:rsid w:val="007909CA"/>
    <w:rsid w:val="007923D6"/>
    <w:rsid w:val="00793E6B"/>
    <w:rsid w:val="00796693"/>
    <w:rsid w:val="00796F61"/>
    <w:rsid w:val="00797726"/>
    <w:rsid w:val="007A0094"/>
    <w:rsid w:val="007A0C63"/>
    <w:rsid w:val="007A1526"/>
    <w:rsid w:val="007A1819"/>
    <w:rsid w:val="007A388F"/>
    <w:rsid w:val="007A3909"/>
    <w:rsid w:val="007A4598"/>
    <w:rsid w:val="007A6375"/>
    <w:rsid w:val="007A67B5"/>
    <w:rsid w:val="007A68E1"/>
    <w:rsid w:val="007B465B"/>
    <w:rsid w:val="007C01A5"/>
    <w:rsid w:val="007C3E18"/>
    <w:rsid w:val="007C6312"/>
    <w:rsid w:val="007D514C"/>
    <w:rsid w:val="007D6D5C"/>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34A3"/>
    <w:rsid w:val="008216DC"/>
    <w:rsid w:val="00823AC1"/>
    <w:rsid w:val="0083118D"/>
    <w:rsid w:val="00831E16"/>
    <w:rsid w:val="0083208E"/>
    <w:rsid w:val="00836FDC"/>
    <w:rsid w:val="0084061C"/>
    <w:rsid w:val="00841302"/>
    <w:rsid w:val="00842F58"/>
    <w:rsid w:val="008432AE"/>
    <w:rsid w:val="008438CB"/>
    <w:rsid w:val="00844B53"/>
    <w:rsid w:val="008471D2"/>
    <w:rsid w:val="00852D37"/>
    <w:rsid w:val="0085373E"/>
    <w:rsid w:val="00854B46"/>
    <w:rsid w:val="00855308"/>
    <w:rsid w:val="0086356E"/>
    <w:rsid w:val="0086455E"/>
    <w:rsid w:val="00864D76"/>
    <w:rsid w:val="00865745"/>
    <w:rsid w:val="00870E31"/>
    <w:rsid w:val="00872466"/>
    <w:rsid w:val="00880A2F"/>
    <w:rsid w:val="00881704"/>
    <w:rsid w:val="00881A1D"/>
    <w:rsid w:val="00881D4B"/>
    <w:rsid w:val="00886E1B"/>
    <w:rsid w:val="00887420"/>
    <w:rsid w:val="00887763"/>
    <w:rsid w:val="00887A05"/>
    <w:rsid w:val="00894107"/>
    <w:rsid w:val="008A6C51"/>
    <w:rsid w:val="008A7C4B"/>
    <w:rsid w:val="008B1C78"/>
    <w:rsid w:val="008B323E"/>
    <w:rsid w:val="008B383F"/>
    <w:rsid w:val="008B38C2"/>
    <w:rsid w:val="008B4036"/>
    <w:rsid w:val="008B45AE"/>
    <w:rsid w:val="008B584E"/>
    <w:rsid w:val="008B6024"/>
    <w:rsid w:val="008B71F8"/>
    <w:rsid w:val="008C0914"/>
    <w:rsid w:val="008C41FD"/>
    <w:rsid w:val="008C6A4D"/>
    <w:rsid w:val="008D147E"/>
    <w:rsid w:val="008D35BB"/>
    <w:rsid w:val="008E0663"/>
    <w:rsid w:val="008E4819"/>
    <w:rsid w:val="008E5356"/>
    <w:rsid w:val="008E7A45"/>
    <w:rsid w:val="008E7C09"/>
    <w:rsid w:val="008F1A67"/>
    <w:rsid w:val="008F2906"/>
    <w:rsid w:val="008F3935"/>
    <w:rsid w:val="008F430F"/>
    <w:rsid w:val="008F4C1A"/>
    <w:rsid w:val="008F5447"/>
    <w:rsid w:val="008F569B"/>
    <w:rsid w:val="0090505D"/>
    <w:rsid w:val="00911FB3"/>
    <w:rsid w:val="0091252A"/>
    <w:rsid w:val="00913000"/>
    <w:rsid w:val="009151B9"/>
    <w:rsid w:val="00922AE8"/>
    <w:rsid w:val="00922FBB"/>
    <w:rsid w:val="00923D8E"/>
    <w:rsid w:val="00925EFF"/>
    <w:rsid w:val="00926C5A"/>
    <w:rsid w:val="00931B67"/>
    <w:rsid w:val="00932D0D"/>
    <w:rsid w:val="00934A98"/>
    <w:rsid w:val="00940387"/>
    <w:rsid w:val="00941B2B"/>
    <w:rsid w:val="00941CA5"/>
    <w:rsid w:val="00943305"/>
    <w:rsid w:val="00943E61"/>
    <w:rsid w:val="00956271"/>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A4328"/>
    <w:rsid w:val="009B46C1"/>
    <w:rsid w:val="009C4B6E"/>
    <w:rsid w:val="009C5668"/>
    <w:rsid w:val="009C6FC6"/>
    <w:rsid w:val="009C7823"/>
    <w:rsid w:val="009D0717"/>
    <w:rsid w:val="009D134D"/>
    <w:rsid w:val="009D1CEE"/>
    <w:rsid w:val="009D2E87"/>
    <w:rsid w:val="009D4137"/>
    <w:rsid w:val="009D6952"/>
    <w:rsid w:val="009D7D67"/>
    <w:rsid w:val="009E0ABE"/>
    <w:rsid w:val="009E131C"/>
    <w:rsid w:val="009E1B71"/>
    <w:rsid w:val="009E490C"/>
    <w:rsid w:val="009E78D5"/>
    <w:rsid w:val="009F0E79"/>
    <w:rsid w:val="009F3C7D"/>
    <w:rsid w:val="009F473B"/>
    <w:rsid w:val="009F5C6E"/>
    <w:rsid w:val="009F63A4"/>
    <w:rsid w:val="009F7805"/>
    <w:rsid w:val="009F7AC7"/>
    <w:rsid w:val="00A01B36"/>
    <w:rsid w:val="00A0224C"/>
    <w:rsid w:val="00A04637"/>
    <w:rsid w:val="00A068FA"/>
    <w:rsid w:val="00A1203D"/>
    <w:rsid w:val="00A155C7"/>
    <w:rsid w:val="00A17558"/>
    <w:rsid w:val="00A20207"/>
    <w:rsid w:val="00A2315B"/>
    <w:rsid w:val="00A238CB"/>
    <w:rsid w:val="00A23FB7"/>
    <w:rsid w:val="00A277A9"/>
    <w:rsid w:val="00A33286"/>
    <w:rsid w:val="00A337ED"/>
    <w:rsid w:val="00A36667"/>
    <w:rsid w:val="00A41D2E"/>
    <w:rsid w:val="00A41DF1"/>
    <w:rsid w:val="00A421BC"/>
    <w:rsid w:val="00A44D5D"/>
    <w:rsid w:val="00A46D12"/>
    <w:rsid w:val="00A55167"/>
    <w:rsid w:val="00A62AD8"/>
    <w:rsid w:val="00A642D9"/>
    <w:rsid w:val="00A7208F"/>
    <w:rsid w:val="00A72C0A"/>
    <w:rsid w:val="00A74B40"/>
    <w:rsid w:val="00A7575B"/>
    <w:rsid w:val="00A76763"/>
    <w:rsid w:val="00A812B6"/>
    <w:rsid w:val="00A822A5"/>
    <w:rsid w:val="00A9005E"/>
    <w:rsid w:val="00A979AC"/>
    <w:rsid w:val="00AA486B"/>
    <w:rsid w:val="00AA4BA3"/>
    <w:rsid w:val="00AA6363"/>
    <w:rsid w:val="00AA7E00"/>
    <w:rsid w:val="00AB1292"/>
    <w:rsid w:val="00AB1608"/>
    <w:rsid w:val="00AB56A1"/>
    <w:rsid w:val="00AB7625"/>
    <w:rsid w:val="00AC112A"/>
    <w:rsid w:val="00AC3833"/>
    <w:rsid w:val="00AC5F9C"/>
    <w:rsid w:val="00AC6C29"/>
    <w:rsid w:val="00AC7D54"/>
    <w:rsid w:val="00AD07E3"/>
    <w:rsid w:val="00AD0B52"/>
    <w:rsid w:val="00AD2814"/>
    <w:rsid w:val="00AD4817"/>
    <w:rsid w:val="00AE20C5"/>
    <w:rsid w:val="00AE38F9"/>
    <w:rsid w:val="00AE40FA"/>
    <w:rsid w:val="00AE4771"/>
    <w:rsid w:val="00AE48BA"/>
    <w:rsid w:val="00AE4C51"/>
    <w:rsid w:val="00AE7C32"/>
    <w:rsid w:val="00AF0748"/>
    <w:rsid w:val="00AF0E46"/>
    <w:rsid w:val="00AF101E"/>
    <w:rsid w:val="00AF12BE"/>
    <w:rsid w:val="00AF2B83"/>
    <w:rsid w:val="00AF3A8E"/>
    <w:rsid w:val="00AF6060"/>
    <w:rsid w:val="00B02718"/>
    <w:rsid w:val="00B02A8E"/>
    <w:rsid w:val="00B03805"/>
    <w:rsid w:val="00B07616"/>
    <w:rsid w:val="00B1514C"/>
    <w:rsid w:val="00B201CD"/>
    <w:rsid w:val="00B2335C"/>
    <w:rsid w:val="00B233AA"/>
    <w:rsid w:val="00B23E54"/>
    <w:rsid w:val="00B24A9D"/>
    <w:rsid w:val="00B250E8"/>
    <w:rsid w:val="00B254A1"/>
    <w:rsid w:val="00B278C7"/>
    <w:rsid w:val="00B307E6"/>
    <w:rsid w:val="00B31E62"/>
    <w:rsid w:val="00B31FB0"/>
    <w:rsid w:val="00B37F57"/>
    <w:rsid w:val="00B44732"/>
    <w:rsid w:val="00B45DAE"/>
    <w:rsid w:val="00B45ED0"/>
    <w:rsid w:val="00B4735C"/>
    <w:rsid w:val="00B47FE5"/>
    <w:rsid w:val="00B50401"/>
    <w:rsid w:val="00B510EA"/>
    <w:rsid w:val="00B5407E"/>
    <w:rsid w:val="00B62091"/>
    <w:rsid w:val="00B67F2A"/>
    <w:rsid w:val="00B711E0"/>
    <w:rsid w:val="00B73997"/>
    <w:rsid w:val="00B74637"/>
    <w:rsid w:val="00B82472"/>
    <w:rsid w:val="00B85DFB"/>
    <w:rsid w:val="00B865B0"/>
    <w:rsid w:val="00B93B3A"/>
    <w:rsid w:val="00B94E6E"/>
    <w:rsid w:val="00B977E1"/>
    <w:rsid w:val="00BA1170"/>
    <w:rsid w:val="00BA3844"/>
    <w:rsid w:val="00BA3995"/>
    <w:rsid w:val="00BA5AC8"/>
    <w:rsid w:val="00BA6F05"/>
    <w:rsid w:val="00BA77E4"/>
    <w:rsid w:val="00BB56DF"/>
    <w:rsid w:val="00BB5B6D"/>
    <w:rsid w:val="00BB645C"/>
    <w:rsid w:val="00BD05B4"/>
    <w:rsid w:val="00BD28A0"/>
    <w:rsid w:val="00BD2FC8"/>
    <w:rsid w:val="00BD4010"/>
    <w:rsid w:val="00BD47D7"/>
    <w:rsid w:val="00BD4BEC"/>
    <w:rsid w:val="00BD589A"/>
    <w:rsid w:val="00BE1D20"/>
    <w:rsid w:val="00BE2AA5"/>
    <w:rsid w:val="00BE716F"/>
    <w:rsid w:val="00BF01CC"/>
    <w:rsid w:val="00BF108F"/>
    <w:rsid w:val="00BF1FCC"/>
    <w:rsid w:val="00BF6DE7"/>
    <w:rsid w:val="00C00BA1"/>
    <w:rsid w:val="00C00DA1"/>
    <w:rsid w:val="00C067B5"/>
    <w:rsid w:val="00C140B1"/>
    <w:rsid w:val="00C16FFC"/>
    <w:rsid w:val="00C25529"/>
    <w:rsid w:val="00C27FB0"/>
    <w:rsid w:val="00C310C5"/>
    <w:rsid w:val="00C32643"/>
    <w:rsid w:val="00C3387D"/>
    <w:rsid w:val="00C3508A"/>
    <w:rsid w:val="00C35BD4"/>
    <w:rsid w:val="00C4108A"/>
    <w:rsid w:val="00C419BC"/>
    <w:rsid w:val="00C41C95"/>
    <w:rsid w:val="00C500F6"/>
    <w:rsid w:val="00C5163F"/>
    <w:rsid w:val="00C52C57"/>
    <w:rsid w:val="00C5352E"/>
    <w:rsid w:val="00C53901"/>
    <w:rsid w:val="00C56220"/>
    <w:rsid w:val="00C56DA5"/>
    <w:rsid w:val="00C63F8A"/>
    <w:rsid w:val="00C64845"/>
    <w:rsid w:val="00C64D5E"/>
    <w:rsid w:val="00C6617E"/>
    <w:rsid w:val="00C6706F"/>
    <w:rsid w:val="00C700D0"/>
    <w:rsid w:val="00C70D4A"/>
    <w:rsid w:val="00C80BF2"/>
    <w:rsid w:val="00C84016"/>
    <w:rsid w:val="00C86F92"/>
    <w:rsid w:val="00C90FC7"/>
    <w:rsid w:val="00C94F8F"/>
    <w:rsid w:val="00C97235"/>
    <w:rsid w:val="00CA1C2F"/>
    <w:rsid w:val="00CA4F14"/>
    <w:rsid w:val="00CA5E25"/>
    <w:rsid w:val="00CA6411"/>
    <w:rsid w:val="00CA6A3A"/>
    <w:rsid w:val="00CB0D76"/>
    <w:rsid w:val="00CB1D13"/>
    <w:rsid w:val="00CB220D"/>
    <w:rsid w:val="00CB52A2"/>
    <w:rsid w:val="00CB5AA8"/>
    <w:rsid w:val="00CC0E84"/>
    <w:rsid w:val="00CC222C"/>
    <w:rsid w:val="00CC4DDC"/>
    <w:rsid w:val="00CC5867"/>
    <w:rsid w:val="00CC5BDA"/>
    <w:rsid w:val="00CC6569"/>
    <w:rsid w:val="00CC662D"/>
    <w:rsid w:val="00CC7EA1"/>
    <w:rsid w:val="00CD18B7"/>
    <w:rsid w:val="00CE340E"/>
    <w:rsid w:val="00CE61C0"/>
    <w:rsid w:val="00CE79C0"/>
    <w:rsid w:val="00CF187A"/>
    <w:rsid w:val="00CF327B"/>
    <w:rsid w:val="00CF5612"/>
    <w:rsid w:val="00CF72A7"/>
    <w:rsid w:val="00D006C5"/>
    <w:rsid w:val="00D01C0B"/>
    <w:rsid w:val="00D02C05"/>
    <w:rsid w:val="00D03AB2"/>
    <w:rsid w:val="00D04F93"/>
    <w:rsid w:val="00D05E95"/>
    <w:rsid w:val="00D07CFF"/>
    <w:rsid w:val="00D11798"/>
    <w:rsid w:val="00D120FB"/>
    <w:rsid w:val="00D12671"/>
    <w:rsid w:val="00D1576A"/>
    <w:rsid w:val="00D20D3F"/>
    <w:rsid w:val="00D227AF"/>
    <w:rsid w:val="00D248E3"/>
    <w:rsid w:val="00D26558"/>
    <w:rsid w:val="00D26E2E"/>
    <w:rsid w:val="00D27D33"/>
    <w:rsid w:val="00D33E02"/>
    <w:rsid w:val="00D35824"/>
    <w:rsid w:val="00D358C5"/>
    <w:rsid w:val="00D373E0"/>
    <w:rsid w:val="00D4136D"/>
    <w:rsid w:val="00D4198D"/>
    <w:rsid w:val="00D43546"/>
    <w:rsid w:val="00D43D85"/>
    <w:rsid w:val="00D50FD8"/>
    <w:rsid w:val="00D5241D"/>
    <w:rsid w:val="00D5423C"/>
    <w:rsid w:val="00D558E2"/>
    <w:rsid w:val="00D57548"/>
    <w:rsid w:val="00D60805"/>
    <w:rsid w:val="00D62426"/>
    <w:rsid w:val="00D628C0"/>
    <w:rsid w:val="00D666F8"/>
    <w:rsid w:val="00D66B3D"/>
    <w:rsid w:val="00D72C0B"/>
    <w:rsid w:val="00D72C87"/>
    <w:rsid w:val="00D74EC3"/>
    <w:rsid w:val="00D8244E"/>
    <w:rsid w:val="00D84A6B"/>
    <w:rsid w:val="00D86C43"/>
    <w:rsid w:val="00D91A79"/>
    <w:rsid w:val="00D920BF"/>
    <w:rsid w:val="00D959C4"/>
    <w:rsid w:val="00D96081"/>
    <w:rsid w:val="00D96439"/>
    <w:rsid w:val="00DA168E"/>
    <w:rsid w:val="00DA6AF4"/>
    <w:rsid w:val="00DA7571"/>
    <w:rsid w:val="00DB047A"/>
    <w:rsid w:val="00DB0F72"/>
    <w:rsid w:val="00DC1F4D"/>
    <w:rsid w:val="00DC3FB6"/>
    <w:rsid w:val="00DD03A4"/>
    <w:rsid w:val="00DD23A9"/>
    <w:rsid w:val="00DD377F"/>
    <w:rsid w:val="00DD3D36"/>
    <w:rsid w:val="00DD694C"/>
    <w:rsid w:val="00DE03BC"/>
    <w:rsid w:val="00DE1506"/>
    <w:rsid w:val="00DE6FDC"/>
    <w:rsid w:val="00DE7A02"/>
    <w:rsid w:val="00DF0088"/>
    <w:rsid w:val="00DF1105"/>
    <w:rsid w:val="00DF4D85"/>
    <w:rsid w:val="00DF4F59"/>
    <w:rsid w:val="00DF7DB1"/>
    <w:rsid w:val="00E01B40"/>
    <w:rsid w:val="00E022E6"/>
    <w:rsid w:val="00E03827"/>
    <w:rsid w:val="00E13E2E"/>
    <w:rsid w:val="00E142FC"/>
    <w:rsid w:val="00E14730"/>
    <w:rsid w:val="00E1741A"/>
    <w:rsid w:val="00E227EE"/>
    <w:rsid w:val="00E34213"/>
    <w:rsid w:val="00E3427D"/>
    <w:rsid w:val="00E4411D"/>
    <w:rsid w:val="00E4480D"/>
    <w:rsid w:val="00E45465"/>
    <w:rsid w:val="00E47EC6"/>
    <w:rsid w:val="00E51841"/>
    <w:rsid w:val="00E518F2"/>
    <w:rsid w:val="00E540B5"/>
    <w:rsid w:val="00E55BD7"/>
    <w:rsid w:val="00E61741"/>
    <w:rsid w:val="00E62F55"/>
    <w:rsid w:val="00E64C57"/>
    <w:rsid w:val="00E70F5B"/>
    <w:rsid w:val="00E72B30"/>
    <w:rsid w:val="00E74B41"/>
    <w:rsid w:val="00E835D9"/>
    <w:rsid w:val="00E937A4"/>
    <w:rsid w:val="00E94E49"/>
    <w:rsid w:val="00EA4561"/>
    <w:rsid w:val="00EB038A"/>
    <w:rsid w:val="00EB0FB8"/>
    <w:rsid w:val="00EB1521"/>
    <w:rsid w:val="00EB658E"/>
    <w:rsid w:val="00EC322A"/>
    <w:rsid w:val="00EC3387"/>
    <w:rsid w:val="00EC5532"/>
    <w:rsid w:val="00EC6106"/>
    <w:rsid w:val="00EC79A2"/>
    <w:rsid w:val="00ED072B"/>
    <w:rsid w:val="00ED2322"/>
    <w:rsid w:val="00ED3666"/>
    <w:rsid w:val="00ED43F6"/>
    <w:rsid w:val="00EE2234"/>
    <w:rsid w:val="00EE252E"/>
    <w:rsid w:val="00EE38D0"/>
    <w:rsid w:val="00EE4502"/>
    <w:rsid w:val="00EE5C0C"/>
    <w:rsid w:val="00EF632A"/>
    <w:rsid w:val="00EF6A3F"/>
    <w:rsid w:val="00F047EB"/>
    <w:rsid w:val="00F059E6"/>
    <w:rsid w:val="00F077CA"/>
    <w:rsid w:val="00F13914"/>
    <w:rsid w:val="00F13A92"/>
    <w:rsid w:val="00F16301"/>
    <w:rsid w:val="00F20CA0"/>
    <w:rsid w:val="00F23682"/>
    <w:rsid w:val="00F2589D"/>
    <w:rsid w:val="00F26986"/>
    <w:rsid w:val="00F26F9E"/>
    <w:rsid w:val="00F30FAF"/>
    <w:rsid w:val="00F33268"/>
    <w:rsid w:val="00F33637"/>
    <w:rsid w:val="00F34330"/>
    <w:rsid w:val="00F37283"/>
    <w:rsid w:val="00F40976"/>
    <w:rsid w:val="00F40A4B"/>
    <w:rsid w:val="00F4105F"/>
    <w:rsid w:val="00F419F4"/>
    <w:rsid w:val="00F42AD7"/>
    <w:rsid w:val="00F43C7A"/>
    <w:rsid w:val="00F44531"/>
    <w:rsid w:val="00F478D1"/>
    <w:rsid w:val="00F50918"/>
    <w:rsid w:val="00F5136F"/>
    <w:rsid w:val="00F51A75"/>
    <w:rsid w:val="00F61444"/>
    <w:rsid w:val="00F67245"/>
    <w:rsid w:val="00F71DD0"/>
    <w:rsid w:val="00F72812"/>
    <w:rsid w:val="00F73802"/>
    <w:rsid w:val="00F7380C"/>
    <w:rsid w:val="00F82257"/>
    <w:rsid w:val="00F837B1"/>
    <w:rsid w:val="00F84866"/>
    <w:rsid w:val="00F857E8"/>
    <w:rsid w:val="00F87701"/>
    <w:rsid w:val="00F877DA"/>
    <w:rsid w:val="00F97E0B"/>
    <w:rsid w:val="00FA08C9"/>
    <w:rsid w:val="00FA3868"/>
    <w:rsid w:val="00FA5BEF"/>
    <w:rsid w:val="00FA622B"/>
    <w:rsid w:val="00FA7873"/>
    <w:rsid w:val="00FB0382"/>
    <w:rsid w:val="00FB2E06"/>
    <w:rsid w:val="00FB35AC"/>
    <w:rsid w:val="00FB4826"/>
    <w:rsid w:val="00FB5349"/>
    <w:rsid w:val="00FC3B5B"/>
    <w:rsid w:val="00FC6651"/>
    <w:rsid w:val="00FD356D"/>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nyiwuafor@unical.edu.ng"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creativecommons.org/licenses/by/3.0/"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doi.org/10.71637/tnhj.v26i1.1267" TargetMode="External"/><Relationship Id="rId28" Type="http://schemas.openxmlformats.org/officeDocument/2006/relationships/hyperlink" Target="https://nhrec.net" TargetMode="Externa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i.org/10.71637/tnhj.v26i1.1267" TargetMode="External"/><Relationship Id="rId27" Type="http://schemas.openxmlformats.org/officeDocument/2006/relationships/image" Target="media/image5.png"/><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4566</Words>
  <Characters>26028</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2026-04-06T06:43:00Z</dcterms:created>
  <dcterms:modified xsi:type="dcterms:W3CDTF">2026-04-06T06:43:00Z</dcterms:modified>
</cp:coreProperties>
</file>