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C16735" w:rsidRDefault="00836FDC" w:rsidP="0086356E">
      <w:pPr>
        <w:shd w:val="clear" w:color="auto" w:fill="006C31"/>
        <w:ind w:left="-360" w:right="-360"/>
        <w:jc w:val="both"/>
        <w:rPr>
          <w:rFonts w:ascii="Garamond" w:hAnsi="Garamond"/>
          <w:b/>
          <w:color w:val="FFFFFF" w:themeColor="background1"/>
          <w:sz w:val="22"/>
          <w:szCs w:val="22"/>
        </w:rPr>
      </w:pPr>
      <w:r w:rsidRPr="00C16735">
        <w:rPr>
          <w:rFonts w:ascii="Garamond" w:hAnsi="Garamond"/>
          <w:b/>
          <w:color w:val="FFFFFF" w:themeColor="background1"/>
          <w:sz w:val="22"/>
          <w:szCs w:val="22"/>
        </w:rPr>
        <w:t>Original</w:t>
      </w:r>
    </w:p>
    <w:p w14:paraId="2C5363F9" w14:textId="6E21A651" w:rsidR="006732D7" w:rsidRPr="00C16735" w:rsidRDefault="006732D7" w:rsidP="006732D7">
      <w:pPr>
        <w:jc w:val="both"/>
        <w:rPr>
          <w:rFonts w:ascii="Garamond" w:hAnsi="Garamond"/>
          <w:sz w:val="22"/>
          <w:szCs w:val="22"/>
        </w:rPr>
      </w:pPr>
      <w:r w:rsidRPr="00C16735">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26FF637A">
                <wp:simplePos x="0" y="0"/>
                <wp:positionH relativeFrom="column">
                  <wp:posOffset>-238539</wp:posOffset>
                </wp:positionH>
                <wp:positionV relativeFrom="paragraph">
                  <wp:posOffset>122997</wp:posOffset>
                </wp:positionV>
                <wp:extent cx="6419850" cy="1025718"/>
                <wp:effectExtent l="0" t="0" r="19050" b="2222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025718"/>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4CD85A" id="Round Diagonal Corner Rectangle 262" o:spid="_x0000_s1026" style="position:absolute;margin-left:-18.8pt;margin-top:9.7pt;width:505.5pt;height:80.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025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" path="m170956,l6419850,r,l6419850,854762v,94416,-76540,170956,-170956,170956l,1025718r,l,170956c,76540,76540,,170956,xe" fillcolor="#1a601c" strokecolor="#385723" strokeweight="1pt">
                <v:stroke joinstyle="miter"/>
                <v:path arrowok="t" o:connecttype="custom" o:connectlocs="170956,0;6419850,0;6419850,0;6419850,854762;6248894,1025718;0,1025718;0,1025718;0,170956;170956,0" o:connectangles="0,0,0,0,0,0,0,0,0"/>
              </v:shape>
            </w:pict>
          </mc:Fallback>
        </mc:AlternateContent>
      </w:r>
    </w:p>
    <w:p w14:paraId="6C743D58" w14:textId="77777777" w:rsidR="007936BA" w:rsidRPr="007936BA" w:rsidRDefault="007936BA" w:rsidP="007936BA">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7936BA">
        <w:rPr>
          <w:rFonts w:ascii="Garamond" w:hAnsi="Garamond" w:cs="Times New Roman"/>
          <w:b/>
          <w:bCs/>
          <w:color w:val="FFFFFF" w:themeColor="background1"/>
          <w:sz w:val="32"/>
          <w:szCs w:val="32"/>
          <w:lang w:val="en-GB"/>
        </w:rPr>
        <w:t>Assessment of Nutritional Knowledge, Dietary Diversity, and Nutritional Status of Pregnant Adolescents in Bauchi State: A Cross-Sectional Study</w:t>
      </w:r>
    </w:p>
    <w:p w14:paraId="1408FF81" w14:textId="77777777" w:rsidR="00300ECA" w:rsidRDefault="00300ECA" w:rsidP="004717B0">
      <w:pPr>
        <w:pBdr>
          <w:bottom w:val="single" w:sz="6" w:space="1" w:color="auto"/>
        </w:pBdr>
        <w:jc w:val="both"/>
        <w:rPr>
          <w:rFonts w:ascii="Garamond" w:hAnsi="Garamond"/>
          <w:bCs/>
          <w:i/>
          <w:iCs/>
          <w:sz w:val="20"/>
          <w:szCs w:val="20"/>
          <w:vertAlign w:val="superscript"/>
          <w:lang w:val="en-IN"/>
        </w:rPr>
      </w:pPr>
      <w:bookmarkStart w:id="4" w:name="_Hlk209348096"/>
      <w:bookmarkEnd w:id="2"/>
      <w:bookmarkEnd w:id="3"/>
      <w:r w:rsidRPr="00105DB3">
        <w:rPr>
          <w:rFonts w:ascii="Garamond" w:hAnsi="Garamond" w:cs="Times New Roman"/>
          <w:b/>
          <w:bCs/>
          <w:i/>
          <w:iCs/>
          <w:color w:val="FFFFFF" w:themeColor="background1"/>
          <w:sz w:val="22"/>
          <w:szCs w:val="22"/>
        </w:rPr>
        <w:t xml:space="preserve">Chioma </w:t>
      </w:r>
      <w:proofErr w:type="spellStart"/>
      <w:r w:rsidRPr="00105DB3">
        <w:rPr>
          <w:rFonts w:ascii="Garamond" w:hAnsi="Garamond" w:cs="Times New Roman"/>
          <w:b/>
          <w:bCs/>
          <w:i/>
          <w:iCs/>
          <w:color w:val="FFFFFF" w:themeColor="background1"/>
          <w:sz w:val="22"/>
          <w:szCs w:val="22"/>
        </w:rPr>
        <w:t>Nonyelum</w:t>
      </w:r>
      <w:proofErr w:type="spellEnd"/>
      <w:r w:rsidRPr="00105DB3">
        <w:rPr>
          <w:rFonts w:ascii="Garamond" w:hAnsi="Garamond" w:cs="Times New Roman"/>
          <w:b/>
          <w:bCs/>
          <w:i/>
          <w:iCs/>
          <w:color w:val="FFFFFF" w:themeColor="background1"/>
          <w:sz w:val="22"/>
          <w:szCs w:val="22"/>
        </w:rPr>
        <w:t xml:space="preserve"> </w:t>
      </w:r>
      <w:proofErr w:type="spellStart"/>
      <w:r w:rsidRPr="00105DB3">
        <w:rPr>
          <w:rFonts w:ascii="Garamond" w:hAnsi="Garamond" w:cs="Times New Roman"/>
          <w:b/>
          <w:bCs/>
          <w:i/>
          <w:iCs/>
          <w:color w:val="FFFFFF" w:themeColor="background1"/>
          <w:sz w:val="22"/>
          <w:szCs w:val="22"/>
        </w:rPr>
        <w:t>Onyekweli-Ugeh</w:t>
      </w:r>
      <w:proofErr w:type="spellEnd"/>
      <w:r w:rsidRPr="00105DB3">
        <w:rPr>
          <w:rFonts w:ascii="Garamond" w:hAnsi="Garamond" w:cs="Times New Roman"/>
          <w:b/>
          <w:bCs/>
          <w:i/>
          <w:iCs/>
          <w:color w:val="FFFFFF" w:themeColor="background1"/>
          <w:sz w:val="22"/>
          <w:szCs w:val="22"/>
        </w:rPr>
        <w:t xml:space="preserve">, Kayode Ajayi, </w:t>
      </w:r>
      <w:proofErr w:type="spellStart"/>
      <w:r w:rsidRPr="00105DB3">
        <w:rPr>
          <w:rFonts w:ascii="Garamond" w:hAnsi="Garamond" w:cs="Times New Roman"/>
          <w:b/>
          <w:bCs/>
          <w:i/>
          <w:iCs/>
          <w:color w:val="FFFFFF" w:themeColor="background1"/>
          <w:sz w:val="22"/>
          <w:szCs w:val="22"/>
        </w:rPr>
        <w:t>Ibidayo</w:t>
      </w:r>
      <w:proofErr w:type="spellEnd"/>
      <w:r w:rsidRPr="00105DB3">
        <w:rPr>
          <w:rFonts w:ascii="Garamond" w:hAnsi="Garamond" w:cs="Times New Roman"/>
          <w:b/>
          <w:bCs/>
          <w:i/>
          <w:iCs/>
          <w:color w:val="FFFFFF" w:themeColor="background1"/>
          <w:sz w:val="22"/>
          <w:szCs w:val="22"/>
        </w:rPr>
        <w:t xml:space="preserve"> Adefolake </w:t>
      </w:r>
      <w:proofErr w:type="spellStart"/>
      <w:r w:rsidRPr="00105DB3">
        <w:rPr>
          <w:rFonts w:ascii="Garamond" w:hAnsi="Garamond" w:cs="Times New Roman"/>
          <w:b/>
          <w:bCs/>
          <w:i/>
          <w:iCs/>
          <w:color w:val="FFFFFF" w:themeColor="background1"/>
          <w:sz w:val="22"/>
          <w:szCs w:val="22"/>
        </w:rPr>
        <w:t>Alebiosu</w:t>
      </w:r>
      <w:proofErr w:type="spellEnd"/>
      <w:r w:rsidRPr="00105DB3">
        <w:rPr>
          <w:rFonts w:ascii="Garamond" w:hAnsi="Garamond" w:cs="Times New Roman"/>
          <w:b/>
          <w:bCs/>
          <w:i/>
          <w:iCs/>
          <w:color w:val="FFFFFF" w:themeColor="background1"/>
          <w:sz w:val="22"/>
          <w:szCs w:val="22"/>
        </w:rPr>
        <w:t xml:space="preserve">, Patience </w:t>
      </w:r>
      <w:proofErr w:type="spellStart"/>
      <w:r w:rsidRPr="00105DB3">
        <w:rPr>
          <w:rFonts w:ascii="Garamond" w:hAnsi="Garamond" w:cs="Times New Roman"/>
          <w:b/>
          <w:bCs/>
          <w:i/>
          <w:iCs/>
          <w:color w:val="FFFFFF" w:themeColor="background1"/>
          <w:sz w:val="22"/>
          <w:szCs w:val="22"/>
        </w:rPr>
        <w:t>Msendoo</w:t>
      </w:r>
      <w:proofErr w:type="spellEnd"/>
      <w:r w:rsidRPr="00105DB3">
        <w:rPr>
          <w:rFonts w:ascii="Garamond" w:hAnsi="Garamond" w:cs="Times New Roman"/>
          <w:b/>
          <w:bCs/>
          <w:i/>
          <w:iCs/>
          <w:color w:val="FFFFFF" w:themeColor="background1"/>
          <w:sz w:val="22"/>
          <w:szCs w:val="22"/>
        </w:rPr>
        <w:t xml:space="preserve"> </w:t>
      </w:r>
      <w:proofErr w:type="spellStart"/>
      <w:r w:rsidRPr="00105DB3">
        <w:rPr>
          <w:rFonts w:ascii="Garamond" w:hAnsi="Garamond" w:cs="Times New Roman"/>
          <w:b/>
          <w:bCs/>
          <w:i/>
          <w:iCs/>
          <w:color w:val="FFFFFF" w:themeColor="background1"/>
          <w:sz w:val="22"/>
          <w:szCs w:val="22"/>
        </w:rPr>
        <w:t>Gwadza</w:t>
      </w:r>
      <w:proofErr w:type="spellEnd"/>
      <w:r w:rsidRPr="00105DB3">
        <w:rPr>
          <w:rFonts w:ascii="Garamond" w:hAnsi="Garamond" w:cs="Times New Roman"/>
          <w:b/>
          <w:bCs/>
          <w:i/>
          <w:iCs/>
          <w:color w:val="FFFFFF" w:themeColor="background1"/>
          <w:sz w:val="22"/>
          <w:szCs w:val="22"/>
        </w:rPr>
        <w:t>, Elizabeth Oyeyemi Adedayo</w:t>
      </w:r>
      <w:r w:rsidRPr="00C16735">
        <w:rPr>
          <w:rFonts w:ascii="Garamond" w:hAnsi="Garamond"/>
          <w:bCs/>
          <w:i/>
          <w:iCs/>
          <w:sz w:val="20"/>
          <w:szCs w:val="20"/>
          <w:vertAlign w:val="superscript"/>
          <w:lang w:val="en-IN"/>
        </w:rPr>
        <w:t xml:space="preserve"> </w:t>
      </w:r>
    </w:p>
    <w:p w14:paraId="5B942685" w14:textId="5707BBDD" w:rsidR="002265FA" w:rsidRPr="00C16735" w:rsidRDefault="006359CB" w:rsidP="004717B0">
      <w:pPr>
        <w:pBdr>
          <w:bottom w:val="single" w:sz="6" w:space="1" w:color="auto"/>
        </w:pBdr>
        <w:jc w:val="both"/>
        <w:rPr>
          <w:rFonts w:ascii="Garamond" w:hAnsi="Garamond"/>
          <w:bCs/>
          <w:i/>
          <w:iCs/>
          <w:sz w:val="20"/>
          <w:szCs w:val="20"/>
          <w:lang w:val="en-GB"/>
        </w:rPr>
      </w:pPr>
      <w:r w:rsidRPr="00C16735">
        <w:rPr>
          <w:rFonts w:ascii="Garamond" w:hAnsi="Garamond"/>
          <w:bCs/>
          <w:i/>
          <w:iCs/>
          <w:sz w:val="20"/>
          <w:szCs w:val="20"/>
          <w:vertAlign w:val="superscript"/>
          <w:lang w:val="en-IN"/>
        </w:rPr>
        <w:t>1</w:t>
      </w:r>
      <w:r w:rsidR="004717B0" w:rsidRPr="00C16735">
        <w:rPr>
          <w:rFonts w:ascii="Garamond" w:hAnsi="Garamond"/>
          <w:bCs/>
          <w:i/>
          <w:iCs/>
          <w:sz w:val="20"/>
          <w:szCs w:val="20"/>
          <w:lang w:val="en-GB"/>
        </w:rPr>
        <w:t>Department of Human Nutrition and Dietetics, College of Medicine and Health Sciences, Afe Babalola University, Ado-Ekiti, Nigeria.</w:t>
      </w:r>
    </w:p>
    <w:p w14:paraId="01584902" w14:textId="77777777" w:rsidR="004717B0" w:rsidRPr="00C16735" w:rsidRDefault="004717B0" w:rsidP="00F20CA0">
      <w:pPr>
        <w:pBdr>
          <w:bottom w:val="single" w:sz="6" w:space="1" w:color="auto"/>
        </w:pBdr>
        <w:jc w:val="both"/>
        <w:rPr>
          <w:rFonts w:ascii="Garamond" w:hAnsi="Garamond"/>
          <w:bCs/>
          <w:i/>
          <w:iCs/>
          <w:sz w:val="20"/>
          <w:szCs w:val="20"/>
        </w:rPr>
      </w:pPr>
    </w:p>
    <w:bookmarkEnd w:id="4"/>
    <w:p w14:paraId="61C5BB9E" w14:textId="7E7DA981" w:rsidR="00FB5C13" w:rsidRPr="00C11E74" w:rsidRDefault="001D4D3C" w:rsidP="004717B0">
      <w:pPr>
        <w:pBdr>
          <w:bottom w:val="single" w:sz="6" w:space="1" w:color="auto"/>
        </w:pBdr>
        <w:jc w:val="both"/>
        <w:rPr>
          <w:rFonts w:ascii="Garamond" w:hAnsi="Garamond"/>
          <w:sz w:val="20"/>
          <w:szCs w:val="20"/>
          <w:lang w:val="en-GB"/>
        </w:rPr>
      </w:pPr>
      <w:r w:rsidRPr="00C16735">
        <w:rPr>
          <w:rFonts w:ascii="Garamond" w:hAnsi="Garamond"/>
          <w:b/>
          <w:sz w:val="20"/>
          <w:szCs w:val="20"/>
        </w:rPr>
        <w:t>Corresponding author</w:t>
      </w:r>
      <w:r w:rsidR="009E0ABE" w:rsidRPr="00C16735">
        <w:rPr>
          <w:rFonts w:ascii="Garamond" w:hAnsi="Garamond"/>
          <w:b/>
          <w:sz w:val="20"/>
          <w:szCs w:val="20"/>
        </w:rPr>
        <w:t>:</w:t>
      </w:r>
      <w:r w:rsidR="00D66B3D" w:rsidRPr="00C16735">
        <w:rPr>
          <w:rFonts w:ascii="Garamond" w:hAnsi="Garamond"/>
          <w:b/>
          <w:sz w:val="20"/>
          <w:szCs w:val="20"/>
        </w:rPr>
        <w:t xml:space="preserve"> </w:t>
      </w:r>
      <w:r w:rsidR="004717B0" w:rsidRPr="00C16735">
        <w:rPr>
          <w:rFonts w:ascii="Garamond" w:hAnsi="Garamond" w:cs="Segoe UI"/>
          <w:b/>
          <w:bCs/>
          <w:sz w:val="20"/>
          <w:szCs w:val="20"/>
          <w:shd w:val="clear" w:color="auto" w:fill="FFFFFF"/>
          <w:lang w:val="en-GB"/>
        </w:rPr>
        <w:t xml:space="preserve">Chioma </w:t>
      </w:r>
      <w:proofErr w:type="spellStart"/>
      <w:r w:rsidR="004717B0" w:rsidRPr="00C16735">
        <w:rPr>
          <w:rFonts w:ascii="Garamond" w:hAnsi="Garamond" w:cs="Segoe UI"/>
          <w:b/>
          <w:bCs/>
          <w:sz w:val="20"/>
          <w:szCs w:val="20"/>
          <w:shd w:val="clear" w:color="auto" w:fill="FFFFFF"/>
          <w:lang w:val="en-GB"/>
        </w:rPr>
        <w:t>Nonyelum</w:t>
      </w:r>
      <w:proofErr w:type="spellEnd"/>
      <w:r w:rsidR="004717B0" w:rsidRPr="00C16735">
        <w:rPr>
          <w:rFonts w:ascii="Garamond" w:hAnsi="Garamond" w:cs="Segoe UI"/>
          <w:b/>
          <w:bCs/>
          <w:sz w:val="20"/>
          <w:szCs w:val="20"/>
          <w:shd w:val="clear" w:color="auto" w:fill="FFFFFF"/>
          <w:lang w:val="en-GB"/>
        </w:rPr>
        <w:t xml:space="preserve"> </w:t>
      </w:r>
      <w:proofErr w:type="spellStart"/>
      <w:r w:rsidR="004717B0" w:rsidRPr="00C16735">
        <w:rPr>
          <w:rFonts w:ascii="Garamond" w:hAnsi="Garamond" w:cs="Segoe UI"/>
          <w:b/>
          <w:bCs/>
          <w:sz w:val="20"/>
          <w:szCs w:val="20"/>
          <w:shd w:val="clear" w:color="auto" w:fill="FFFFFF"/>
          <w:lang w:val="en-GB"/>
        </w:rPr>
        <w:t>Onyekweli-Ugeh</w:t>
      </w:r>
      <w:proofErr w:type="spellEnd"/>
      <w:r w:rsidR="00CC5867" w:rsidRPr="00C16735">
        <w:rPr>
          <w:rFonts w:ascii="Garamond" w:hAnsi="Garamond" w:cs="Segoe UI"/>
          <w:b/>
          <w:bCs/>
          <w:sz w:val="20"/>
          <w:szCs w:val="20"/>
          <w:shd w:val="clear" w:color="auto" w:fill="FFFFFF"/>
          <w:lang w:val="en-GB"/>
        </w:rPr>
        <w:t>,</w:t>
      </w:r>
      <w:r w:rsidR="004717B0" w:rsidRPr="00C16735">
        <w:rPr>
          <w:rFonts w:ascii="Garamond" w:hAnsi="Garamond" w:cs="Segoe UI"/>
          <w:b/>
          <w:bCs/>
          <w:sz w:val="20"/>
          <w:szCs w:val="20"/>
          <w:shd w:val="clear" w:color="auto" w:fill="FFFFFF"/>
          <w:lang w:val="en-GB"/>
        </w:rPr>
        <w:t xml:space="preserve"> </w:t>
      </w:r>
      <w:r w:rsidR="004717B0" w:rsidRPr="00C16735">
        <w:rPr>
          <w:rFonts w:ascii="Garamond" w:hAnsi="Garamond"/>
          <w:bCs/>
          <w:sz w:val="20"/>
          <w:szCs w:val="20"/>
          <w:lang w:val="en-GB"/>
        </w:rPr>
        <w:t>Department of Human Nutrition and Dietetics, College of Medicine and Health Sciences, Afe Babalola University, Ado-Ekiti, Nigeria.</w:t>
      </w:r>
      <w:r w:rsidR="004717B0" w:rsidRPr="00C16735">
        <w:rPr>
          <w:rFonts w:ascii="Garamond" w:eastAsiaTheme="minorHAnsi" w:hAnsi="Garamond"/>
          <w:bCs/>
          <w:sz w:val="22"/>
          <w:szCs w:val="22"/>
          <w:lang w:val="en-GB"/>
        </w:rPr>
        <w:t xml:space="preserve"> </w:t>
      </w:r>
      <w:hyperlink r:id="rId8" w:history="1">
        <w:r w:rsidR="000B2BA8" w:rsidRPr="00A703B8">
          <w:rPr>
            <w:rStyle w:val="Hyperlink"/>
            <w:rFonts w:ascii="Garamond" w:hAnsi="Garamond"/>
            <w:bCs/>
            <w:sz w:val="20"/>
            <w:szCs w:val="20"/>
            <w:lang w:val="en-GB"/>
          </w:rPr>
          <w:t>ugehch@pg.abuad.edu.ng</w:t>
        </w:r>
      </w:hyperlink>
      <w:r w:rsidR="00FB5C13" w:rsidRPr="00C16735">
        <w:rPr>
          <w:rFonts w:ascii="Garamond" w:hAnsi="Garamond"/>
          <w:bCs/>
          <w:sz w:val="20"/>
          <w:szCs w:val="20"/>
          <w:lang w:val="en-GB"/>
        </w:rPr>
        <w:t>:</w:t>
      </w:r>
      <w:r w:rsidR="000B2BA8">
        <w:rPr>
          <w:rFonts w:ascii="Garamond" w:hAnsi="Garamond"/>
          <w:bCs/>
          <w:sz w:val="20"/>
          <w:szCs w:val="20"/>
          <w:lang w:val="en-GB"/>
        </w:rPr>
        <w:t xml:space="preserve"> </w:t>
      </w:r>
      <w:r w:rsidR="00FB5C13" w:rsidRPr="00C11E74">
        <w:rPr>
          <w:rFonts w:ascii="Garamond" w:hAnsi="Garamond"/>
          <w:sz w:val="20"/>
          <w:szCs w:val="20"/>
          <w:lang w:val="en-GB"/>
        </w:rPr>
        <w:t>+234 8167737734</w:t>
      </w:r>
    </w:p>
    <w:p w14:paraId="6641706A" w14:textId="2F44D6E8" w:rsidR="004717B0" w:rsidRPr="00C16735" w:rsidRDefault="00ED6F97" w:rsidP="004717B0">
      <w:pPr>
        <w:pBdr>
          <w:bottom w:val="single" w:sz="6" w:space="1" w:color="auto"/>
        </w:pBdr>
        <w:jc w:val="both"/>
        <w:rPr>
          <w:rFonts w:ascii="Garamond" w:hAnsi="Garamond"/>
          <w:bCs/>
          <w:i/>
          <w:iCs/>
          <w:sz w:val="20"/>
          <w:szCs w:val="20"/>
          <w:lang w:val="en-GB"/>
        </w:rPr>
      </w:pPr>
      <w:r>
        <w:rPr>
          <w:rFonts w:ascii="Garamond" w:hAnsi="Garamond"/>
          <w:bCs/>
          <w:i/>
          <w:iCs/>
          <w:sz w:val="20"/>
          <w:szCs w:val="20"/>
          <w:lang w:val="en-GB"/>
        </w:rPr>
        <w:t>s</w:t>
      </w:r>
    </w:p>
    <w:p w14:paraId="15BB8056" w14:textId="523DFDF7" w:rsidR="006732D7" w:rsidRPr="00C16735" w:rsidRDefault="006732D7" w:rsidP="006732D7">
      <w:pPr>
        <w:pBdr>
          <w:bottom w:val="single" w:sz="6" w:space="1" w:color="auto"/>
        </w:pBdr>
        <w:tabs>
          <w:tab w:val="left" w:pos="6867"/>
        </w:tabs>
        <w:jc w:val="both"/>
        <w:rPr>
          <w:rFonts w:ascii="Garamond" w:hAnsi="Garamond"/>
          <w:sz w:val="16"/>
          <w:szCs w:val="16"/>
        </w:rPr>
      </w:pPr>
      <w:r w:rsidRPr="00ED6F97">
        <w:rPr>
          <w:rFonts w:ascii="Garamond" w:hAnsi="Garamond"/>
          <w:sz w:val="16"/>
          <w:szCs w:val="16"/>
        </w:rPr>
        <w:t>Arti</w:t>
      </w:r>
      <w:r w:rsidR="0023667C" w:rsidRPr="00ED6F97">
        <w:rPr>
          <w:rFonts w:ascii="Garamond" w:hAnsi="Garamond"/>
          <w:sz w:val="16"/>
          <w:szCs w:val="16"/>
        </w:rPr>
        <w:t>cl</w:t>
      </w:r>
      <w:r w:rsidR="00943E61" w:rsidRPr="00ED6F97">
        <w:rPr>
          <w:rFonts w:ascii="Garamond" w:hAnsi="Garamond"/>
          <w:sz w:val="16"/>
          <w:szCs w:val="16"/>
        </w:rPr>
        <w:t xml:space="preserve">e history: Received </w:t>
      </w:r>
      <w:r w:rsidR="00ED6F97" w:rsidRPr="00ED6F97">
        <w:rPr>
          <w:rFonts w:ascii="Garamond" w:hAnsi="Garamond"/>
          <w:sz w:val="16"/>
          <w:szCs w:val="16"/>
        </w:rPr>
        <w:t>28</w:t>
      </w:r>
      <w:r w:rsidR="00943E61" w:rsidRPr="00ED6F97">
        <w:rPr>
          <w:rFonts w:ascii="Garamond" w:hAnsi="Garamond"/>
          <w:sz w:val="16"/>
          <w:szCs w:val="16"/>
        </w:rPr>
        <w:t xml:space="preserve"> </w:t>
      </w:r>
      <w:r w:rsidR="00ED6F97" w:rsidRPr="00ED6F97">
        <w:rPr>
          <w:rFonts w:ascii="Garamond" w:hAnsi="Garamond"/>
          <w:sz w:val="16"/>
          <w:szCs w:val="16"/>
        </w:rPr>
        <w:t>November</w:t>
      </w:r>
      <w:r w:rsidR="00943E61" w:rsidRPr="00ED6F97">
        <w:rPr>
          <w:rFonts w:ascii="Garamond" w:hAnsi="Garamond"/>
          <w:sz w:val="16"/>
          <w:szCs w:val="16"/>
        </w:rPr>
        <w:t xml:space="preserve"> 202</w:t>
      </w:r>
      <w:r w:rsidR="006E1FEB" w:rsidRPr="00ED6F97">
        <w:rPr>
          <w:rFonts w:ascii="Garamond" w:hAnsi="Garamond"/>
          <w:sz w:val="16"/>
          <w:szCs w:val="16"/>
        </w:rPr>
        <w:t>5</w:t>
      </w:r>
      <w:r w:rsidR="00943E61" w:rsidRPr="00ED6F97">
        <w:rPr>
          <w:rFonts w:ascii="Garamond" w:hAnsi="Garamond"/>
          <w:sz w:val="16"/>
          <w:szCs w:val="16"/>
        </w:rPr>
        <w:t xml:space="preserve">, </w:t>
      </w:r>
      <w:proofErr w:type="gramStart"/>
      <w:r w:rsidR="00943E61" w:rsidRPr="00ED6F97">
        <w:rPr>
          <w:rFonts w:ascii="Garamond" w:hAnsi="Garamond"/>
          <w:sz w:val="16"/>
          <w:szCs w:val="16"/>
        </w:rPr>
        <w:t>Reviewed</w:t>
      </w:r>
      <w:proofErr w:type="gramEnd"/>
      <w:r w:rsidR="00943E61" w:rsidRPr="00ED6F97">
        <w:rPr>
          <w:rFonts w:ascii="Garamond" w:hAnsi="Garamond"/>
          <w:sz w:val="16"/>
          <w:szCs w:val="16"/>
        </w:rPr>
        <w:t xml:space="preserve"> </w:t>
      </w:r>
      <w:r w:rsidR="002E3587" w:rsidRPr="00ED6F97">
        <w:rPr>
          <w:rFonts w:ascii="Garamond" w:hAnsi="Garamond"/>
          <w:sz w:val="16"/>
          <w:szCs w:val="16"/>
        </w:rPr>
        <w:t>07</w:t>
      </w:r>
      <w:r w:rsidR="00943E61" w:rsidRPr="00ED6F97">
        <w:rPr>
          <w:rFonts w:ascii="Garamond" w:hAnsi="Garamond"/>
          <w:sz w:val="16"/>
          <w:szCs w:val="16"/>
        </w:rPr>
        <w:t xml:space="preserve"> </w:t>
      </w:r>
      <w:r w:rsidR="002E3587" w:rsidRPr="00ED6F97">
        <w:rPr>
          <w:rFonts w:ascii="Garamond" w:hAnsi="Garamond"/>
          <w:sz w:val="16"/>
          <w:szCs w:val="16"/>
        </w:rPr>
        <w:t>March</w:t>
      </w:r>
      <w:r w:rsidR="00943E61" w:rsidRPr="00ED6F97">
        <w:rPr>
          <w:rFonts w:ascii="Garamond" w:hAnsi="Garamond"/>
          <w:sz w:val="16"/>
          <w:szCs w:val="16"/>
        </w:rPr>
        <w:t xml:space="preserve"> 202</w:t>
      </w:r>
      <w:r w:rsidR="002E3587" w:rsidRPr="00ED6F97">
        <w:rPr>
          <w:rFonts w:ascii="Garamond" w:hAnsi="Garamond"/>
          <w:sz w:val="16"/>
          <w:szCs w:val="16"/>
        </w:rPr>
        <w:t>6</w:t>
      </w:r>
      <w:r w:rsidRPr="00ED6F97">
        <w:rPr>
          <w:rFonts w:ascii="Garamond" w:hAnsi="Garamond"/>
          <w:sz w:val="16"/>
          <w:szCs w:val="16"/>
        </w:rPr>
        <w:t>, Accepted for pub</w:t>
      </w:r>
      <w:r w:rsidR="00943E61" w:rsidRPr="00ED6F97">
        <w:rPr>
          <w:rFonts w:ascii="Garamond" w:hAnsi="Garamond"/>
          <w:sz w:val="16"/>
          <w:szCs w:val="16"/>
        </w:rPr>
        <w:t xml:space="preserve">lication </w:t>
      </w:r>
      <w:r w:rsidR="00ED6F97" w:rsidRPr="00ED6F97">
        <w:rPr>
          <w:rFonts w:ascii="Garamond" w:hAnsi="Garamond"/>
          <w:sz w:val="16"/>
          <w:szCs w:val="16"/>
        </w:rPr>
        <w:t>27</w:t>
      </w:r>
      <w:r w:rsidR="0023667C" w:rsidRPr="00ED6F97">
        <w:rPr>
          <w:rFonts w:ascii="Garamond" w:hAnsi="Garamond"/>
          <w:sz w:val="16"/>
          <w:szCs w:val="16"/>
        </w:rPr>
        <w:t xml:space="preserve"> </w:t>
      </w:r>
      <w:r w:rsidR="002E3587" w:rsidRPr="00ED6F97">
        <w:rPr>
          <w:rFonts w:ascii="Garamond" w:hAnsi="Garamond"/>
          <w:sz w:val="16"/>
          <w:szCs w:val="16"/>
        </w:rPr>
        <w:t>March</w:t>
      </w:r>
      <w:r w:rsidRPr="00ED6F97">
        <w:rPr>
          <w:rFonts w:ascii="Garamond" w:hAnsi="Garamond"/>
          <w:sz w:val="16"/>
          <w:szCs w:val="16"/>
        </w:rPr>
        <w:t xml:space="preserve"> 202</w:t>
      </w:r>
      <w:r w:rsidR="002E3587" w:rsidRPr="00ED6F97">
        <w:rPr>
          <w:rFonts w:ascii="Garamond" w:hAnsi="Garamond"/>
          <w:sz w:val="16"/>
          <w:szCs w:val="16"/>
        </w:rPr>
        <w:t>6</w:t>
      </w:r>
    </w:p>
    <w:p w14:paraId="553715AB" w14:textId="77777777" w:rsidR="006732D7" w:rsidRPr="00C16735" w:rsidRDefault="006732D7" w:rsidP="006732D7">
      <w:pPr>
        <w:jc w:val="both"/>
        <w:rPr>
          <w:rFonts w:ascii="Garamond" w:hAnsi="Garamond"/>
          <w:sz w:val="22"/>
          <w:szCs w:val="22"/>
        </w:rPr>
      </w:pPr>
      <w:r w:rsidRPr="00C16735">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0980BA7F" w:rsidR="006732D7" w:rsidRPr="00C16735" w:rsidRDefault="000B2BA8" w:rsidP="006732D7">
      <w:pPr>
        <w:jc w:val="both"/>
        <w:rPr>
          <w:rFonts w:ascii="Garamond" w:hAnsi="Garamond"/>
          <w:sz w:val="22"/>
          <w:szCs w:val="22"/>
        </w:rPr>
      </w:pPr>
      <w:r w:rsidRPr="00C16735">
        <w:rPr>
          <w:rFonts w:ascii="Garamond" w:hAnsi="Garamond"/>
          <w:b/>
          <w:sz w:val="22"/>
          <w:szCs w:val="20"/>
        </w:rPr>
        <w:t>ABSTRACT</w:t>
      </w:r>
    </w:p>
    <w:p w14:paraId="279B6C96" w14:textId="6525505B" w:rsidR="00811CD8" w:rsidRPr="00811CD8" w:rsidRDefault="0017507F" w:rsidP="00811CD8">
      <w:pPr>
        <w:jc w:val="both"/>
        <w:rPr>
          <w:rFonts w:ascii="Garamond" w:eastAsiaTheme="minorHAnsi" w:hAnsi="Garamond" w:cstheme="minorHAnsi"/>
          <w:bCs/>
          <w:sz w:val="20"/>
          <w:szCs w:val="20"/>
          <w:lang w:val="en-GB"/>
        </w:rPr>
      </w:pPr>
      <w:r w:rsidRPr="00C16735">
        <w:rPr>
          <w:rFonts w:ascii="Garamond" w:eastAsiaTheme="minorHAnsi" w:hAnsi="Garamond" w:cstheme="minorHAnsi"/>
          <w:b/>
          <w:sz w:val="20"/>
          <w:szCs w:val="20"/>
          <w:lang w:val="en-NG"/>
        </w:rPr>
        <w:t>Background</w:t>
      </w:r>
      <w:r w:rsidR="00C56DA5" w:rsidRPr="00C16735">
        <w:rPr>
          <w:rFonts w:ascii="Garamond" w:eastAsiaTheme="minorHAnsi" w:hAnsi="Garamond" w:cstheme="minorHAnsi"/>
          <w:b/>
          <w:bCs/>
          <w:sz w:val="20"/>
          <w:szCs w:val="20"/>
          <w:lang w:val="en-GB"/>
        </w:rPr>
        <w:t>:</w:t>
      </w:r>
      <w:r w:rsidR="00811CD8" w:rsidRPr="00811CD8">
        <w:rPr>
          <w:rFonts w:ascii="Garamond" w:eastAsiaTheme="minorHAnsi" w:hAnsi="Garamond" w:cstheme="minorHAnsi"/>
          <w:bCs/>
          <w:sz w:val="20"/>
          <w:szCs w:val="20"/>
          <w:lang w:val="en-GB"/>
        </w:rPr>
        <w:t xml:space="preserve"> Teenage pregnancy poses major nutritional and physiological risks for both mother and </w:t>
      </w:r>
      <w:proofErr w:type="spellStart"/>
      <w:r w:rsidR="00811CD8" w:rsidRPr="00811CD8">
        <w:rPr>
          <w:rFonts w:ascii="Garamond" w:eastAsiaTheme="minorHAnsi" w:hAnsi="Garamond" w:cstheme="minorHAnsi"/>
          <w:bCs/>
          <w:sz w:val="20"/>
          <w:szCs w:val="20"/>
          <w:lang w:val="en-GB"/>
        </w:rPr>
        <w:t>fetus</w:t>
      </w:r>
      <w:proofErr w:type="spellEnd"/>
      <w:r w:rsidR="00811CD8" w:rsidRPr="00811CD8">
        <w:rPr>
          <w:rFonts w:ascii="Garamond" w:eastAsiaTheme="minorHAnsi" w:hAnsi="Garamond" w:cstheme="minorHAnsi"/>
          <w:bCs/>
          <w:sz w:val="20"/>
          <w:szCs w:val="20"/>
          <w:lang w:val="en-GB"/>
        </w:rPr>
        <w:t>. This research evaluated the nutrition knowledge, dietary diversity, and nutritional knowledge of pregnant adolescents in Bauchi State.</w:t>
      </w:r>
    </w:p>
    <w:p w14:paraId="10A17C8E" w14:textId="77777777" w:rsidR="00811CD8" w:rsidRPr="00811CD8" w:rsidRDefault="00811CD8" w:rsidP="00811CD8">
      <w:pPr>
        <w:jc w:val="both"/>
        <w:rPr>
          <w:rFonts w:ascii="Garamond" w:eastAsiaTheme="minorHAnsi" w:hAnsi="Garamond" w:cstheme="minorHAnsi"/>
          <w:bCs/>
          <w:sz w:val="20"/>
          <w:szCs w:val="20"/>
          <w:lang w:val="en-GB"/>
        </w:rPr>
      </w:pPr>
      <w:r w:rsidRPr="00811CD8">
        <w:rPr>
          <w:rFonts w:ascii="Garamond" w:eastAsiaTheme="minorHAnsi" w:hAnsi="Garamond" w:cstheme="minorHAnsi"/>
          <w:b/>
          <w:bCs/>
          <w:sz w:val="20"/>
          <w:szCs w:val="20"/>
          <w:lang w:val="en-GB"/>
        </w:rPr>
        <w:t>Methods</w:t>
      </w:r>
      <w:r w:rsidRPr="00811CD8">
        <w:rPr>
          <w:rFonts w:ascii="Garamond" w:eastAsiaTheme="minorHAnsi" w:hAnsi="Garamond" w:cstheme="minorHAnsi"/>
          <w:bCs/>
          <w:sz w:val="20"/>
          <w:szCs w:val="20"/>
          <w:lang w:val="en-GB"/>
        </w:rPr>
        <w:t xml:space="preserve">: An analytical cross-sectional study design was conducted among 200 pregnant adolescents aged 10-19 years selected from Comprehensive Primary Health Centres in </w:t>
      </w:r>
      <w:proofErr w:type="spellStart"/>
      <w:r w:rsidRPr="00811CD8">
        <w:rPr>
          <w:rFonts w:ascii="Garamond" w:eastAsiaTheme="minorHAnsi" w:hAnsi="Garamond" w:cstheme="minorHAnsi"/>
          <w:bCs/>
          <w:sz w:val="20"/>
          <w:szCs w:val="20"/>
          <w:lang w:val="en-GB"/>
        </w:rPr>
        <w:t>Dambam</w:t>
      </w:r>
      <w:proofErr w:type="spellEnd"/>
      <w:r w:rsidRPr="00811CD8">
        <w:rPr>
          <w:rFonts w:ascii="Garamond" w:eastAsiaTheme="minorHAnsi" w:hAnsi="Garamond" w:cstheme="minorHAnsi"/>
          <w:bCs/>
          <w:sz w:val="20"/>
          <w:szCs w:val="20"/>
          <w:lang w:val="en-GB"/>
        </w:rPr>
        <w:t xml:space="preserve"> and </w:t>
      </w:r>
      <w:proofErr w:type="spellStart"/>
      <w:r w:rsidRPr="00811CD8">
        <w:rPr>
          <w:rFonts w:ascii="Garamond" w:eastAsiaTheme="minorHAnsi" w:hAnsi="Garamond" w:cstheme="minorHAnsi"/>
          <w:bCs/>
          <w:sz w:val="20"/>
          <w:szCs w:val="20"/>
          <w:lang w:val="en-GB"/>
        </w:rPr>
        <w:t>Alkaleri</w:t>
      </w:r>
      <w:proofErr w:type="spellEnd"/>
      <w:r w:rsidRPr="00811CD8">
        <w:rPr>
          <w:rFonts w:ascii="Garamond" w:eastAsiaTheme="minorHAnsi" w:hAnsi="Garamond" w:cstheme="minorHAnsi"/>
          <w:bCs/>
          <w:sz w:val="20"/>
          <w:szCs w:val="20"/>
          <w:lang w:val="en-GB"/>
        </w:rPr>
        <w:t xml:space="preserve"> through multistage sampling. Nutrition Knowledge was measured using a 20-item validated questionnaire. Dietary diversity was assessed using FAO Minimum Dietary Diversity for Women (MDD-W) questionnaire. Nutritional status was determined using Mid-Upper Arm Circumference (MUAC) while blood samples were analysed for Packed Cell Volume (PCV) and serum Vitamin B</w:t>
      </w:r>
      <w:r w:rsidRPr="00811CD8">
        <w:rPr>
          <w:rFonts w:ascii="Garamond" w:eastAsiaTheme="minorHAnsi" w:hAnsi="Garamond" w:cstheme="minorHAnsi"/>
          <w:bCs/>
          <w:sz w:val="20"/>
          <w:szCs w:val="20"/>
          <w:vertAlign w:val="subscript"/>
          <w:lang w:val="en-GB"/>
        </w:rPr>
        <w:t>12</w:t>
      </w:r>
      <w:r w:rsidRPr="00811CD8">
        <w:rPr>
          <w:rFonts w:ascii="Garamond" w:eastAsiaTheme="minorHAnsi" w:hAnsi="Garamond" w:cstheme="minorHAnsi"/>
          <w:bCs/>
          <w:sz w:val="20"/>
          <w:szCs w:val="20"/>
          <w:lang w:val="en-GB"/>
        </w:rPr>
        <w:t xml:space="preserve">. Data was analysed using Statistical Package for Social Sciences (SPSS v25), Chi-square tested bivariate associations and multivariate logistic regression identified independent predictors at p&lt;0.05. </w:t>
      </w:r>
    </w:p>
    <w:p w14:paraId="1E3400B2" w14:textId="77777777" w:rsidR="00811CD8" w:rsidRPr="00811CD8" w:rsidRDefault="00811CD8" w:rsidP="00811CD8">
      <w:pPr>
        <w:jc w:val="both"/>
        <w:rPr>
          <w:rFonts w:ascii="Garamond" w:eastAsiaTheme="minorHAnsi" w:hAnsi="Garamond" w:cstheme="minorHAnsi"/>
          <w:bCs/>
          <w:sz w:val="20"/>
          <w:szCs w:val="20"/>
          <w:lang w:val="en-GB"/>
        </w:rPr>
      </w:pPr>
      <w:r w:rsidRPr="00811CD8">
        <w:rPr>
          <w:rFonts w:ascii="Garamond" w:eastAsiaTheme="minorHAnsi" w:hAnsi="Garamond" w:cstheme="minorHAnsi"/>
          <w:b/>
          <w:bCs/>
          <w:sz w:val="20"/>
          <w:szCs w:val="20"/>
          <w:lang w:val="en-GB"/>
        </w:rPr>
        <w:t>Results:</w:t>
      </w:r>
      <w:r w:rsidRPr="00811CD8">
        <w:rPr>
          <w:rFonts w:ascii="Garamond" w:eastAsiaTheme="minorHAnsi" w:hAnsi="Garamond" w:cstheme="minorHAnsi"/>
          <w:bCs/>
          <w:sz w:val="20"/>
          <w:szCs w:val="20"/>
          <w:lang w:val="en-GB"/>
        </w:rPr>
        <w:t xml:space="preserve"> Findings revealed that 66% (n=132) had high nutrition knowledge scores, 53.5% (n=107) achieved adequate dietary diversity (≥5 food groups) and 74.5% (n=149) were undernourished (MUAC &lt;23cm). Most adolescents had adequate Vitamin B</w:t>
      </w:r>
      <w:r w:rsidRPr="00811CD8">
        <w:rPr>
          <w:rFonts w:ascii="Garamond" w:eastAsiaTheme="minorHAnsi" w:hAnsi="Garamond" w:cstheme="minorHAnsi"/>
          <w:bCs/>
          <w:sz w:val="20"/>
          <w:szCs w:val="20"/>
          <w:vertAlign w:val="subscript"/>
          <w:lang w:val="en-GB"/>
        </w:rPr>
        <w:t>12</w:t>
      </w:r>
      <w:r w:rsidRPr="00811CD8">
        <w:rPr>
          <w:rFonts w:ascii="Garamond" w:eastAsiaTheme="minorHAnsi" w:hAnsi="Garamond" w:cstheme="minorHAnsi"/>
          <w:bCs/>
          <w:sz w:val="20"/>
          <w:szCs w:val="20"/>
          <w:lang w:val="en-GB"/>
        </w:rPr>
        <w:t xml:space="preserve"> levels (83%, n=166) but 43.5% (n=87) had low-normal PCV (33-35%). Multivariate analysis revealed that pregnant adolescents in </w:t>
      </w:r>
      <w:proofErr w:type="spellStart"/>
      <w:r w:rsidRPr="00811CD8">
        <w:rPr>
          <w:rFonts w:ascii="Garamond" w:eastAsiaTheme="minorHAnsi" w:hAnsi="Garamond" w:cstheme="minorHAnsi"/>
          <w:bCs/>
          <w:sz w:val="20"/>
          <w:szCs w:val="20"/>
          <w:lang w:val="en-GB"/>
        </w:rPr>
        <w:t>Dambam</w:t>
      </w:r>
      <w:proofErr w:type="spellEnd"/>
      <w:r w:rsidRPr="00811CD8">
        <w:rPr>
          <w:rFonts w:ascii="Garamond" w:eastAsiaTheme="minorHAnsi" w:hAnsi="Garamond" w:cstheme="minorHAnsi"/>
          <w:bCs/>
          <w:sz w:val="20"/>
          <w:szCs w:val="20"/>
          <w:lang w:val="en-GB"/>
        </w:rPr>
        <w:t xml:space="preserve"> had higher odds of inadequate dietary diversity compared to those in </w:t>
      </w:r>
      <w:proofErr w:type="spellStart"/>
      <w:r w:rsidRPr="00811CD8">
        <w:rPr>
          <w:rFonts w:ascii="Garamond" w:eastAsiaTheme="minorHAnsi" w:hAnsi="Garamond" w:cstheme="minorHAnsi"/>
          <w:bCs/>
          <w:sz w:val="20"/>
          <w:szCs w:val="20"/>
          <w:lang w:val="en-GB"/>
        </w:rPr>
        <w:t>Alkaleri</w:t>
      </w:r>
      <w:proofErr w:type="spellEnd"/>
      <w:r w:rsidRPr="00811CD8">
        <w:rPr>
          <w:rFonts w:ascii="Garamond" w:eastAsiaTheme="minorHAnsi" w:hAnsi="Garamond" w:cstheme="minorHAnsi"/>
          <w:bCs/>
          <w:sz w:val="20"/>
          <w:szCs w:val="20"/>
          <w:lang w:val="en-GB"/>
        </w:rPr>
        <w:t xml:space="preserve"> (AOR=1.7, 95% CI: 1.2-2.6, p=0.035). Adolescents from Polygamous families also had higher odds of inadequate dietary diversity compared to monogamous counterparts (AOR=1.8, 95% CI: 1.3-2.5, p=0.036).</w:t>
      </w:r>
    </w:p>
    <w:p w14:paraId="4C0B6D7A" w14:textId="77777777" w:rsidR="00811CD8" w:rsidRPr="00811CD8" w:rsidRDefault="00811CD8" w:rsidP="00811CD8">
      <w:pPr>
        <w:jc w:val="both"/>
        <w:rPr>
          <w:rFonts w:ascii="Garamond" w:eastAsiaTheme="minorHAnsi" w:hAnsi="Garamond" w:cstheme="minorHAnsi"/>
          <w:bCs/>
          <w:sz w:val="20"/>
          <w:szCs w:val="20"/>
          <w:lang w:val="en-GB"/>
        </w:rPr>
      </w:pPr>
      <w:r w:rsidRPr="00811CD8">
        <w:rPr>
          <w:rFonts w:ascii="Garamond" w:eastAsiaTheme="minorHAnsi" w:hAnsi="Garamond" w:cstheme="minorHAnsi"/>
          <w:b/>
          <w:bCs/>
          <w:sz w:val="20"/>
          <w:szCs w:val="20"/>
          <w:lang w:val="en-GB"/>
        </w:rPr>
        <w:t>Conclusion</w:t>
      </w:r>
      <w:r w:rsidRPr="00811CD8">
        <w:rPr>
          <w:rFonts w:ascii="Garamond" w:eastAsiaTheme="minorHAnsi" w:hAnsi="Garamond" w:cstheme="minorHAnsi"/>
          <w:bCs/>
          <w:sz w:val="20"/>
          <w:szCs w:val="20"/>
          <w:lang w:val="en-GB"/>
        </w:rPr>
        <w:t>: Despite high nutrition knowledge among participants, undernutrition remained high highlighting the need for effective strategies addressing both socioeconomic constraints and improved dietary access in the region.</w:t>
      </w:r>
    </w:p>
    <w:p w14:paraId="6D73BFBA" w14:textId="77777777" w:rsidR="00811CD8" w:rsidRPr="00811CD8" w:rsidRDefault="00811CD8" w:rsidP="00811CD8">
      <w:pPr>
        <w:jc w:val="both"/>
        <w:rPr>
          <w:rFonts w:ascii="Garamond" w:eastAsiaTheme="minorHAnsi" w:hAnsi="Garamond" w:cstheme="minorHAnsi"/>
          <w:bCs/>
          <w:sz w:val="20"/>
          <w:szCs w:val="20"/>
          <w:lang w:val="en-GB"/>
        </w:rPr>
      </w:pPr>
    </w:p>
    <w:p w14:paraId="0C8F3DAE" w14:textId="30F1F9F1" w:rsidR="00811CD8" w:rsidRPr="00811CD8" w:rsidRDefault="00811CD8" w:rsidP="00811CD8">
      <w:pPr>
        <w:jc w:val="both"/>
        <w:rPr>
          <w:rFonts w:ascii="Garamond" w:eastAsiaTheme="minorHAnsi" w:hAnsi="Garamond" w:cstheme="minorHAnsi"/>
          <w:bCs/>
          <w:sz w:val="20"/>
          <w:szCs w:val="20"/>
          <w:lang w:val="en-GB"/>
        </w:rPr>
      </w:pPr>
      <w:r w:rsidRPr="00811CD8">
        <w:rPr>
          <w:rFonts w:ascii="Garamond" w:eastAsiaTheme="minorHAnsi" w:hAnsi="Garamond" w:cstheme="minorHAnsi"/>
          <w:b/>
          <w:bCs/>
          <w:sz w:val="20"/>
          <w:szCs w:val="20"/>
          <w:lang w:val="en-GB"/>
        </w:rPr>
        <w:t>Key</w:t>
      </w:r>
      <w:r w:rsidR="00C11E74">
        <w:rPr>
          <w:rFonts w:ascii="Garamond" w:eastAsiaTheme="minorHAnsi" w:hAnsi="Garamond" w:cstheme="minorHAnsi"/>
          <w:b/>
          <w:bCs/>
          <w:sz w:val="20"/>
          <w:szCs w:val="20"/>
          <w:lang w:val="en-GB"/>
        </w:rPr>
        <w:t>w</w:t>
      </w:r>
      <w:r w:rsidRPr="00811CD8">
        <w:rPr>
          <w:rFonts w:ascii="Garamond" w:eastAsiaTheme="minorHAnsi" w:hAnsi="Garamond" w:cstheme="minorHAnsi"/>
          <w:b/>
          <w:bCs/>
          <w:sz w:val="20"/>
          <w:szCs w:val="20"/>
          <w:lang w:val="en-GB"/>
        </w:rPr>
        <w:t>ords</w:t>
      </w:r>
      <w:r w:rsidRPr="00811CD8">
        <w:rPr>
          <w:rFonts w:ascii="Garamond" w:eastAsiaTheme="minorHAnsi" w:hAnsi="Garamond" w:cstheme="minorHAnsi"/>
          <w:bCs/>
          <w:sz w:val="20"/>
          <w:szCs w:val="20"/>
          <w:lang w:val="en-GB"/>
        </w:rPr>
        <w:t>: Pregnant adolescents, MUAC, Mid-upper arm circumference. MDD-W, Minimum dietary diversity for Women, Nutrition knowledge, Vitamin B12, Bauchi State.</w:t>
      </w:r>
    </w:p>
    <w:p w14:paraId="173ABDBA" w14:textId="285B36B4" w:rsidR="006732D7" w:rsidRPr="00C16735" w:rsidRDefault="006732D7" w:rsidP="006732D7">
      <w:pPr>
        <w:jc w:val="both"/>
        <w:rPr>
          <w:rFonts w:ascii="Garamond" w:eastAsiaTheme="minorHAnsi" w:hAnsi="Garamond" w:cstheme="minorHAnsi"/>
          <w:bCs/>
          <w:sz w:val="20"/>
          <w:szCs w:val="20"/>
        </w:rPr>
        <w:sectPr w:rsidR="006732D7" w:rsidRPr="00C16735" w:rsidSect="00C11E7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99"/>
          <w:cols w:space="720"/>
          <w:docGrid w:linePitch="326"/>
        </w:sectPr>
      </w:pPr>
    </w:p>
    <w:p w14:paraId="438D3F7E" w14:textId="77777777" w:rsidR="006732D7" w:rsidRPr="00C16735" w:rsidRDefault="006732D7" w:rsidP="006732D7">
      <w:pPr>
        <w:jc w:val="both"/>
        <w:rPr>
          <w:rFonts w:ascii="Garamond" w:hAnsi="Garamond"/>
          <w:b/>
          <w:sz w:val="22"/>
          <w:szCs w:val="20"/>
        </w:rPr>
        <w:sectPr w:rsidR="006732D7" w:rsidRPr="00C16735" w:rsidSect="00333DE6">
          <w:type w:val="continuous"/>
          <w:pgSz w:w="12240" w:h="15840"/>
          <w:pgMar w:top="1440" w:right="1440" w:bottom="1440" w:left="1440" w:header="720" w:footer="720" w:gutter="0"/>
          <w:cols w:num="2" w:space="720"/>
          <w:titlePg/>
          <w:docGrid w:linePitch="360"/>
        </w:sectPr>
      </w:pPr>
      <w:r w:rsidRPr="00C16735">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C16735" w:rsidRDefault="006732D7" w:rsidP="006732D7">
      <w:pPr>
        <w:jc w:val="both"/>
        <w:rPr>
          <w:rFonts w:ascii="Garamond" w:hAnsi="Garamond"/>
          <w:b/>
          <w:bCs/>
          <w:color w:val="000000" w:themeColor="text1"/>
          <w:sz w:val="20"/>
          <w:szCs w:val="20"/>
        </w:rPr>
        <w:sectPr w:rsidR="006732D7" w:rsidRPr="00C16735"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6DD9CCB0" w:rsidR="006732D7" w:rsidRPr="00C16735" w:rsidRDefault="006732D7" w:rsidP="006732D7">
      <w:pPr>
        <w:jc w:val="both"/>
        <w:rPr>
          <w:rFonts w:ascii="Garamond" w:hAnsi="Garamond"/>
          <w:b/>
          <w:bCs/>
          <w:sz w:val="22"/>
          <w:szCs w:val="20"/>
        </w:rPr>
      </w:pPr>
      <w:r w:rsidRPr="00C16735">
        <w:rPr>
          <w:rFonts w:ascii="Garamond" w:hAnsi="Garamond"/>
          <w:noProof/>
          <w:sz w:val="20"/>
          <w:szCs w:val="20"/>
        </w:rPr>
        <w:drawing>
          <wp:inline distT="0" distB="0" distL="0" distR="0" wp14:anchorId="2CDA4C7E" wp14:editId="4E0E53F6">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C16735">
        <w:rPr>
          <w:rFonts w:ascii="Garamond" w:hAnsi="Garamond"/>
          <w:b/>
          <w:bCs/>
          <w:sz w:val="22"/>
          <w:szCs w:val="20"/>
        </w:rPr>
        <w:t xml:space="preserve">   </w:t>
      </w:r>
      <w:r w:rsidRPr="00C16735">
        <w:rPr>
          <w:rFonts w:ascii="Garamond" w:hAnsi="Garamond"/>
          <w:b/>
          <w:bCs/>
          <w:sz w:val="22"/>
          <w:szCs w:val="20"/>
        </w:rPr>
        <w:tab/>
      </w:r>
      <w:r w:rsidRPr="00C16735">
        <w:rPr>
          <w:rFonts w:ascii="Garamond" w:hAnsi="Garamond"/>
          <w:b/>
          <w:bCs/>
          <w:sz w:val="22"/>
          <w:szCs w:val="20"/>
        </w:rPr>
        <w:tab/>
      </w:r>
      <w:r w:rsidRPr="00C16735">
        <w:rPr>
          <w:rFonts w:ascii="Garamond" w:hAnsi="Garamond"/>
          <w:b/>
          <w:bCs/>
          <w:sz w:val="22"/>
          <w:szCs w:val="20"/>
        </w:rPr>
        <w:tab/>
      </w:r>
      <w:r w:rsidRPr="00C16735">
        <w:rPr>
          <w:rFonts w:ascii="Garamond" w:hAnsi="Garamond"/>
          <w:b/>
          <w:bCs/>
          <w:sz w:val="22"/>
          <w:szCs w:val="20"/>
        </w:rPr>
        <w:tab/>
      </w:r>
      <w:r w:rsidRPr="00C16735">
        <w:rPr>
          <w:rFonts w:ascii="Garamond" w:hAnsi="Garamond"/>
          <w:b/>
          <w:bCs/>
          <w:sz w:val="22"/>
          <w:szCs w:val="20"/>
        </w:rPr>
        <w:tab/>
        <w:t xml:space="preserve">   How to cite this article</w:t>
      </w:r>
    </w:p>
    <w:p w14:paraId="7EA89543" w14:textId="3D48EFE2" w:rsidR="0080277A" w:rsidRPr="00C16735" w:rsidRDefault="0080277A" w:rsidP="006732D7">
      <w:pPr>
        <w:jc w:val="both"/>
        <w:rPr>
          <w:rFonts w:ascii="Garamond" w:hAnsi="Garamond"/>
          <w:b/>
          <w:bCs/>
          <w:sz w:val="22"/>
          <w:szCs w:val="20"/>
        </w:rPr>
        <w:sectPr w:rsidR="0080277A" w:rsidRPr="00C16735" w:rsidSect="00045140">
          <w:type w:val="continuous"/>
          <w:pgSz w:w="12240" w:h="15840"/>
          <w:pgMar w:top="1440" w:right="1440" w:bottom="1440" w:left="1440" w:header="720" w:footer="720" w:gutter="0"/>
          <w:cols w:space="720"/>
          <w:titlePg/>
          <w:docGrid w:linePitch="360"/>
        </w:sectPr>
      </w:pPr>
    </w:p>
    <w:p w14:paraId="2473312A" w14:textId="578E6523" w:rsidR="006732D7" w:rsidRPr="00C16735" w:rsidRDefault="000720E5" w:rsidP="006732D7">
      <w:pPr>
        <w:jc w:val="both"/>
        <w:rPr>
          <w:rFonts w:ascii="Garamond" w:hAnsi="Garamond"/>
          <w:b/>
          <w:sz w:val="22"/>
          <w:szCs w:val="20"/>
        </w:rPr>
        <w:sectPr w:rsidR="006732D7" w:rsidRPr="00C16735" w:rsidSect="00081D29">
          <w:type w:val="continuous"/>
          <w:pgSz w:w="12240" w:h="15840"/>
          <w:pgMar w:top="1440" w:right="1440" w:bottom="1440" w:left="1440" w:header="720" w:footer="720" w:gutter="0"/>
          <w:cols w:space="720"/>
          <w:titlePg/>
          <w:docGrid w:linePitch="360"/>
        </w:sectPr>
      </w:pPr>
      <w:r w:rsidRPr="00C16735">
        <w:rPr>
          <w:rFonts w:ascii="Garamond" w:eastAsiaTheme="minorHAnsi" w:hAnsi="Garamond" w:cs="Times New Roman"/>
          <w:noProof/>
        </w:rPr>
        <mc:AlternateContent>
          <mc:Choice Requires="wps">
            <w:drawing>
              <wp:anchor distT="0" distB="0" distL="114300" distR="114300" simplePos="0" relativeHeight="251661312" behindDoc="0" locked="0" layoutInCell="1" allowOverlap="1" wp14:anchorId="3BF86CDF" wp14:editId="0A921A0C">
                <wp:simplePos x="0" y="0"/>
                <wp:positionH relativeFrom="margin">
                  <wp:posOffset>3254829</wp:posOffset>
                </wp:positionH>
                <wp:positionV relativeFrom="paragraph">
                  <wp:posOffset>29119</wp:posOffset>
                </wp:positionV>
                <wp:extent cx="2671639" cy="1099457"/>
                <wp:effectExtent l="0" t="0" r="8255" b="18415"/>
                <wp:wrapNone/>
                <wp:docPr id="8" name="Text Box 8"/>
                <wp:cNvGraphicFramePr/>
                <a:graphic xmlns:a="http://schemas.openxmlformats.org/drawingml/2006/main">
                  <a:graphicData uri="http://schemas.microsoft.com/office/word/2010/wordprocessingShape">
                    <wps:wsp>
                      <wps:cNvSpPr txBox="1"/>
                      <wps:spPr>
                        <a:xfrm>
                          <a:off x="0" y="0"/>
                          <a:ext cx="2671639" cy="1099457"/>
                        </a:xfrm>
                        <a:prstGeom prst="rect">
                          <a:avLst/>
                        </a:prstGeom>
                        <a:solidFill>
                          <a:sysClr val="window" lastClr="FFFFFF"/>
                        </a:solidFill>
                        <a:ln w="6350">
                          <a:solidFill>
                            <a:srgbClr val="70AD47">
                              <a:lumMod val="75000"/>
                            </a:srgbClr>
                          </a:solidFill>
                        </a:ln>
                      </wps:spPr>
                      <wps:txbx>
                        <w:txbxContent>
                          <w:p w14:paraId="65562D4D" w14:textId="0767E02C" w:rsidR="00576722" w:rsidRPr="000B2BA8" w:rsidRDefault="00300ECA" w:rsidP="000B2BA8">
                            <w:pPr>
                              <w:rPr>
                                <w:sz w:val="20"/>
                                <w:szCs w:val="20"/>
                              </w:rPr>
                            </w:pPr>
                            <w:proofErr w:type="spellStart"/>
                            <w:r w:rsidRPr="00105DB3">
                              <w:rPr>
                                <w:rFonts w:ascii="Garamond" w:hAnsi="Garamond" w:cs="Times New Roman"/>
                                <w:i/>
                                <w:iCs/>
                                <w:sz w:val="20"/>
                                <w:szCs w:val="20"/>
                              </w:rPr>
                              <w:t>Onyekweli-Ugeh</w:t>
                            </w:r>
                            <w:proofErr w:type="spellEnd"/>
                            <w:r w:rsidRPr="00105DB3">
                              <w:rPr>
                                <w:rFonts w:ascii="Garamond" w:hAnsi="Garamond" w:cs="Times New Roman"/>
                                <w:i/>
                                <w:iCs/>
                                <w:sz w:val="20"/>
                                <w:szCs w:val="20"/>
                              </w:rPr>
                              <w:t xml:space="preserve"> CN, Ajayi K, </w:t>
                            </w:r>
                            <w:proofErr w:type="spellStart"/>
                            <w:r w:rsidRPr="00105DB3">
                              <w:rPr>
                                <w:rFonts w:ascii="Garamond" w:hAnsi="Garamond" w:cs="Times New Roman"/>
                                <w:i/>
                                <w:iCs/>
                                <w:sz w:val="20"/>
                                <w:szCs w:val="20"/>
                              </w:rPr>
                              <w:t>Alebiosu</w:t>
                            </w:r>
                            <w:proofErr w:type="spellEnd"/>
                            <w:r w:rsidRPr="00105DB3">
                              <w:rPr>
                                <w:rFonts w:ascii="Garamond" w:hAnsi="Garamond" w:cs="Times New Roman"/>
                                <w:i/>
                                <w:iCs/>
                                <w:sz w:val="20"/>
                                <w:szCs w:val="20"/>
                              </w:rPr>
                              <w:t xml:space="preserve"> IA, </w:t>
                            </w:r>
                            <w:proofErr w:type="spellStart"/>
                            <w:r w:rsidRPr="00105DB3">
                              <w:rPr>
                                <w:rFonts w:ascii="Garamond" w:hAnsi="Garamond" w:cs="Times New Roman"/>
                                <w:i/>
                                <w:iCs/>
                                <w:sz w:val="20"/>
                                <w:szCs w:val="20"/>
                              </w:rPr>
                              <w:t>Gwadza</w:t>
                            </w:r>
                            <w:proofErr w:type="spellEnd"/>
                            <w:r w:rsidRPr="00105DB3">
                              <w:rPr>
                                <w:rFonts w:ascii="Garamond" w:hAnsi="Garamond" w:cs="Times New Roman"/>
                                <w:i/>
                                <w:iCs/>
                                <w:sz w:val="20"/>
                                <w:szCs w:val="20"/>
                              </w:rPr>
                              <w:t xml:space="preserve"> PM, Adedayo EO</w:t>
                            </w:r>
                            <w:r w:rsidR="000B2BA8">
                              <w:rPr>
                                <w:sz w:val="20"/>
                                <w:szCs w:val="20"/>
                              </w:rPr>
                              <w:t xml:space="preserve">. </w:t>
                            </w:r>
                            <w:r w:rsidR="007936BA" w:rsidRPr="000B2BA8">
                              <w:rPr>
                                <w:rFonts w:ascii="Garamond" w:hAnsi="Garamond" w:cs="Segoe UI"/>
                                <w:sz w:val="18"/>
                                <w:szCs w:val="18"/>
                                <w:shd w:val="clear" w:color="auto" w:fill="FFFFFF"/>
                                <w:lang w:val="en-GB"/>
                              </w:rPr>
                              <w:t>Assessment of Nutritional Knowledge, Dietary Diversity, and Nutritional Status of Pregnant Adolescents in Bauchi State: A Cross-Sectional</w:t>
                            </w:r>
                            <w:r w:rsidR="007936BA" w:rsidRPr="007936BA">
                              <w:rPr>
                                <w:rFonts w:ascii="Garamond" w:hAnsi="Garamond" w:cs="Segoe UI"/>
                                <w:b/>
                                <w:bCs/>
                                <w:sz w:val="18"/>
                                <w:szCs w:val="18"/>
                                <w:shd w:val="clear" w:color="auto" w:fill="FFFFFF"/>
                                <w:lang w:val="en-GB"/>
                              </w:rPr>
                              <w:t xml:space="preserve"> </w:t>
                            </w:r>
                            <w:r w:rsidR="007936BA" w:rsidRPr="000B2BA8">
                              <w:rPr>
                                <w:rFonts w:ascii="Garamond" w:hAnsi="Garamond" w:cs="Segoe UI"/>
                                <w:sz w:val="18"/>
                                <w:szCs w:val="18"/>
                                <w:shd w:val="clear" w:color="auto" w:fill="FFFFFF"/>
                                <w:lang w:val="en-GB"/>
                              </w:rPr>
                              <w:t>Study.</w:t>
                            </w:r>
                            <w:r w:rsidR="007936BA">
                              <w:rPr>
                                <w:rFonts w:ascii="Garamond" w:hAnsi="Garamond" w:cs="Segoe UI"/>
                                <w:b/>
                                <w:bCs/>
                                <w:sz w:val="18"/>
                                <w:szCs w:val="18"/>
                                <w:shd w:val="clear" w:color="auto" w:fill="FFFFFF"/>
                                <w:lang w:val="en-GB"/>
                              </w:rPr>
                              <w:t xml:space="preserve"> </w:t>
                            </w:r>
                            <w:r w:rsidR="00576722" w:rsidRPr="008134A3">
                              <w:rPr>
                                <w:rFonts w:ascii="Garamond" w:hAnsi="Garamond" w:cs="Segoe UI"/>
                                <w:color w:val="000000" w:themeColor="text1"/>
                                <w:sz w:val="21"/>
                                <w:szCs w:val="21"/>
                                <w:shd w:val="clear" w:color="auto" w:fill="FFFFFF"/>
                              </w:rPr>
                              <w:t>The Nigerian Health Journal 202</w:t>
                            </w:r>
                            <w:r w:rsidR="00347612">
                              <w:rPr>
                                <w:rFonts w:ascii="Garamond" w:hAnsi="Garamond" w:cs="Segoe UI"/>
                                <w:color w:val="000000" w:themeColor="text1"/>
                                <w:sz w:val="21"/>
                                <w:szCs w:val="21"/>
                                <w:shd w:val="clear" w:color="auto" w:fill="FFFFFF"/>
                              </w:rPr>
                              <w:t>6</w:t>
                            </w:r>
                            <w:r w:rsidR="00576722" w:rsidRPr="008134A3">
                              <w:rPr>
                                <w:rFonts w:ascii="Garamond" w:hAnsi="Garamond" w:cs="Segoe UI"/>
                                <w:color w:val="000000" w:themeColor="text1"/>
                                <w:sz w:val="21"/>
                                <w:szCs w:val="21"/>
                                <w:shd w:val="clear" w:color="auto" w:fill="FFFFFF"/>
                              </w:rPr>
                              <w:t>; 2</w:t>
                            </w:r>
                            <w:r w:rsidR="00347612">
                              <w:rPr>
                                <w:rFonts w:ascii="Garamond" w:hAnsi="Garamond" w:cs="Segoe UI"/>
                                <w:color w:val="000000" w:themeColor="text1"/>
                                <w:sz w:val="21"/>
                                <w:szCs w:val="21"/>
                                <w:shd w:val="clear" w:color="auto" w:fill="FFFFFF"/>
                              </w:rPr>
                              <w:t>6</w:t>
                            </w:r>
                            <w:r w:rsidR="00576722" w:rsidRPr="008134A3">
                              <w:rPr>
                                <w:rFonts w:ascii="Garamond" w:hAnsi="Garamond" w:cs="Segoe UI"/>
                                <w:color w:val="000000" w:themeColor="text1"/>
                                <w:sz w:val="21"/>
                                <w:szCs w:val="21"/>
                                <w:shd w:val="clear" w:color="auto" w:fill="FFFFFF"/>
                              </w:rPr>
                              <w:t>(</w:t>
                            </w:r>
                            <w:r w:rsidR="00347612">
                              <w:rPr>
                                <w:rFonts w:ascii="Garamond" w:hAnsi="Garamond" w:cs="Segoe UI"/>
                                <w:color w:val="000000" w:themeColor="text1"/>
                                <w:sz w:val="21"/>
                                <w:szCs w:val="21"/>
                                <w:shd w:val="clear" w:color="auto" w:fill="FFFFFF"/>
                              </w:rPr>
                              <w:t>1</w:t>
                            </w:r>
                            <w:r w:rsidR="00576722" w:rsidRPr="008134A3">
                              <w:rPr>
                                <w:rFonts w:ascii="Garamond" w:hAnsi="Garamond" w:cs="Segoe UI"/>
                                <w:color w:val="000000" w:themeColor="text1"/>
                                <w:sz w:val="21"/>
                                <w:szCs w:val="21"/>
                                <w:shd w:val="clear" w:color="auto" w:fill="FFFFFF"/>
                              </w:rPr>
                              <w:t>)</w:t>
                            </w:r>
                            <w:r w:rsidR="00C11E74">
                              <w:rPr>
                                <w:rFonts w:ascii="Garamond" w:hAnsi="Garamond" w:cs="Segoe UI"/>
                                <w:color w:val="000000" w:themeColor="text1"/>
                                <w:sz w:val="21"/>
                                <w:szCs w:val="21"/>
                                <w:shd w:val="clear" w:color="auto" w:fill="FFFFFF"/>
                              </w:rPr>
                              <w:t xml:space="preserve">: 199 – 211. </w:t>
                            </w:r>
                            <w:hyperlink r:id="rId22" w:history="1">
                              <w:r w:rsidR="00C11E74" w:rsidRPr="008D4B15">
                                <w:rPr>
                                  <w:rStyle w:val="Hyperlink"/>
                                  <w:rFonts w:ascii="Garamond" w:hAnsi="Garamond" w:cs="Arial"/>
                                  <w:sz w:val="20"/>
                                  <w:szCs w:val="20"/>
                                </w:rPr>
                                <w:t>https://doi.org/10.71637/tnhj.v26i1.1277</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3pt;width:210.35pt;height:86.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" fillcolor="window" strokecolor="#548235" strokeweight=".5pt">
                <v:textbox>
                  <w:txbxContent>
                    <w:p w14:paraId="65562D4D" w14:textId="0767E02C" w:rsidR="00576722" w:rsidRPr="000B2BA8" w:rsidRDefault="00300ECA" w:rsidP="000B2BA8">
                      <w:pPr>
                        <w:rPr>
                          <w:sz w:val="20"/>
                          <w:szCs w:val="20"/>
                        </w:rPr>
                      </w:pPr>
                      <w:proofErr w:type="spellStart"/>
                      <w:r w:rsidRPr="00105DB3">
                        <w:rPr>
                          <w:rFonts w:ascii="Garamond" w:hAnsi="Garamond" w:cs="Times New Roman"/>
                          <w:i/>
                          <w:iCs/>
                          <w:sz w:val="20"/>
                          <w:szCs w:val="20"/>
                        </w:rPr>
                        <w:t>Onyekweli-Ugeh</w:t>
                      </w:r>
                      <w:proofErr w:type="spellEnd"/>
                      <w:r w:rsidRPr="00105DB3">
                        <w:rPr>
                          <w:rFonts w:ascii="Garamond" w:hAnsi="Garamond" w:cs="Times New Roman"/>
                          <w:i/>
                          <w:iCs/>
                          <w:sz w:val="20"/>
                          <w:szCs w:val="20"/>
                        </w:rPr>
                        <w:t xml:space="preserve"> CN, Ajayi K, </w:t>
                      </w:r>
                      <w:proofErr w:type="spellStart"/>
                      <w:r w:rsidRPr="00105DB3">
                        <w:rPr>
                          <w:rFonts w:ascii="Garamond" w:hAnsi="Garamond" w:cs="Times New Roman"/>
                          <w:i/>
                          <w:iCs/>
                          <w:sz w:val="20"/>
                          <w:szCs w:val="20"/>
                        </w:rPr>
                        <w:t>Alebiosu</w:t>
                      </w:r>
                      <w:proofErr w:type="spellEnd"/>
                      <w:r w:rsidRPr="00105DB3">
                        <w:rPr>
                          <w:rFonts w:ascii="Garamond" w:hAnsi="Garamond" w:cs="Times New Roman"/>
                          <w:i/>
                          <w:iCs/>
                          <w:sz w:val="20"/>
                          <w:szCs w:val="20"/>
                        </w:rPr>
                        <w:t xml:space="preserve"> IA, </w:t>
                      </w:r>
                      <w:proofErr w:type="spellStart"/>
                      <w:r w:rsidRPr="00105DB3">
                        <w:rPr>
                          <w:rFonts w:ascii="Garamond" w:hAnsi="Garamond" w:cs="Times New Roman"/>
                          <w:i/>
                          <w:iCs/>
                          <w:sz w:val="20"/>
                          <w:szCs w:val="20"/>
                        </w:rPr>
                        <w:t>Gwadza</w:t>
                      </w:r>
                      <w:proofErr w:type="spellEnd"/>
                      <w:r w:rsidRPr="00105DB3">
                        <w:rPr>
                          <w:rFonts w:ascii="Garamond" w:hAnsi="Garamond" w:cs="Times New Roman"/>
                          <w:i/>
                          <w:iCs/>
                          <w:sz w:val="20"/>
                          <w:szCs w:val="20"/>
                        </w:rPr>
                        <w:t xml:space="preserve"> PM, Adedayo EO</w:t>
                      </w:r>
                      <w:r w:rsidR="000B2BA8">
                        <w:rPr>
                          <w:sz w:val="20"/>
                          <w:szCs w:val="20"/>
                        </w:rPr>
                        <w:t xml:space="preserve">. </w:t>
                      </w:r>
                      <w:r w:rsidR="007936BA" w:rsidRPr="000B2BA8">
                        <w:rPr>
                          <w:rFonts w:ascii="Garamond" w:hAnsi="Garamond" w:cs="Segoe UI"/>
                          <w:sz w:val="18"/>
                          <w:szCs w:val="18"/>
                          <w:shd w:val="clear" w:color="auto" w:fill="FFFFFF"/>
                          <w:lang w:val="en-GB"/>
                        </w:rPr>
                        <w:t>Assessment of Nutritional Knowledge, Dietary Diversity, and Nutritional Status of Pregnant Adolescents in Bauchi State: A Cross-Sectional</w:t>
                      </w:r>
                      <w:r w:rsidR="007936BA" w:rsidRPr="007936BA">
                        <w:rPr>
                          <w:rFonts w:ascii="Garamond" w:hAnsi="Garamond" w:cs="Segoe UI"/>
                          <w:b/>
                          <w:bCs/>
                          <w:sz w:val="18"/>
                          <w:szCs w:val="18"/>
                          <w:shd w:val="clear" w:color="auto" w:fill="FFFFFF"/>
                          <w:lang w:val="en-GB"/>
                        </w:rPr>
                        <w:t xml:space="preserve"> </w:t>
                      </w:r>
                      <w:r w:rsidR="007936BA" w:rsidRPr="000B2BA8">
                        <w:rPr>
                          <w:rFonts w:ascii="Garamond" w:hAnsi="Garamond" w:cs="Segoe UI"/>
                          <w:sz w:val="18"/>
                          <w:szCs w:val="18"/>
                          <w:shd w:val="clear" w:color="auto" w:fill="FFFFFF"/>
                          <w:lang w:val="en-GB"/>
                        </w:rPr>
                        <w:t>Study.</w:t>
                      </w:r>
                      <w:r w:rsidR="007936BA">
                        <w:rPr>
                          <w:rFonts w:ascii="Garamond" w:hAnsi="Garamond" w:cs="Segoe UI"/>
                          <w:b/>
                          <w:bCs/>
                          <w:sz w:val="18"/>
                          <w:szCs w:val="18"/>
                          <w:shd w:val="clear" w:color="auto" w:fill="FFFFFF"/>
                          <w:lang w:val="en-GB"/>
                        </w:rPr>
                        <w:t xml:space="preserve"> </w:t>
                      </w:r>
                      <w:r w:rsidR="00576722" w:rsidRPr="008134A3">
                        <w:rPr>
                          <w:rFonts w:ascii="Garamond" w:hAnsi="Garamond" w:cs="Segoe UI"/>
                          <w:color w:val="000000" w:themeColor="text1"/>
                          <w:sz w:val="21"/>
                          <w:szCs w:val="21"/>
                          <w:shd w:val="clear" w:color="auto" w:fill="FFFFFF"/>
                        </w:rPr>
                        <w:t>The Nigerian Health Journal 202</w:t>
                      </w:r>
                      <w:r w:rsidR="00347612">
                        <w:rPr>
                          <w:rFonts w:ascii="Garamond" w:hAnsi="Garamond" w:cs="Segoe UI"/>
                          <w:color w:val="000000" w:themeColor="text1"/>
                          <w:sz w:val="21"/>
                          <w:szCs w:val="21"/>
                          <w:shd w:val="clear" w:color="auto" w:fill="FFFFFF"/>
                        </w:rPr>
                        <w:t>6</w:t>
                      </w:r>
                      <w:r w:rsidR="00576722" w:rsidRPr="008134A3">
                        <w:rPr>
                          <w:rFonts w:ascii="Garamond" w:hAnsi="Garamond" w:cs="Segoe UI"/>
                          <w:color w:val="000000" w:themeColor="text1"/>
                          <w:sz w:val="21"/>
                          <w:szCs w:val="21"/>
                          <w:shd w:val="clear" w:color="auto" w:fill="FFFFFF"/>
                        </w:rPr>
                        <w:t>; 2</w:t>
                      </w:r>
                      <w:r w:rsidR="00347612">
                        <w:rPr>
                          <w:rFonts w:ascii="Garamond" w:hAnsi="Garamond" w:cs="Segoe UI"/>
                          <w:color w:val="000000" w:themeColor="text1"/>
                          <w:sz w:val="21"/>
                          <w:szCs w:val="21"/>
                          <w:shd w:val="clear" w:color="auto" w:fill="FFFFFF"/>
                        </w:rPr>
                        <w:t>6</w:t>
                      </w:r>
                      <w:r w:rsidR="00576722" w:rsidRPr="008134A3">
                        <w:rPr>
                          <w:rFonts w:ascii="Garamond" w:hAnsi="Garamond" w:cs="Segoe UI"/>
                          <w:color w:val="000000" w:themeColor="text1"/>
                          <w:sz w:val="21"/>
                          <w:szCs w:val="21"/>
                          <w:shd w:val="clear" w:color="auto" w:fill="FFFFFF"/>
                        </w:rPr>
                        <w:t>(</w:t>
                      </w:r>
                      <w:r w:rsidR="00347612">
                        <w:rPr>
                          <w:rFonts w:ascii="Garamond" w:hAnsi="Garamond" w:cs="Segoe UI"/>
                          <w:color w:val="000000" w:themeColor="text1"/>
                          <w:sz w:val="21"/>
                          <w:szCs w:val="21"/>
                          <w:shd w:val="clear" w:color="auto" w:fill="FFFFFF"/>
                        </w:rPr>
                        <w:t>1</w:t>
                      </w:r>
                      <w:r w:rsidR="00576722" w:rsidRPr="008134A3">
                        <w:rPr>
                          <w:rFonts w:ascii="Garamond" w:hAnsi="Garamond" w:cs="Segoe UI"/>
                          <w:color w:val="000000" w:themeColor="text1"/>
                          <w:sz w:val="21"/>
                          <w:szCs w:val="21"/>
                          <w:shd w:val="clear" w:color="auto" w:fill="FFFFFF"/>
                        </w:rPr>
                        <w:t>)</w:t>
                      </w:r>
                      <w:r w:rsidR="00C11E74">
                        <w:rPr>
                          <w:rFonts w:ascii="Garamond" w:hAnsi="Garamond" w:cs="Segoe UI"/>
                          <w:color w:val="000000" w:themeColor="text1"/>
                          <w:sz w:val="21"/>
                          <w:szCs w:val="21"/>
                          <w:shd w:val="clear" w:color="auto" w:fill="FFFFFF"/>
                        </w:rPr>
                        <w:t xml:space="preserve">: 199 – 211. </w:t>
                      </w:r>
                      <w:hyperlink r:id="rId23" w:history="1">
                        <w:r w:rsidR="00C11E74" w:rsidRPr="008D4B15">
                          <w:rPr>
                            <w:rStyle w:val="Hyperlink"/>
                            <w:rFonts w:ascii="Garamond" w:hAnsi="Garamond" w:cs="Arial"/>
                            <w:sz w:val="20"/>
                            <w:szCs w:val="20"/>
                          </w:rPr>
                          <w:t>https://doi.org/10.71637/tnhj.v26i1.1277</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C16735">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539E0F9D" w:rsidR="000720E5" w:rsidRPr="00C16735" w:rsidRDefault="000B2BA8" w:rsidP="000720E5">
      <w:pPr>
        <w:spacing w:line="259" w:lineRule="auto"/>
        <w:rPr>
          <w:rFonts w:ascii="Garamond" w:hAnsi="Garamond"/>
          <w:b/>
          <w:sz w:val="22"/>
          <w:szCs w:val="22"/>
        </w:rPr>
      </w:pPr>
      <w:r w:rsidRPr="00C16735">
        <w:rPr>
          <w:rFonts w:ascii="Garamond" w:hAnsi="Garamond"/>
          <w:b/>
          <w:sz w:val="22"/>
          <w:szCs w:val="22"/>
        </w:rPr>
        <w:lastRenderedPageBreak/>
        <w:t>INTRODUCTION</w:t>
      </w:r>
    </w:p>
    <w:p w14:paraId="0285C309" w14:textId="58F816FD" w:rsidR="000720E5" w:rsidRPr="00C16735" w:rsidRDefault="000720E5" w:rsidP="000720E5">
      <w:pPr>
        <w:spacing w:line="259" w:lineRule="auto"/>
        <w:rPr>
          <w:rFonts w:ascii="Garamond" w:hAnsi="Garamond"/>
          <w:b/>
          <w:sz w:val="22"/>
          <w:szCs w:val="22"/>
        </w:rPr>
        <w:sectPr w:rsidR="000720E5" w:rsidRPr="00C16735" w:rsidSect="00251782">
          <w:pgSz w:w="12240" w:h="15840"/>
          <w:pgMar w:top="1440" w:right="1440" w:bottom="1440" w:left="1440" w:header="720" w:footer="720" w:gutter="0"/>
          <w:cols w:num="2" w:space="720"/>
          <w:titlePg/>
          <w:docGrid w:linePitch="360"/>
        </w:sectPr>
      </w:pPr>
    </w:p>
    <w:p w14:paraId="2D65BD49" w14:textId="6FAF703B" w:rsidR="003F335E" w:rsidRPr="00300ECA" w:rsidRDefault="00316BC0" w:rsidP="00316BC0">
      <w:pPr>
        <w:spacing w:line="259" w:lineRule="auto"/>
        <w:jc w:val="both"/>
        <w:rPr>
          <w:rFonts w:ascii="Garamond" w:hAnsi="Garamond"/>
          <w:bCs/>
          <w:iCs/>
          <w:sz w:val="20"/>
          <w:szCs w:val="20"/>
          <w:vertAlign w:val="superscript"/>
          <w:lang w:val="en-GB"/>
        </w:rPr>
      </w:pPr>
      <w:r w:rsidRPr="00316BC0">
        <w:rPr>
          <w:rFonts w:ascii="Garamond" w:hAnsi="Garamond"/>
          <w:bCs/>
          <w:iCs/>
          <w:sz w:val="20"/>
          <w:szCs w:val="20"/>
          <w:lang w:val="en-GB"/>
        </w:rPr>
        <w:t xml:space="preserve">Maternal nutritional status during pregnancy plays a crucial role in ensuring maternal well-being, optimal </w:t>
      </w:r>
      <w:proofErr w:type="spellStart"/>
      <w:r w:rsidRPr="00316BC0">
        <w:rPr>
          <w:rFonts w:ascii="Garamond" w:hAnsi="Garamond"/>
          <w:bCs/>
          <w:iCs/>
          <w:sz w:val="20"/>
          <w:szCs w:val="20"/>
          <w:lang w:val="en-GB"/>
        </w:rPr>
        <w:t>fetal</w:t>
      </w:r>
      <w:proofErr w:type="spellEnd"/>
      <w:r w:rsidRPr="00316BC0">
        <w:rPr>
          <w:rFonts w:ascii="Garamond" w:hAnsi="Garamond"/>
          <w:bCs/>
          <w:iCs/>
          <w:sz w:val="20"/>
          <w:szCs w:val="20"/>
          <w:lang w:val="en-GB"/>
        </w:rPr>
        <w:t xml:space="preserve"> growth, and favourable birth outcomes, a role that becomes even more vital during adolescence, a phase of development characterized by rapid physical growth and increased physiological demands, and ongoing cognitive maturation.</w:t>
      </w:r>
      <w:r w:rsidRPr="00316BC0">
        <w:rPr>
          <w:rFonts w:ascii="Garamond" w:hAnsi="Garamond"/>
          <w:bCs/>
          <w:iCs/>
          <w:sz w:val="20"/>
          <w:szCs w:val="20"/>
          <w:vertAlign w:val="superscript"/>
          <w:lang w:val="en-GB"/>
        </w:rPr>
        <w:t xml:space="preserve">1–2 </w:t>
      </w:r>
      <w:r w:rsidRPr="00316BC0">
        <w:rPr>
          <w:rFonts w:ascii="Garamond" w:hAnsi="Garamond"/>
          <w:bCs/>
          <w:iCs/>
          <w:sz w:val="20"/>
          <w:szCs w:val="20"/>
          <w:lang w:val="en-GB"/>
        </w:rPr>
        <w:t>Many societies view pregnancy as a joyful stage of life, as it heralds the birth of a new human being.</w:t>
      </w:r>
      <w:r w:rsidRPr="00316BC0">
        <w:rPr>
          <w:rFonts w:ascii="Garamond" w:hAnsi="Garamond"/>
          <w:bCs/>
          <w:iCs/>
          <w:sz w:val="20"/>
          <w:szCs w:val="20"/>
          <w:vertAlign w:val="superscript"/>
          <w:lang w:val="en-GB"/>
        </w:rPr>
        <w:t>3</w:t>
      </w:r>
      <w:r w:rsidRPr="00316BC0">
        <w:rPr>
          <w:rFonts w:ascii="Garamond" w:hAnsi="Garamond"/>
          <w:bCs/>
          <w:iCs/>
          <w:sz w:val="20"/>
          <w:szCs w:val="20"/>
          <w:lang w:val="en-GB"/>
        </w:rPr>
        <w:t xml:space="preserve"> However, adolescent pregnancy is also widely recognised as a public health and social concern, as these girls face numerous health, social, and psychological challenges, including an increased risk of various health complications such as hypertension, preterm birth, low birth weight, </w:t>
      </w:r>
      <w:proofErr w:type="spellStart"/>
      <w:r w:rsidRPr="00316BC0">
        <w:rPr>
          <w:rFonts w:ascii="Garamond" w:hAnsi="Garamond"/>
          <w:bCs/>
          <w:iCs/>
          <w:sz w:val="20"/>
          <w:szCs w:val="20"/>
          <w:lang w:val="en-GB"/>
        </w:rPr>
        <w:t>fetal</w:t>
      </w:r>
      <w:proofErr w:type="spellEnd"/>
      <w:r w:rsidRPr="00316BC0">
        <w:rPr>
          <w:rFonts w:ascii="Garamond" w:hAnsi="Garamond"/>
          <w:bCs/>
          <w:iCs/>
          <w:sz w:val="20"/>
          <w:szCs w:val="20"/>
          <w:lang w:val="en-GB"/>
        </w:rPr>
        <w:t xml:space="preserve"> growth restriction, and preeclampsia.</w:t>
      </w:r>
      <w:r w:rsidRPr="00316BC0">
        <w:rPr>
          <w:rFonts w:ascii="Garamond" w:hAnsi="Garamond"/>
          <w:bCs/>
          <w:iCs/>
          <w:sz w:val="20"/>
          <w:szCs w:val="20"/>
          <w:vertAlign w:val="superscript"/>
          <w:lang w:val="en-GB"/>
        </w:rPr>
        <w:t>4</w:t>
      </w:r>
      <w:r w:rsidRPr="00316BC0">
        <w:rPr>
          <w:rFonts w:ascii="Garamond" w:hAnsi="Garamond"/>
          <w:bCs/>
          <w:iCs/>
          <w:sz w:val="20"/>
          <w:szCs w:val="20"/>
          <w:lang w:val="en-GB"/>
        </w:rPr>
        <w:t xml:space="preserve"> Adequate nutrition during this stage is therefore essential for both maternal and </w:t>
      </w:r>
      <w:proofErr w:type="spellStart"/>
      <w:r w:rsidRPr="00316BC0">
        <w:rPr>
          <w:rFonts w:ascii="Garamond" w:hAnsi="Garamond"/>
          <w:bCs/>
          <w:iCs/>
          <w:sz w:val="20"/>
          <w:szCs w:val="20"/>
          <w:lang w:val="en-GB"/>
        </w:rPr>
        <w:t>fetal</w:t>
      </w:r>
      <w:proofErr w:type="spellEnd"/>
      <w:r w:rsidRPr="00316BC0">
        <w:rPr>
          <w:rFonts w:ascii="Garamond" w:hAnsi="Garamond"/>
          <w:bCs/>
          <w:iCs/>
          <w:sz w:val="20"/>
          <w:szCs w:val="20"/>
          <w:lang w:val="en-GB"/>
        </w:rPr>
        <w:t xml:space="preserve"> health and plays a critical role in determining birth outcomes.</w:t>
      </w:r>
      <w:r w:rsidRPr="00316BC0">
        <w:rPr>
          <w:rFonts w:ascii="Garamond" w:hAnsi="Garamond"/>
          <w:bCs/>
          <w:iCs/>
          <w:sz w:val="20"/>
          <w:szCs w:val="20"/>
          <w:vertAlign w:val="superscript"/>
          <w:lang w:val="en-GB"/>
        </w:rPr>
        <w:t>5</w:t>
      </w:r>
    </w:p>
    <w:p w14:paraId="3BD8481E" w14:textId="76508B40" w:rsidR="003F335E" w:rsidRPr="00C16735" w:rsidRDefault="00316BC0" w:rsidP="00316BC0">
      <w:pPr>
        <w:spacing w:line="259" w:lineRule="auto"/>
        <w:jc w:val="both"/>
        <w:rPr>
          <w:rFonts w:ascii="Garamond" w:hAnsi="Garamond"/>
          <w:bCs/>
          <w:iCs/>
          <w:sz w:val="20"/>
          <w:szCs w:val="20"/>
          <w:lang w:val="en-GB"/>
        </w:rPr>
      </w:pPr>
      <w:r w:rsidRPr="00316BC0">
        <w:rPr>
          <w:rFonts w:ascii="Garamond" w:hAnsi="Garamond"/>
          <w:bCs/>
          <w:iCs/>
          <w:sz w:val="20"/>
          <w:szCs w:val="20"/>
          <w:lang w:val="en-GB"/>
        </w:rPr>
        <w:t>Globally, reports have estimated that approximately 16 million girls between ages 15–19 give birth annually, with Sub-Saharan Africa and Latin America accounting for the largest proportions.</w:t>
      </w:r>
      <w:r w:rsidRPr="00316BC0">
        <w:rPr>
          <w:rFonts w:ascii="Garamond" w:hAnsi="Garamond"/>
          <w:bCs/>
          <w:iCs/>
          <w:sz w:val="20"/>
          <w:szCs w:val="20"/>
          <w:vertAlign w:val="superscript"/>
          <w:lang w:val="en-GB"/>
        </w:rPr>
        <w:t>6</w:t>
      </w:r>
      <w:r w:rsidRPr="00316BC0">
        <w:rPr>
          <w:rFonts w:ascii="Garamond" w:hAnsi="Garamond"/>
          <w:bCs/>
          <w:iCs/>
          <w:sz w:val="20"/>
          <w:szCs w:val="20"/>
          <w:lang w:val="en-GB"/>
        </w:rPr>
        <w:t xml:space="preserve"> Nigeria has one of the largest adolescent populations in Africa with pregnancy rate among this group estimated at 106 per 1,000 girls aged 15-19 years.</w:t>
      </w:r>
      <w:r w:rsidRPr="00316BC0">
        <w:rPr>
          <w:rFonts w:ascii="Garamond" w:hAnsi="Garamond"/>
          <w:bCs/>
          <w:iCs/>
          <w:sz w:val="20"/>
          <w:szCs w:val="20"/>
          <w:vertAlign w:val="superscript"/>
          <w:lang w:val="en-GB"/>
        </w:rPr>
        <w:t>7</w:t>
      </w:r>
      <w:r w:rsidRPr="00316BC0">
        <w:rPr>
          <w:rFonts w:ascii="Garamond" w:hAnsi="Garamond"/>
          <w:bCs/>
          <w:iCs/>
          <w:sz w:val="20"/>
          <w:szCs w:val="20"/>
          <w:lang w:val="en-GB"/>
        </w:rPr>
        <w:t xml:space="preserve"> This public health challenge is particularly prominent in northern Nigeria, including Bauchi State, where early marriage among teenage girls is prevalent. According to reports, 75.1% of women aged 20–24 </w:t>
      </w:r>
      <w:proofErr w:type="gramStart"/>
      <w:r w:rsidRPr="00316BC0">
        <w:rPr>
          <w:rFonts w:ascii="Garamond" w:hAnsi="Garamond"/>
          <w:bCs/>
          <w:iCs/>
          <w:sz w:val="20"/>
          <w:szCs w:val="20"/>
          <w:lang w:val="en-GB"/>
        </w:rPr>
        <w:t>were</w:t>
      </w:r>
      <w:proofErr w:type="gramEnd"/>
      <w:r w:rsidRPr="00316BC0">
        <w:rPr>
          <w:rFonts w:ascii="Garamond" w:hAnsi="Garamond"/>
          <w:bCs/>
          <w:iCs/>
          <w:sz w:val="20"/>
          <w:szCs w:val="20"/>
          <w:lang w:val="en-GB"/>
        </w:rPr>
        <w:t xml:space="preserve"> married before the age of 18 and 25.3% of girls aged 15–19 have experienced pregnancy.</w:t>
      </w:r>
      <w:r w:rsidRPr="00316BC0">
        <w:rPr>
          <w:rFonts w:ascii="Garamond" w:hAnsi="Garamond"/>
          <w:bCs/>
          <w:iCs/>
          <w:sz w:val="20"/>
          <w:szCs w:val="20"/>
          <w:vertAlign w:val="superscript"/>
          <w:lang w:val="en-GB"/>
        </w:rPr>
        <w:t>8-9</w:t>
      </w:r>
      <w:r w:rsidRPr="00316BC0">
        <w:rPr>
          <w:rFonts w:ascii="Garamond" w:hAnsi="Garamond"/>
          <w:bCs/>
          <w:iCs/>
          <w:sz w:val="20"/>
          <w:szCs w:val="20"/>
          <w:lang w:val="en-GB"/>
        </w:rPr>
        <w:t xml:space="preserve"> Furthermore, this region is characterised by structural and sociocultural factors that increase the risk of undernutrition among adolescent girls. Despite its largely agrarian economy, 73.9% of the population is categorised as multidimensionally poor.</w:t>
      </w:r>
      <w:r w:rsidRPr="00316BC0">
        <w:rPr>
          <w:rFonts w:ascii="Garamond" w:hAnsi="Garamond"/>
          <w:bCs/>
          <w:iCs/>
          <w:sz w:val="20"/>
          <w:szCs w:val="20"/>
          <w:vertAlign w:val="superscript"/>
          <w:lang w:val="en-GB"/>
        </w:rPr>
        <w:t>10</w:t>
      </w:r>
      <w:r w:rsidRPr="00316BC0">
        <w:rPr>
          <w:rFonts w:ascii="Garamond" w:hAnsi="Garamond"/>
          <w:bCs/>
          <w:iCs/>
          <w:sz w:val="20"/>
          <w:szCs w:val="20"/>
          <w:lang w:val="en-GB"/>
        </w:rPr>
        <w:t xml:space="preserve"> Additionally, low female literacy and limited decision-making power among women and girls restrict their ability to make informed dietary and health choices.</w:t>
      </w:r>
      <w:r w:rsidRPr="00316BC0">
        <w:rPr>
          <w:rFonts w:ascii="Garamond" w:hAnsi="Garamond"/>
          <w:bCs/>
          <w:iCs/>
          <w:sz w:val="20"/>
          <w:szCs w:val="20"/>
          <w:vertAlign w:val="superscript"/>
          <w:lang w:val="en-GB"/>
        </w:rPr>
        <w:t>11</w:t>
      </w:r>
      <w:r w:rsidRPr="00316BC0">
        <w:rPr>
          <w:rFonts w:ascii="Garamond" w:hAnsi="Garamond"/>
          <w:bCs/>
          <w:iCs/>
          <w:sz w:val="20"/>
          <w:szCs w:val="20"/>
          <w:lang w:val="en-GB"/>
        </w:rPr>
        <w:t xml:space="preserve"> These factors, combined with early marriage and pregnancy, contribute to high malnutrition rates, with Bauchi State reported to have one of the highest acute malnutrition rates among women and adolescent girls in Nigeria.</w:t>
      </w:r>
      <w:r w:rsidRPr="00316BC0">
        <w:rPr>
          <w:rFonts w:ascii="Garamond" w:hAnsi="Garamond"/>
          <w:bCs/>
          <w:iCs/>
          <w:sz w:val="20"/>
          <w:szCs w:val="20"/>
          <w:vertAlign w:val="superscript"/>
          <w:lang w:val="en-GB"/>
        </w:rPr>
        <w:t>12</w:t>
      </w:r>
    </w:p>
    <w:p w14:paraId="07DCDE6F" w14:textId="387186E3" w:rsidR="003F335E" w:rsidRPr="00C16735" w:rsidRDefault="00316BC0" w:rsidP="00316BC0">
      <w:pPr>
        <w:spacing w:line="259" w:lineRule="auto"/>
        <w:jc w:val="both"/>
        <w:rPr>
          <w:rFonts w:ascii="Garamond" w:hAnsi="Garamond"/>
          <w:bCs/>
          <w:iCs/>
          <w:sz w:val="20"/>
          <w:szCs w:val="20"/>
          <w:lang w:val="en-GB"/>
        </w:rPr>
      </w:pPr>
      <w:r w:rsidRPr="00316BC0">
        <w:rPr>
          <w:rFonts w:ascii="Garamond" w:hAnsi="Garamond"/>
          <w:bCs/>
          <w:iCs/>
          <w:sz w:val="20"/>
          <w:szCs w:val="20"/>
          <w:lang w:val="en-GB"/>
        </w:rPr>
        <w:t>Dietary diversity refers to the range of food groups consumed within a specific reference period.</w:t>
      </w:r>
      <w:r w:rsidRPr="00316BC0">
        <w:rPr>
          <w:rFonts w:ascii="Garamond" w:hAnsi="Garamond"/>
          <w:bCs/>
          <w:iCs/>
          <w:sz w:val="20"/>
          <w:szCs w:val="20"/>
          <w:vertAlign w:val="superscript"/>
          <w:lang w:val="en-GB"/>
        </w:rPr>
        <w:t xml:space="preserve">13 </w:t>
      </w:r>
      <w:r w:rsidRPr="00316BC0">
        <w:rPr>
          <w:rFonts w:ascii="Garamond" w:hAnsi="Garamond"/>
          <w:bCs/>
          <w:iCs/>
          <w:sz w:val="20"/>
          <w:szCs w:val="20"/>
          <w:lang w:val="en-GB"/>
        </w:rPr>
        <w:t>The Minimum Dietary Diversity for Women (MDD-W) is an indicator that measures whether women and adolescent girls aged 15-49 years consume a minimum five out of ten class of food and serves as a practical proxy for micronutrient sufficiency as well as diet quality.</w:t>
      </w:r>
      <w:r w:rsidRPr="00316BC0">
        <w:rPr>
          <w:rFonts w:ascii="Garamond" w:hAnsi="Garamond"/>
          <w:bCs/>
          <w:iCs/>
          <w:sz w:val="20"/>
          <w:szCs w:val="20"/>
          <w:vertAlign w:val="superscript"/>
          <w:lang w:val="en-GB"/>
        </w:rPr>
        <w:t>13</w:t>
      </w:r>
      <w:r w:rsidRPr="00316BC0">
        <w:rPr>
          <w:rFonts w:ascii="Garamond" w:hAnsi="Garamond"/>
          <w:bCs/>
          <w:iCs/>
          <w:sz w:val="20"/>
          <w:szCs w:val="20"/>
          <w:lang w:val="en-GB"/>
        </w:rPr>
        <w:t xml:space="preserve"> Despite its importance, only a small fraction of </w:t>
      </w:r>
      <w:r w:rsidRPr="00316BC0">
        <w:rPr>
          <w:rFonts w:ascii="Garamond" w:hAnsi="Garamond"/>
          <w:bCs/>
          <w:iCs/>
          <w:sz w:val="20"/>
          <w:szCs w:val="20"/>
          <w:lang w:val="en-GB"/>
        </w:rPr>
        <w:t>adolescent girls in food-insecure settings like Nigeria, meet the suggested MDD-W threshold of greater than five food groups, thereby heightening the vulnerability of teenage girls to malnutrition, with potential negative consequences for maternal and foetal health</w:t>
      </w:r>
      <w:r w:rsidRPr="00316BC0">
        <w:rPr>
          <w:rFonts w:ascii="Garamond" w:hAnsi="Garamond"/>
          <w:bCs/>
          <w:iCs/>
          <w:sz w:val="20"/>
          <w:szCs w:val="20"/>
          <w:vertAlign w:val="superscript"/>
          <w:lang w:val="en-GB"/>
        </w:rPr>
        <w:t>14</w:t>
      </w:r>
      <w:r w:rsidRPr="00316BC0">
        <w:rPr>
          <w:rFonts w:ascii="Garamond" w:hAnsi="Garamond"/>
          <w:bCs/>
          <w:iCs/>
          <w:sz w:val="20"/>
          <w:szCs w:val="20"/>
          <w:lang w:val="en-GB"/>
        </w:rPr>
        <w:t xml:space="preserve"> While several studies have examined maternal nutrition among adult women, limited studies have specifically focused on pregnant adolescents,</w:t>
      </w:r>
      <w:r w:rsidRPr="00316BC0">
        <w:rPr>
          <w:rFonts w:ascii="Garamond" w:hAnsi="Garamond"/>
          <w:bCs/>
          <w:iCs/>
          <w:sz w:val="20"/>
          <w:szCs w:val="20"/>
          <w:vertAlign w:val="superscript"/>
          <w:lang w:val="en-GB"/>
        </w:rPr>
        <w:t>7,15-18</w:t>
      </w:r>
      <w:r w:rsidRPr="00316BC0">
        <w:rPr>
          <w:rFonts w:ascii="Garamond" w:hAnsi="Garamond"/>
          <w:bCs/>
          <w:iCs/>
          <w:sz w:val="20"/>
          <w:szCs w:val="20"/>
          <w:lang w:val="en-GB"/>
        </w:rPr>
        <w:t xml:space="preserve"> particularly in resource constrained areas such as Bauchi State, where early marriage, high poverty rate, and malnutrition increase vulnerability of girls. </w:t>
      </w:r>
    </w:p>
    <w:p w14:paraId="4D01DFEB" w14:textId="5F0081A5" w:rsidR="00316BC0" w:rsidRDefault="00316BC0" w:rsidP="007A1526">
      <w:pPr>
        <w:spacing w:line="259" w:lineRule="auto"/>
        <w:jc w:val="both"/>
        <w:rPr>
          <w:rFonts w:ascii="Garamond" w:hAnsi="Garamond"/>
          <w:bCs/>
          <w:iCs/>
          <w:sz w:val="20"/>
          <w:szCs w:val="20"/>
          <w:lang w:val="en-GB"/>
        </w:rPr>
      </w:pPr>
      <w:r w:rsidRPr="00316BC0">
        <w:rPr>
          <w:rFonts w:ascii="Garamond" w:hAnsi="Garamond"/>
          <w:bCs/>
          <w:iCs/>
          <w:sz w:val="20"/>
          <w:szCs w:val="20"/>
          <w:lang w:val="en-GB"/>
        </w:rPr>
        <w:t>This research is grounded on the Social Determinants of Health framework which recognises that our individual health outcomes are shaped by multifaceted interaction of economic, societal and individual elements. Various socio-demographic characteristics such as place of residence and family structure may influence access to diverse foods, health services and decision-making power. These factors in-turn has an effect on individual level characteristics such as nutrition knowledge. However, nutrition knowledge alone may not necessarily translate into improved dietary practices due to structural and economic constraints. These interconnected factors eventually impact dietary diversity and determine the nutritional position of pregnant adolescents.  Therefore, this study aimed to assess the nutrition knowledge, dietary diversity, and nutritional status of pregnant adolescents in Bauchi State. Notably, this study introduces a novel approach of combined biochemical and anthropometric assessments, providing a more comprehensive evaluation of pregnant adolescents.</w:t>
      </w:r>
    </w:p>
    <w:p w14:paraId="447E7536" w14:textId="77777777" w:rsidR="00300ECA" w:rsidRDefault="00300ECA" w:rsidP="007A1526">
      <w:pPr>
        <w:spacing w:line="259" w:lineRule="auto"/>
        <w:jc w:val="both"/>
        <w:rPr>
          <w:rFonts w:ascii="Garamond" w:hAnsi="Garamond"/>
          <w:bCs/>
          <w:iCs/>
          <w:sz w:val="20"/>
          <w:szCs w:val="20"/>
          <w:lang w:val="en-GB"/>
        </w:rPr>
      </w:pPr>
    </w:p>
    <w:p w14:paraId="7D1399B2" w14:textId="77777777" w:rsidR="00300ECA" w:rsidRDefault="00300ECA" w:rsidP="007A1526">
      <w:pPr>
        <w:spacing w:line="259" w:lineRule="auto"/>
        <w:jc w:val="both"/>
        <w:rPr>
          <w:rFonts w:ascii="Garamond" w:hAnsi="Garamond"/>
          <w:bCs/>
          <w:iCs/>
          <w:sz w:val="20"/>
          <w:szCs w:val="20"/>
          <w:lang w:val="en-GB"/>
        </w:rPr>
      </w:pPr>
    </w:p>
    <w:p w14:paraId="311E4050" w14:textId="77777777" w:rsidR="00300ECA" w:rsidRDefault="00300ECA" w:rsidP="007A1526">
      <w:pPr>
        <w:spacing w:line="259" w:lineRule="auto"/>
        <w:jc w:val="both"/>
        <w:rPr>
          <w:rFonts w:ascii="Garamond" w:hAnsi="Garamond"/>
          <w:bCs/>
          <w:iCs/>
          <w:sz w:val="20"/>
          <w:szCs w:val="20"/>
          <w:lang w:val="en-GB"/>
        </w:rPr>
      </w:pPr>
    </w:p>
    <w:p w14:paraId="445EE29D" w14:textId="77777777" w:rsidR="00300ECA" w:rsidRDefault="00300ECA" w:rsidP="007A1526">
      <w:pPr>
        <w:spacing w:line="259" w:lineRule="auto"/>
        <w:jc w:val="both"/>
        <w:rPr>
          <w:rFonts w:ascii="Garamond" w:hAnsi="Garamond"/>
          <w:bCs/>
          <w:iCs/>
          <w:sz w:val="20"/>
          <w:szCs w:val="20"/>
          <w:lang w:val="en-GB"/>
        </w:rPr>
      </w:pPr>
    </w:p>
    <w:p w14:paraId="372CB2FA" w14:textId="77777777" w:rsidR="00300ECA" w:rsidRDefault="00300ECA" w:rsidP="007A1526">
      <w:pPr>
        <w:spacing w:line="259" w:lineRule="auto"/>
        <w:jc w:val="both"/>
        <w:rPr>
          <w:rFonts w:ascii="Garamond" w:hAnsi="Garamond"/>
          <w:bCs/>
          <w:iCs/>
          <w:sz w:val="20"/>
          <w:szCs w:val="20"/>
          <w:lang w:val="en-GB"/>
        </w:rPr>
      </w:pPr>
    </w:p>
    <w:p w14:paraId="155BA539" w14:textId="77777777" w:rsidR="00300ECA" w:rsidRDefault="00300ECA" w:rsidP="007A1526">
      <w:pPr>
        <w:spacing w:line="259" w:lineRule="auto"/>
        <w:jc w:val="both"/>
        <w:rPr>
          <w:rFonts w:ascii="Garamond" w:hAnsi="Garamond"/>
          <w:bCs/>
          <w:iCs/>
          <w:sz w:val="20"/>
          <w:szCs w:val="20"/>
          <w:lang w:val="en-GB"/>
        </w:rPr>
      </w:pPr>
    </w:p>
    <w:p w14:paraId="22B664E3" w14:textId="77777777" w:rsidR="00300ECA" w:rsidRDefault="00300ECA" w:rsidP="007A1526">
      <w:pPr>
        <w:spacing w:line="259" w:lineRule="auto"/>
        <w:jc w:val="both"/>
        <w:rPr>
          <w:rFonts w:ascii="Garamond" w:hAnsi="Garamond"/>
          <w:bCs/>
          <w:iCs/>
          <w:sz w:val="20"/>
          <w:szCs w:val="20"/>
          <w:lang w:val="en-GB"/>
        </w:rPr>
      </w:pPr>
    </w:p>
    <w:p w14:paraId="6F28308C" w14:textId="77777777" w:rsidR="00300ECA" w:rsidRDefault="00300ECA" w:rsidP="007A1526">
      <w:pPr>
        <w:spacing w:line="259" w:lineRule="auto"/>
        <w:jc w:val="both"/>
        <w:rPr>
          <w:rFonts w:ascii="Garamond" w:hAnsi="Garamond"/>
          <w:bCs/>
          <w:iCs/>
          <w:sz w:val="20"/>
          <w:szCs w:val="20"/>
          <w:lang w:val="en-GB"/>
        </w:rPr>
      </w:pPr>
    </w:p>
    <w:p w14:paraId="43341BBC" w14:textId="77777777" w:rsidR="00300ECA" w:rsidRDefault="00300ECA" w:rsidP="007A1526">
      <w:pPr>
        <w:spacing w:line="259" w:lineRule="auto"/>
        <w:jc w:val="both"/>
        <w:rPr>
          <w:rFonts w:ascii="Garamond" w:hAnsi="Garamond"/>
          <w:bCs/>
          <w:iCs/>
          <w:sz w:val="20"/>
          <w:szCs w:val="20"/>
          <w:lang w:val="en-GB"/>
        </w:rPr>
      </w:pPr>
    </w:p>
    <w:p w14:paraId="6DA79490" w14:textId="77777777" w:rsidR="00300ECA" w:rsidRDefault="00300ECA" w:rsidP="007A1526">
      <w:pPr>
        <w:spacing w:line="259" w:lineRule="auto"/>
        <w:jc w:val="both"/>
        <w:rPr>
          <w:rFonts w:ascii="Garamond" w:hAnsi="Garamond"/>
          <w:bCs/>
          <w:iCs/>
          <w:sz w:val="20"/>
          <w:szCs w:val="20"/>
          <w:lang w:val="en-GB"/>
        </w:rPr>
      </w:pPr>
    </w:p>
    <w:p w14:paraId="50F08635" w14:textId="77777777" w:rsidR="00300ECA" w:rsidRDefault="00300ECA" w:rsidP="007A1526">
      <w:pPr>
        <w:spacing w:line="259" w:lineRule="auto"/>
        <w:jc w:val="both"/>
        <w:rPr>
          <w:rFonts w:ascii="Garamond" w:hAnsi="Garamond"/>
          <w:bCs/>
          <w:iCs/>
          <w:sz w:val="20"/>
          <w:szCs w:val="20"/>
          <w:lang w:val="en-GB"/>
        </w:rPr>
      </w:pPr>
    </w:p>
    <w:p w14:paraId="20484DBF" w14:textId="77777777" w:rsidR="00300ECA" w:rsidRDefault="00300ECA" w:rsidP="007A1526">
      <w:pPr>
        <w:spacing w:line="259" w:lineRule="auto"/>
        <w:jc w:val="both"/>
        <w:rPr>
          <w:rFonts w:ascii="Garamond" w:hAnsi="Garamond"/>
          <w:bCs/>
          <w:iCs/>
          <w:sz w:val="20"/>
          <w:szCs w:val="20"/>
          <w:lang w:val="en-GB"/>
        </w:rPr>
      </w:pPr>
    </w:p>
    <w:p w14:paraId="4D389290" w14:textId="77777777" w:rsidR="00300ECA" w:rsidRDefault="00300ECA" w:rsidP="007A1526">
      <w:pPr>
        <w:spacing w:line="259" w:lineRule="auto"/>
        <w:jc w:val="both"/>
        <w:rPr>
          <w:rFonts w:ascii="Garamond" w:hAnsi="Garamond"/>
          <w:bCs/>
          <w:iCs/>
          <w:sz w:val="20"/>
          <w:szCs w:val="20"/>
          <w:lang w:val="en-GB"/>
        </w:rPr>
      </w:pPr>
    </w:p>
    <w:p w14:paraId="6517AD9B" w14:textId="77777777" w:rsidR="00300ECA" w:rsidRDefault="00300ECA" w:rsidP="007A1526">
      <w:pPr>
        <w:spacing w:line="259" w:lineRule="auto"/>
        <w:jc w:val="both"/>
        <w:rPr>
          <w:rFonts w:ascii="Garamond" w:hAnsi="Garamond"/>
          <w:bCs/>
          <w:iCs/>
          <w:sz w:val="20"/>
          <w:szCs w:val="20"/>
          <w:lang w:val="en-GB"/>
        </w:rPr>
      </w:pPr>
    </w:p>
    <w:p w14:paraId="43D989E9" w14:textId="77777777" w:rsidR="00300ECA" w:rsidRDefault="00300ECA" w:rsidP="007A1526">
      <w:pPr>
        <w:spacing w:line="259" w:lineRule="auto"/>
        <w:jc w:val="both"/>
        <w:rPr>
          <w:rFonts w:ascii="Garamond" w:hAnsi="Garamond"/>
          <w:bCs/>
          <w:iCs/>
          <w:sz w:val="20"/>
          <w:szCs w:val="20"/>
          <w:lang w:val="en-GB"/>
        </w:rPr>
      </w:pPr>
    </w:p>
    <w:p w14:paraId="296F0CA0" w14:textId="77777777" w:rsidR="00300ECA" w:rsidRDefault="00300ECA" w:rsidP="007A1526">
      <w:pPr>
        <w:spacing w:line="259" w:lineRule="auto"/>
        <w:jc w:val="both"/>
        <w:rPr>
          <w:rFonts w:ascii="Garamond" w:hAnsi="Garamond"/>
          <w:bCs/>
          <w:iCs/>
          <w:sz w:val="20"/>
          <w:szCs w:val="20"/>
          <w:lang w:val="en-GB"/>
        </w:rPr>
      </w:pPr>
    </w:p>
    <w:p w14:paraId="36EA7875" w14:textId="77777777" w:rsidR="00300ECA" w:rsidRPr="00300ECA" w:rsidRDefault="00300ECA" w:rsidP="007A1526">
      <w:pPr>
        <w:spacing w:line="259" w:lineRule="auto"/>
        <w:jc w:val="both"/>
        <w:rPr>
          <w:rFonts w:ascii="Garamond" w:hAnsi="Garamond"/>
          <w:bCs/>
          <w:iCs/>
          <w:sz w:val="20"/>
          <w:szCs w:val="20"/>
          <w:lang w:val="en-GB"/>
        </w:rPr>
      </w:pPr>
    </w:p>
    <w:p w14:paraId="57B906F3" w14:textId="3FF4C3C2" w:rsidR="00316BC0" w:rsidRPr="00C16735" w:rsidRDefault="00E1345C" w:rsidP="007A1526">
      <w:pPr>
        <w:spacing w:line="259" w:lineRule="auto"/>
        <w:jc w:val="both"/>
        <w:rPr>
          <w:rFonts w:ascii="Garamond" w:hAnsi="Garamond"/>
          <w:bCs/>
          <w:iCs/>
          <w:sz w:val="20"/>
          <w:szCs w:val="20"/>
        </w:rPr>
      </w:pPr>
      <w:r w:rsidRPr="00C16735">
        <w:rPr>
          <w:rFonts w:ascii="Garamond" w:eastAsia="Calibri" w:hAnsi="Garamond" w:cs="Times New Roman"/>
          <w:b/>
          <w:bCs/>
          <w:noProof/>
          <w:lang w:val="en-GB"/>
        </w:rPr>
        <w:lastRenderedPageBreak/>
        <mc:AlternateContent>
          <mc:Choice Requires="wpg">
            <w:drawing>
              <wp:anchor distT="0" distB="0" distL="114300" distR="114300" simplePos="0" relativeHeight="251665408" behindDoc="0" locked="0" layoutInCell="1" allowOverlap="1" wp14:anchorId="42EDF2F7" wp14:editId="702FEC38">
                <wp:simplePos x="0" y="0"/>
                <wp:positionH relativeFrom="column">
                  <wp:posOffset>-57150</wp:posOffset>
                </wp:positionH>
                <wp:positionV relativeFrom="paragraph">
                  <wp:posOffset>92379</wp:posOffset>
                </wp:positionV>
                <wp:extent cx="2830195" cy="4038600"/>
                <wp:effectExtent l="0" t="0" r="27305" b="19050"/>
                <wp:wrapNone/>
                <wp:docPr id="1183771438" name="Group 23"/>
                <wp:cNvGraphicFramePr/>
                <a:graphic xmlns:a="http://schemas.openxmlformats.org/drawingml/2006/main">
                  <a:graphicData uri="http://schemas.microsoft.com/office/word/2010/wordprocessingGroup">
                    <wpg:wgp>
                      <wpg:cNvGrpSpPr/>
                      <wpg:grpSpPr>
                        <a:xfrm>
                          <a:off x="0" y="0"/>
                          <a:ext cx="2830195" cy="4038600"/>
                          <a:chOff x="0" y="0"/>
                          <a:chExt cx="5260828" cy="5424280"/>
                        </a:xfrm>
                      </wpg:grpSpPr>
                      <wps:wsp>
                        <wps:cNvPr id="523707925" name="Rectangle 9"/>
                        <wps:cNvSpPr>
                          <a:spLocks/>
                        </wps:cNvSpPr>
                        <wps:spPr>
                          <a:xfrm>
                            <a:off x="669957" y="0"/>
                            <a:ext cx="4360984" cy="759655"/>
                          </a:xfrm>
                          <a:prstGeom prst="rect">
                            <a:avLst/>
                          </a:prstGeom>
                          <a:solidFill>
                            <a:srgbClr val="FFFFFF"/>
                          </a:solidFill>
                          <a:ln w="12700" cap="flat" cmpd="sng">
                            <a:solidFill>
                              <a:srgbClr val="70AD47"/>
                            </a:solidFill>
                            <a:prstDash val="solid"/>
                            <a:miter/>
                            <a:headEnd/>
                            <a:tailEnd/>
                          </a:ln>
                        </wps:spPr>
                        <wps:txbx>
                          <w:txbxContent>
                            <w:p w14:paraId="52386FD4"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Socio-demographic Factors</w:t>
                              </w:r>
                            </w:p>
                            <w:p w14:paraId="5A26E7D0"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(Place of residence, Family type, Socio-economic status)</w:t>
                              </w:r>
                            </w:p>
                          </w:txbxContent>
                        </wps:txbx>
                        <wps:bodyPr vert="horz" wrap="square" lIns="91440" tIns="45720" rIns="91440" bIns="45720" anchor="ctr">
                          <a:prstTxWarp prst="textNoShape">
                            <a:avLst/>
                          </a:prstTxWarp>
                          <a:noAutofit/>
                        </wps:bodyPr>
                      </wps:wsp>
                      <wps:wsp>
                        <wps:cNvPr id="213284945" name="Down Arrow 17"/>
                        <wps:cNvSpPr>
                          <a:spLocks/>
                        </wps:cNvSpPr>
                        <wps:spPr>
                          <a:xfrm>
                            <a:off x="2508753" y="778598"/>
                            <a:ext cx="245745" cy="393699"/>
                          </a:xfrm>
                          <a:prstGeom prst="downArrow">
                            <a:avLst>
                              <a:gd name="adj1" fmla="val 38551"/>
                              <a:gd name="adj2" fmla="val 50000"/>
                            </a:avLst>
                          </a:prstGeom>
                          <a:solidFill>
                            <a:srgbClr val="5B9BD5"/>
                          </a:solidFill>
                          <a:ln w="12700" cap="flat" cmpd="sng">
                            <a:solidFill>
                              <a:srgbClr val="42719B"/>
                            </a:solidFill>
                            <a:prstDash val="solid"/>
                            <a:miter/>
                            <a:headEnd/>
                            <a:tailEnd/>
                          </a:ln>
                        </wps:spPr>
                        <wps:bodyPr>
                          <a:prstTxWarp prst="textNoShape">
                            <a:avLst/>
                          </a:prstTxWarp>
                        </wps:bodyPr>
                      </wps:wsp>
                      <wps:wsp>
                        <wps:cNvPr id="919097162" name="Rectangle 18"/>
                        <wps:cNvSpPr>
                          <a:spLocks/>
                        </wps:cNvSpPr>
                        <wps:spPr>
                          <a:xfrm>
                            <a:off x="0" y="1176951"/>
                            <a:ext cx="5260828" cy="646870"/>
                          </a:xfrm>
                          <a:prstGeom prst="rect">
                            <a:avLst/>
                          </a:prstGeom>
                          <a:solidFill>
                            <a:srgbClr val="FFFFFF"/>
                          </a:solidFill>
                          <a:ln w="12700" cap="flat" cmpd="sng">
                            <a:solidFill>
                              <a:srgbClr val="70AD47"/>
                            </a:solidFill>
                            <a:prstDash val="solid"/>
                            <a:miter/>
                            <a:headEnd/>
                            <a:tailEnd/>
                          </a:ln>
                        </wps:spPr>
                        <wps:txbx>
                          <w:txbxContent>
                            <w:p w14:paraId="5F80B379"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Social and Environmental Factors</w:t>
                              </w:r>
                            </w:p>
                            <w:p w14:paraId="677211B4" w14:textId="77777777" w:rsidR="00E1345C" w:rsidRPr="00E1345C" w:rsidRDefault="00E1345C" w:rsidP="00E1345C">
                              <w:pPr>
                                <w:jc w:val="center"/>
                                <w:rPr>
                                  <w:rFonts w:ascii="Garamond" w:hAnsi="Garamond" w:cs="Times New Roman"/>
                                  <w:sz w:val="20"/>
                                  <w:szCs w:val="20"/>
                                </w:rPr>
                              </w:pPr>
                              <w:r w:rsidRPr="00E1345C">
                                <w:rPr>
                                  <w:rFonts w:ascii="Garamond" w:hAnsi="Garamond" w:cs="Times New Roman"/>
                                  <w:b/>
                                  <w:sz w:val="20"/>
                                  <w:szCs w:val="20"/>
                                </w:rPr>
                                <w:t>(Food access, Cultural Practices, Healthcare access, Decision-making</w:t>
                              </w:r>
                              <w:r w:rsidRPr="00E1345C">
                                <w:rPr>
                                  <w:rFonts w:ascii="Garamond" w:hAnsi="Garamond" w:cs="Times New Roman"/>
                                  <w:sz w:val="20"/>
                                  <w:szCs w:val="20"/>
                                </w:rPr>
                                <w:t xml:space="preserve"> </w:t>
                              </w:r>
                              <w:r w:rsidRPr="00E1345C">
                                <w:rPr>
                                  <w:rFonts w:ascii="Garamond" w:hAnsi="Garamond" w:cs="Times New Roman"/>
                                  <w:b/>
                                  <w:sz w:val="20"/>
                                  <w:szCs w:val="20"/>
                                </w:rPr>
                                <w:t>Power</w:t>
                              </w:r>
                            </w:p>
                          </w:txbxContent>
                        </wps:txbx>
                        <wps:bodyPr vert="horz" wrap="square" lIns="91440" tIns="45720" rIns="91440" bIns="45720" anchor="ctr">
                          <a:prstTxWarp prst="textNoShape">
                            <a:avLst/>
                          </a:prstTxWarp>
                          <a:noAutofit/>
                        </wps:bodyPr>
                      </wps:wsp>
                      <wps:wsp>
                        <wps:cNvPr id="1042891632" name="Rectangle 19"/>
                        <wps:cNvSpPr>
                          <a:spLocks/>
                        </wps:cNvSpPr>
                        <wps:spPr>
                          <a:xfrm>
                            <a:off x="1276539" y="2172832"/>
                            <a:ext cx="2883877" cy="731520"/>
                          </a:xfrm>
                          <a:prstGeom prst="rect">
                            <a:avLst/>
                          </a:prstGeom>
                          <a:solidFill>
                            <a:srgbClr val="FFFFFF"/>
                          </a:solidFill>
                          <a:ln w="12700" cap="flat" cmpd="sng">
                            <a:solidFill>
                              <a:srgbClr val="70AD47"/>
                            </a:solidFill>
                            <a:prstDash val="solid"/>
                            <a:miter/>
                            <a:headEnd/>
                            <a:tailEnd/>
                          </a:ln>
                        </wps:spPr>
                        <wps:txbx>
                          <w:txbxContent>
                            <w:p w14:paraId="0559AB4B"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 xml:space="preserve">Individual Factor </w:t>
                              </w:r>
                            </w:p>
                            <w:p w14:paraId="5C0D01EF"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(Nutritional Knowledge)</w:t>
                              </w:r>
                            </w:p>
                          </w:txbxContent>
                        </wps:txbx>
                        <wps:bodyPr vert="horz" wrap="square" lIns="91440" tIns="45720" rIns="91440" bIns="45720" anchor="ctr">
                          <a:prstTxWarp prst="textNoShape">
                            <a:avLst/>
                          </a:prstTxWarp>
                          <a:noAutofit/>
                        </wps:bodyPr>
                      </wps:wsp>
                      <wps:wsp>
                        <wps:cNvPr id="1102060036" name="Down Arrow 20"/>
                        <wps:cNvSpPr>
                          <a:spLocks/>
                        </wps:cNvSpPr>
                        <wps:spPr>
                          <a:xfrm>
                            <a:off x="2554021" y="1801640"/>
                            <a:ext cx="182879" cy="386715"/>
                          </a:xfrm>
                          <a:prstGeom prst="downArrow">
                            <a:avLst/>
                          </a:prstGeom>
                          <a:solidFill>
                            <a:srgbClr val="5B9BD5"/>
                          </a:solidFill>
                          <a:ln w="12700" cap="flat" cmpd="sng">
                            <a:solidFill>
                              <a:srgbClr val="42719B"/>
                            </a:solidFill>
                            <a:prstDash val="solid"/>
                            <a:miter/>
                            <a:headEnd/>
                            <a:tailEnd/>
                          </a:ln>
                        </wps:spPr>
                        <wps:bodyPr>
                          <a:prstTxWarp prst="textNoShape">
                            <a:avLst/>
                          </a:prstTxWarp>
                        </wps:bodyPr>
                      </wps:wsp>
                      <wps:wsp>
                        <wps:cNvPr id="787018909" name="Rectangle 21"/>
                        <wps:cNvSpPr>
                          <a:spLocks/>
                        </wps:cNvSpPr>
                        <wps:spPr>
                          <a:xfrm>
                            <a:off x="1276539" y="3331676"/>
                            <a:ext cx="2982351" cy="858129"/>
                          </a:xfrm>
                          <a:prstGeom prst="rect">
                            <a:avLst/>
                          </a:prstGeom>
                          <a:solidFill>
                            <a:srgbClr val="FFFFFF"/>
                          </a:solidFill>
                          <a:ln w="12700" cap="flat" cmpd="sng">
                            <a:solidFill>
                              <a:srgbClr val="70AD47"/>
                            </a:solidFill>
                            <a:prstDash val="solid"/>
                            <a:miter/>
                            <a:headEnd/>
                            <a:tailEnd/>
                          </a:ln>
                        </wps:spPr>
                        <wps:txbx>
                          <w:txbxContent>
                            <w:p w14:paraId="561C5E3F"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 xml:space="preserve">Dietary Practice </w:t>
                              </w:r>
                            </w:p>
                            <w:p w14:paraId="19586CFB"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(Dietary diversity MDD-W)</w:t>
                              </w:r>
                            </w:p>
                          </w:txbxContent>
                        </wps:txbx>
                        <wps:bodyPr vert="horz" wrap="square" lIns="91440" tIns="45720" rIns="91440" bIns="45720" anchor="ctr">
                          <a:prstTxWarp prst="textNoShape">
                            <a:avLst/>
                          </a:prstTxWarp>
                          <a:noAutofit/>
                        </wps:bodyPr>
                      </wps:wsp>
                      <wps:wsp>
                        <wps:cNvPr id="1740801774" name="Down Arrow 23"/>
                        <wps:cNvSpPr>
                          <a:spLocks/>
                        </wps:cNvSpPr>
                        <wps:spPr>
                          <a:xfrm>
                            <a:off x="2563074" y="2906163"/>
                            <a:ext cx="189913" cy="407963"/>
                          </a:xfrm>
                          <a:prstGeom prst="downArrow">
                            <a:avLst/>
                          </a:prstGeom>
                          <a:solidFill>
                            <a:srgbClr val="5B9BD5"/>
                          </a:solidFill>
                          <a:ln w="12700" cap="flat" cmpd="sng">
                            <a:solidFill>
                              <a:srgbClr val="42719B"/>
                            </a:solidFill>
                            <a:prstDash val="solid"/>
                            <a:miter/>
                            <a:headEnd/>
                            <a:tailEnd/>
                          </a:ln>
                        </wps:spPr>
                        <wps:bodyPr>
                          <a:prstTxWarp prst="textNoShape">
                            <a:avLst/>
                          </a:prstTxWarp>
                        </wps:bodyPr>
                      </wps:wsp>
                      <wps:wsp>
                        <wps:cNvPr id="972572275" name="Down Arrow 24"/>
                        <wps:cNvSpPr>
                          <a:spLocks/>
                        </wps:cNvSpPr>
                        <wps:spPr>
                          <a:xfrm>
                            <a:off x="2554021" y="4191755"/>
                            <a:ext cx="274320" cy="527539"/>
                          </a:xfrm>
                          <a:prstGeom prst="downArrow">
                            <a:avLst/>
                          </a:prstGeom>
                          <a:solidFill>
                            <a:srgbClr val="5B9BD5"/>
                          </a:solidFill>
                          <a:ln w="12700" cap="flat" cmpd="sng">
                            <a:solidFill>
                              <a:srgbClr val="42719B"/>
                            </a:solidFill>
                            <a:prstDash val="solid"/>
                            <a:miter/>
                            <a:headEnd/>
                            <a:tailEnd/>
                          </a:ln>
                        </wps:spPr>
                        <wps:bodyPr>
                          <a:prstTxWarp prst="textNoShape">
                            <a:avLst/>
                          </a:prstTxWarp>
                        </wps:bodyPr>
                      </wps:wsp>
                      <wps:wsp>
                        <wps:cNvPr id="576862894" name="Rectangle 25"/>
                        <wps:cNvSpPr>
                          <a:spLocks/>
                        </wps:cNvSpPr>
                        <wps:spPr>
                          <a:xfrm>
                            <a:off x="1267485" y="4734963"/>
                            <a:ext cx="3038622" cy="689317"/>
                          </a:xfrm>
                          <a:prstGeom prst="rect">
                            <a:avLst/>
                          </a:prstGeom>
                          <a:solidFill>
                            <a:srgbClr val="FFFFFF"/>
                          </a:solidFill>
                          <a:ln w="12700" cap="flat" cmpd="sng">
                            <a:solidFill>
                              <a:srgbClr val="70AD47"/>
                            </a:solidFill>
                            <a:prstDash val="solid"/>
                            <a:miter/>
                            <a:headEnd/>
                            <a:tailEnd/>
                          </a:ln>
                        </wps:spPr>
                        <wps:txbx>
                          <w:txbxContent>
                            <w:p w14:paraId="3A83B261"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Nutritional Outcome</w:t>
                              </w:r>
                            </w:p>
                            <w:p w14:paraId="695F152B"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(MUAC, PCV)</w:t>
                              </w:r>
                            </w:p>
                          </w:txbxContent>
                        </wps:txbx>
                        <wps:bodyPr vert="horz" wrap="square" lIns="91440" tIns="45720" rIns="91440" bIns="45720" anchor="ctr">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EDF2F7" id="Group 23" o:spid="_x0000_s1028" style="position:absolute;left:0;text-align:left;margin-left:-4.5pt;margin-top:7.25pt;width:222.85pt;height:318pt;z-index:251665408;mso-width-relative:margin;mso-height-relative:margin" coordsize="52608,54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">
                <v:rect id="Rectangle 9" o:spid="_x0000_s1029" style="position:absolute;left:6699;width:43610;height:7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" strokecolor="#70ad47" strokeweight="1pt">
                  <v:path arrowok="t"/>
                  <v:textbox>
                    <w:txbxContent>
                      <w:p w14:paraId="52386FD4"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Socio-demographic Factors</w:t>
                        </w:r>
                      </w:p>
                      <w:p w14:paraId="5A26E7D0"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(Place of residence, Family type, Socio-economic status)</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7" o:spid="_x0000_s1030" type="#_x0000_t67" style="position:absolute;left:25087;top:7785;width:2457;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" adj="14859,6636" fillcolor="#5b9bd5" strokecolor="#42719b" strokeweight="1pt">
                  <v:path arrowok="t"/>
                </v:shape>
                <v:rect id="Rectangle 18" o:spid="_x0000_s1031" style="position:absolute;top:11769;width:52608;height:6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" strokecolor="#70ad47" strokeweight="1pt">
                  <v:path arrowok="t"/>
                  <v:textbox>
                    <w:txbxContent>
                      <w:p w14:paraId="5F80B379"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Social and Environmental Factors</w:t>
                        </w:r>
                      </w:p>
                      <w:p w14:paraId="677211B4" w14:textId="77777777" w:rsidR="00E1345C" w:rsidRPr="00E1345C" w:rsidRDefault="00E1345C" w:rsidP="00E1345C">
                        <w:pPr>
                          <w:jc w:val="center"/>
                          <w:rPr>
                            <w:rFonts w:ascii="Garamond" w:hAnsi="Garamond" w:cs="Times New Roman"/>
                            <w:sz w:val="20"/>
                            <w:szCs w:val="20"/>
                          </w:rPr>
                        </w:pPr>
                        <w:r w:rsidRPr="00E1345C">
                          <w:rPr>
                            <w:rFonts w:ascii="Garamond" w:hAnsi="Garamond" w:cs="Times New Roman"/>
                            <w:b/>
                            <w:sz w:val="20"/>
                            <w:szCs w:val="20"/>
                          </w:rPr>
                          <w:t>(Food access, Cultural Practices, Healthcare access, Decision-making</w:t>
                        </w:r>
                        <w:r w:rsidRPr="00E1345C">
                          <w:rPr>
                            <w:rFonts w:ascii="Garamond" w:hAnsi="Garamond" w:cs="Times New Roman"/>
                            <w:sz w:val="20"/>
                            <w:szCs w:val="20"/>
                          </w:rPr>
                          <w:t xml:space="preserve"> </w:t>
                        </w:r>
                        <w:r w:rsidRPr="00E1345C">
                          <w:rPr>
                            <w:rFonts w:ascii="Garamond" w:hAnsi="Garamond" w:cs="Times New Roman"/>
                            <w:b/>
                            <w:sz w:val="20"/>
                            <w:szCs w:val="20"/>
                          </w:rPr>
                          <w:t>Power</w:t>
                        </w:r>
                      </w:p>
                    </w:txbxContent>
                  </v:textbox>
                </v:rect>
                <v:rect id="Rectangle 19" o:spid="_x0000_s1032" style="position:absolute;left:12765;top:21728;width:28839;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" strokecolor="#70ad47" strokeweight="1pt">
                  <v:path arrowok="t"/>
                  <v:textbox>
                    <w:txbxContent>
                      <w:p w14:paraId="0559AB4B"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 xml:space="preserve">Individual Factor </w:t>
                        </w:r>
                      </w:p>
                      <w:p w14:paraId="5C0D01EF"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(Nutritional Knowledge)</w:t>
                        </w:r>
                      </w:p>
                    </w:txbxContent>
                  </v:textbox>
                </v:rect>
                <v:shape id="Down Arrow 20" o:spid="_x0000_s1033" type="#_x0000_t67" style="position:absolute;left:25540;top:18016;width:1829;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" adj="16493" fillcolor="#5b9bd5" strokecolor="#42719b" strokeweight="1pt">
                  <v:path arrowok="t"/>
                </v:shape>
                <v:rect id="Rectangle 21" o:spid="_x0000_s1034" style="position:absolute;left:12765;top:33316;width:29823;height:8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" strokecolor="#70ad47" strokeweight="1pt">
                  <v:path arrowok="t"/>
                  <v:textbox>
                    <w:txbxContent>
                      <w:p w14:paraId="561C5E3F"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 xml:space="preserve">Dietary Practice </w:t>
                        </w:r>
                      </w:p>
                      <w:p w14:paraId="19586CFB"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(Dietary diversity MDD-W)</w:t>
                        </w:r>
                      </w:p>
                    </w:txbxContent>
                  </v:textbox>
                </v:rect>
                <v:shape id="Down Arrow 23" o:spid="_x0000_s1035" type="#_x0000_t67" style="position:absolute;left:25630;top:29061;width:1899;height:4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" adj="16572" fillcolor="#5b9bd5" strokecolor="#42719b" strokeweight="1pt">
                  <v:path arrowok="t"/>
                </v:shape>
                <v:shape id="Down Arrow 24" o:spid="_x0000_s1036" type="#_x0000_t67" style="position:absolute;left:25540;top:41917;width:2743;height:5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" adj="15984" fillcolor="#5b9bd5" strokecolor="#42719b" strokeweight="1pt">
                  <v:path arrowok="t"/>
                </v:shape>
                <v:rect id="Rectangle 25" o:spid="_x0000_s1037" style="position:absolute;left:12674;top:47349;width:30387;height:68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" strokecolor="#70ad47" strokeweight="1pt">
                  <v:path arrowok="t"/>
                  <v:textbox>
                    <w:txbxContent>
                      <w:p w14:paraId="3A83B261"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Nutritional Outcome</w:t>
                        </w:r>
                      </w:p>
                      <w:p w14:paraId="695F152B" w14:textId="77777777" w:rsidR="00E1345C" w:rsidRPr="00E1345C" w:rsidRDefault="00E1345C" w:rsidP="00E1345C">
                        <w:pPr>
                          <w:jc w:val="center"/>
                          <w:rPr>
                            <w:rFonts w:ascii="Garamond" w:hAnsi="Garamond" w:cs="Times New Roman"/>
                            <w:b/>
                            <w:sz w:val="20"/>
                            <w:szCs w:val="20"/>
                          </w:rPr>
                        </w:pPr>
                        <w:r w:rsidRPr="00E1345C">
                          <w:rPr>
                            <w:rFonts w:ascii="Garamond" w:hAnsi="Garamond" w:cs="Times New Roman"/>
                            <w:b/>
                            <w:sz w:val="20"/>
                            <w:szCs w:val="20"/>
                          </w:rPr>
                          <w:t>(MUAC, PCV)</w:t>
                        </w:r>
                      </w:p>
                    </w:txbxContent>
                  </v:textbox>
                </v:rect>
              </v:group>
            </w:pict>
          </mc:Fallback>
        </mc:AlternateContent>
      </w:r>
    </w:p>
    <w:p w14:paraId="52C0040F" w14:textId="38EB8FB4" w:rsidR="005C0FDE" w:rsidRPr="00C16735" w:rsidRDefault="005C0FDE" w:rsidP="007A1526">
      <w:pPr>
        <w:spacing w:line="259" w:lineRule="auto"/>
        <w:jc w:val="both"/>
        <w:rPr>
          <w:rFonts w:ascii="Garamond" w:hAnsi="Garamond"/>
          <w:bCs/>
          <w:iCs/>
          <w:sz w:val="20"/>
          <w:szCs w:val="20"/>
        </w:rPr>
      </w:pPr>
    </w:p>
    <w:p w14:paraId="7F280148" w14:textId="63CA2A77" w:rsidR="00316BC0" w:rsidRPr="00C16735" w:rsidRDefault="00316BC0" w:rsidP="007A1526">
      <w:pPr>
        <w:spacing w:line="259" w:lineRule="auto"/>
        <w:jc w:val="both"/>
        <w:rPr>
          <w:rFonts w:ascii="Garamond" w:hAnsi="Garamond"/>
          <w:bCs/>
          <w:iCs/>
          <w:sz w:val="20"/>
          <w:szCs w:val="20"/>
        </w:rPr>
      </w:pPr>
    </w:p>
    <w:p w14:paraId="7DFD14B9" w14:textId="7473120D" w:rsidR="00E1345C" w:rsidRPr="00C16735" w:rsidRDefault="00E1345C" w:rsidP="007A1526">
      <w:pPr>
        <w:spacing w:line="259" w:lineRule="auto"/>
        <w:jc w:val="both"/>
        <w:rPr>
          <w:rFonts w:ascii="Garamond" w:hAnsi="Garamond"/>
          <w:bCs/>
          <w:iCs/>
          <w:sz w:val="20"/>
          <w:szCs w:val="20"/>
        </w:rPr>
      </w:pPr>
    </w:p>
    <w:p w14:paraId="3512BF98" w14:textId="68E5604D" w:rsidR="00E1345C" w:rsidRPr="00C16735" w:rsidRDefault="00E1345C" w:rsidP="007A1526">
      <w:pPr>
        <w:spacing w:line="259" w:lineRule="auto"/>
        <w:jc w:val="both"/>
        <w:rPr>
          <w:rFonts w:ascii="Garamond" w:hAnsi="Garamond"/>
          <w:bCs/>
          <w:iCs/>
          <w:sz w:val="20"/>
          <w:szCs w:val="20"/>
        </w:rPr>
      </w:pPr>
    </w:p>
    <w:p w14:paraId="44458942" w14:textId="32EA86DD" w:rsidR="00E1345C" w:rsidRPr="00C16735" w:rsidRDefault="00E1345C" w:rsidP="007A1526">
      <w:pPr>
        <w:spacing w:line="259" w:lineRule="auto"/>
        <w:jc w:val="both"/>
        <w:rPr>
          <w:rFonts w:ascii="Garamond" w:hAnsi="Garamond"/>
          <w:bCs/>
          <w:iCs/>
          <w:sz w:val="20"/>
          <w:szCs w:val="20"/>
        </w:rPr>
      </w:pPr>
    </w:p>
    <w:p w14:paraId="7CAD0167" w14:textId="77777777" w:rsidR="00E1345C" w:rsidRPr="00C16735" w:rsidRDefault="00E1345C" w:rsidP="007A1526">
      <w:pPr>
        <w:spacing w:line="259" w:lineRule="auto"/>
        <w:jc w:val="both"/>
        <w:rPr>
          <w:rFonts w:ascii="Garamond" w:hAnsi="Garamond"/>
          <w:bCs/>
          <w:iCs/>
          <w:sz w:val="20"/>
          <w:szCs w:val="20"/>
        </w:rPr>
      </w:pPr>
    </w:p>
    <w:p w14:paraId="070D5DF7" w14:textId="77777777" w:rsidR="00E1345C" w:rsidRPr="00C16735" w:rsidRDefault="00E1345C" w:rsidP="007A1526">
      <w:pPr>
        <w:spacing w:line="259" w:lineRule="auto"/>
        <w:jc w:val="both"/>
        <w:rPr>
          <w:rFonts w:ascii="Garamond" w:hAnsi="Garamond"/>
          <w:bCs/>
          <w:iCs/>
          <w:sz w:val="20"/>
          <w:szCs w:val="20"/>
        </w:rPr>
      </w:pPr>
    </w:p>
    <w:p w14:paraId="2652EFFD" w14:textId="77777777" w:rsidR="00E1345C" w:rsidRPr="00C16735" w:rsidRDefault="00E1345C" w:rsidP="007A1526">
      <w:pPr>
        <w:spacing w:line="259" w:lineRule="auto"/>
        <w:jc w:val="both"/>
        <w:rPr>
          <w:rFonts w:ascii="Garamond" w:hAnsi="Garamond"/>
          <w:bCs/>
          <w:iCs/>
          <w:sz w:val="20"/>
          <w:szCs w:val="20"/>
        </w:rPr>
      </w:pPr>
    </w:p>
    <w:p w14:paraId="272E8028" w14:textId="77777777" w:rsidR="00E1345C" w:rsidRPr="00C16735" w:rsidRDefault="00E1345C" w:rsidP="007A1526">
      <w:pPr>
        <w:spacing w:line="259" w:lineRule="auto"/>
        <w:jc w:val="both"/>
        <w:rPr>
          <w:rFonts w:ascii="Garamond" w:hAnsi="Garamond"/>
          <w:bCs/>
          <w:iCs/>
          <w:sz w:val="20"/>
          <w:szCs w:val="20"/>
        </w:rPr>
      </w:pPr>
    </w:p>
    <w:p w14:paraId="54792C85" w14:textId="77777777" w:rsidR="00E1345C" w:rsidRPr="00C16735" w:rsidRDefault="00E1345C" w:rsidP="007A1526">
      <w:pPr>
        <w:spacing w:line="259" w:lineRule="auto"/>
        <w:jc w:val="both"/>
        <w:rPr>
          <w:rFonts w:ascii="Garamond" w:hAnsi="Garamond"/>
          <w:bCs/>
          <w:iCs/>
          <w:sz w:val="20"/>
          <w:szCs w:val="20"/>
        </w:rPr>
      </w:pPr>
    </w:p>
    <w:p w14:paraId="71BDD384" w14:textId="77777777" w:rsidR="00E1345C" w:rsidRPr="00C16735" w:rsidRDefault="00E1345C" w:rsidP="007A1526">
      <w:pPr>
        <w:spacing w:line="259" w:lineRule="auto"/>
        <w:jc w:val="both"/>
        <w:rPr>
          <w:rFonts w:ascii="Garamond" w:hAnsi="Garamond"/>
          <w:bCs/>
          <w:iCs/>
          <w:sz w:val="20"/>
          <w:szCs w:val="20"/>
        </w:rPr>
      </w:pPr>
    </w:p>
    <w:p w14:paraId="343DBAB0" w14:textId="77777777" w:rsidR="00E1345C" w:rsidRPr="00C16735" w:rsidRDefault="00E1345C" w:rsidP="007A1526">
      <w:pPr>
        <w:spacing w:line="259" w:lineRule="auto"/>
        <w:jc w:val="both"/>
        <w:rPr>
          <w:rFonts w:ascii="Garamond" w:hAnsi="Garamond"/>
          <w:bCs/>
          <w:iCs/>
          <w:sz w:val="20"/>
          <w:szCs w:val="20"/>
        </w:rPr>
      </w:pPr>
    </w:p>
    <w:p w14:paraId="288C78C0" w14:textId="77777777" w:rsidR="00E1345C" w:rsidRPr="00C16735" w:rsidRDefault="00E1345C" w:rsidP="007A1526">
      <w:pPr>
        <w:spacing w:line="259" w:lineRule="auto"/>
        <w:jc w:val="both"/>
        <w:rPr>
          <w:rFonts w:ascii="Garamond" w:hAnsi="Garamond"/>
          <w:bCs/>
          <w:iCs/>
          <w:sz w:val="20"/>
          <w:szCs w:val="20"/>
        </w:rPr>
      </w:pPr>
    </w:p>
    <w:p w14:paraId="36E16E82" w14:textId="77777777" w:rsidR="00E1345C" w:rsidRPr="00C16735" w:rsidRDefault="00E1345C" w:rsidP="007A1526">
      <w:pPr>
        <w:spacing w:line="259" w:lineRule="auto"/>
        <w:jc w:val="both"/>
        <w:rPr>
          <w:rFonts w:ascii="Garamond" w:hAnsi="Garamond"/>
          <w:bCs/>
          <w:iCs/>
          <w:sz w:val="20"/>
          <w:szCs w:val="20"/>
        </w:rPr>
      </w:pPr>
    </w:p>
    <w:p w14:paraId="561265D8" w14:textId="77777777" w:rsidR="00E1345C" w:rsidRPr="00C16735" w:rsidRDefault="00E1345C" w:rsidP="007A1526">
      <w:pPr>
        <w:spacing w:line="259" w:lineRule="auto"/>
        <w:jc w:val="both"/>
        <w:rPr>
          <w:rFonts w:ascii="Garamond" w:hAnsi="Garamond"/>
          <w:bCs/>
          <w:iCs/>
          <w:sz w:val="20"/>
          <w:szCs w:val="20"/>
        </w:rPr>
      </w:pPr>
    </w:p>
    <w:p w14:paraId="3514B61F" w14:textId="77777777" w:rsidR="00E1345C" w:rsidRPr="00C16735" w:rsidRDefault="00E1345C" w:rsidP="007A1526">
      <w:pPr>
        <w:spacing w:line="259" w:lineRule="auto"/>
        <w:jc w:val="both"/>
        <w:rPr>
          <w:rFonts w:ascii="Garamond" w:hAnsi="Garamond"/>
          <w:bCs/>
          <w:iCs/>
          <w:sz w:val="20"/>
          <w:szCs w:val="20"/>
        </w:rPr>
      </w:pPr>
    </w:p>
    <w:p w14:paraId="48295FAC" w14:textId="77777777" w:rsidR="00E1345C" w:rsidRPr="00C16735" w:rsidRDefault="00E1345C" w:rsidP="007A1526">
      <w:pPr>
        <w:spacing w:line="259" w:lineRule="auto"/>
        <w:jc w:val="both"/>
        <w:rPr>
          <w:rFonts w:ascii="Garamond" w:hAnsi="Garamond"/>
          <w:bCs/>
          <w:iCs/>
          <w:sz w:val="20"/>
          <w:szCs w:val="20"/>
        </w:rPr>
      </w:pPr>
    </w:p>
    <w:p w14:paraId="49AAEB60" w14:textId="77777777" w:rsidR="00E1345C" w:rsidRPr="00C16735" w:rsidRDefault="00E1345C" w:rsidP="007A1526">
      <w:pPr>
        <w:spacing w:line="259" w:lineRule="auto"/>
        <w:jc w:val="both"/>
        <w:rPr>
          <w:rFonts w:ascii="Garamond" w:hAnsi="Garamond"/>
          <w:bCs/>
          <w:iCs/>
          <w:sz w:val="20"/>
          <w:szCs w:val="20"/>
        </w:rPr>
      </w:pPr>
    </w:p>
    <w:p w14:paraId="599E190D" w14:textId="77777777" w:rsidR="00E1345C" w:rsidRPr="00C16735" w:rsidRDefault="00E1345C" w:rsidP="007A1526">
      <w:pPr>
        <w:spacing w:line="259" w:lineRule="auto"/>
        <w:jc w:val="both"/>
        <w:rPr>
          <w:rFonts w:ascii="Garamond" w:hAnsi="Garamond"/>
          <w:bCs/>
          <w:iCs/>
          <w:sz w:val="20"/>
          <w:szCs w:val="20"/>
        </w:rPr>
      </w:pPr>
    </w:p>
    <w:p w14:paraId="5DA36B85" w14:textId="77777777" w:rsidR="00E1345C" w:rsidRPr="00C16735" w:rsidRDefault="00E1345C" w:rsidP="007A1526">
      <w:pPr>
        <w:spacing w:line="259" w:lineRule="auto"/>
        <w:jc w:val="both"/>
        <w:rPr>
          <w:rFonts w:ascii="Garamond" w:hAnsi="Garamond"/>
          <w:bCs/>
          <w:iCs/>
          <w:sz w:val="20"/>
          <w:szCs w:val="20"/>
        </w:rPr>
      </w:pPr>
    </w:p>
    <w:p w14:paraId="546C7607" w14:textId="77777777" w:rsidR="00E1345C" w:rsidRPr="00C16735" w:rsidRDefault="00E1345C" w:rsidP="007A1526">
      <w:pPr>
        <w:spacing w:line="259" w:lineRule="auto"/>
        <w:jc w:val="both"/>
        <w:rPr>
          <w:rFonts w:ascii="Garamond" w:hAnsi="Garamond"/>
          <w:bCs/>
          <w:iCs/>
          <w:sz w:val="20"/>
          <w:szCs w:val="20"/>
        </w:rPr>
      </w:pPr>
    </w:p>
    <w:p w14:paraId="698C477D" w14:textId="77777777" w:rsidR="00E1345C" w:rsidRPr="00C16735" w:rsidRDefault="00E1345C" w:rsidP="007A1526">
      <w:pPr>
        <w:spacing w:line="259" w:lineRule="auto"/>
        <w:jc w:val="both"/>
        <w:rPr>
          <w:rFonts w:ascii="Garamond" w:hAnsi="Garamond"/>
          <w:bCs/>
          <w:iCs/>
          <w:sz w:val="20"/>
          <w:szCs w:val="20"/>
        </w:rPr>
      </w:pPr>
    </w:p>
    <w:p w14:paraId="13C2894C" w14:textId="77777777" w:rsidR="00E1345C" w:rsidRPr="00C16735" w:rsidRDefault="00E1345C" w:rsidP="007A1526">
      <w:pPr>
        <w:spacing w:line="259" w:lineRule="auto"/>
        <w:jc w:val="both"/>
        <w:rPr>
          <w:rFonts w:ascii="Garamond" w:hAnsi="Garamond"/>
          <w:bCs/>
          <w:iCs/>
          <w:sz w:val="20"/>
          <w:szCs w:val="20"/>
        </w:rPr>
      </w:pPr>
    </w:p>
    <w:p w14:paraId="60E6409C" w14:textId="77777777" w:rsidR="00E1345C" w:rsidRPr="00C16735" w:rsidRDefault="00E1345C" w:rsidP="007A1526">
      <w:pPr>
        <w:spacing w:line="259" w:lineRule="auto"/>
        <w:jc w:val="both"/>
        <w:rPr>
          <w:rFonts w:ascii="Garamond" w:hAnsi="Garamond"/>
          <w:bCs/>
          <w:iCs/>
          <w:sz w:val="20"/>
          <w:szCs w:val="20"/>
        </w:rPr>
      </w:pPr>
    </w:p>
    <w:p w14:paraId="2C9FA63A" w14:textId="77777777" w:rsidR="00E1345C" w:rsidRPr="00C16735" w:rsidRDefault="00E1345C" w:rsidP="007A1526">
      <w:pPr>
        <w:spacing w:line="259" w:lineRule="auto"/>
        <w:jc w:val="both"/>
        <w:rPr>
          <w:rFonts w:ascii="Garamond" w:hAnsi="Garamond"/>
          <w:bCs/>
          <w:iCs/>
          <w:sz w:val="20"/>
          <w:szCs w:val="20"/>
        </w:rPr>
      </w:pPr>
    </w:p>
    <w:p w14:paraId="60DCE890" w14:textId="77777777" w:rsidR="00E1345C" w:rsidRPr="00C16735" w:rsidRDefault="00E1345C" w:rsidP="007A1526">
      <w:pPr>
        <w:spacing w:line="259" w:lineRule="auto"/>
        <w:jc w:val="both"/>
        <w:rPr>
          <w:rFonts w:ascii="Garamond" w:hAnsi="Garamond"/>
          <w:bCs/>
          <w:iCs/>
          <w:sz w:val="20"/>
          <w:szCs w:val="20"/>
        </w:rPr>
      </w:pPr>
    </w:p>
    <w:p w14:paraId="64C44A82" w14:textId="77777777" w:rsidR="00E1345C" w:rsidRPr="00C16735" w:rsidRDefault="00E1345C" w:rsidP="007A1526">
      <w:pPr>
        <w:spacing w:line="259" w:lineRule="auto"/>
        <w:jc w:val="both"/>
        <w:rPr>
          <w:rFonts w:ascii="Garamond" w:hAnsi="Garamond"/>
          <w:bCs/>
          <w:iCs/>
          <w:sz w:val="20"/>
          <w:szCs w:val="20"/>
        </w:rPr>
      </w:pPr>
    </w:p>
    <w:p w14:paraId="330C6119" w14:textId="77777777" w:rsidR="00E1345C" w:rsidRPr="00E1345C" w:rsidRDefault="00E1345C" w:rsidP="00E1345C">
      <w:pPr>
        <w:spacing w:line="259" w:lineRule="auto"/>
        <w:jc w:val="both"/>
        <w:rPr>
          <w:rFonts w:ascii="Garamond" w:hAnsi="Garamond"/>
          <w:b/>
          <w:bCs/>
          <w:iCs/>
          <w:sz w:val="20"/>
          <w:szCs w:val="20"/>
          <w:lang w:val="en-GB"/>
        </w:rPr>
      </w:pPr>
      <w:r w:rsidRPr="00E1345C">
        <w:rPr>
          <w:rFonts w:ascii="Garamond" w:hAnsi="Garamond"/>
          <w:b/>
          <w:bCs/>
          <w:iCs/>
          <w:sz w:val="20"/>
          <w:szCs w:val="20"/>
          <w:lang w:val="en-GB"/>
        </w:rPr>
        <w:t xml:space="preserve">Figure 1: </w:t>
      </w:r>
      <w:r w:rsidRPr="00E1345C">
        <w:rPr>
          <w:rFonts w:ascii="Garamond" w:hAnsi="Garamond"/>
          <w:iCs/>
          <w:sz w:val="20"/>
          <w:szCs w:val="20"/>
          <w:lang w:val="en-GB"/>
        </w:rPr>
        <w:t>Conceptual Framework illustrating the relationship between socio-demographic, environmental, and individual factors on dietary diversity and nutritional status among pregnant adolescents.</w:t>
      </w:r>
      <w:r w:rsidRPr="00E1345C">
        <w:rPr>
          <w:rFonts w:ascii="Garamond" w:hAnsi="Garamond"/>
          <w:b/>
          <w:bCs/>
          <w:iCs/>
          <w:sz w:val="20"/>
          <w:szCs w:val="20"/>
          <w:lang w:val="en-GB"/>
        </w:rPr>
        <w:t xml:space="preserve"> </w:t>
      </w:r>
    </w:p>
    <w:p w14:paraId="35A0FDF1" w14:textId="77777777" w:rsidR="00C064EF" w:rsidRPr="00C16735" w:rsidRDefault="00C064EF" w:rsidP="007A1526">
      <w:pPr>
        <w:spacing w:line="259" w:lineRule="auto"/>
        <w:jc w:val="both"/>
        <w:rPr>
          <w:rFonts w:ascii="Garamond" w:hAnsi="Garamond"/>
          <w:bCs/>
          <w:iCs/>
          <w:sz w:val="20"/>
          <w:szCs w:val="20"/>
        </w:rPr>
      </w:pPr>
    </w:p>
    <w:p w14:paraId="652EC5F1" w14:textId="6972ABC8" w:rsidR="00C064EF" w:rsidRPr="000B2BA8" w:rsidRDefault="000B2BA8" w:rsidP="00C064EF">
      <w:pPr>
        <w:spacing w:line="259" w:lineRule="auto"/>
        <w:jc w:val="both"/>
        <w:rPr>
          <w:rFonts w:ascii="Garamond" w:hAnsi="Garamond"/>
          <w:b/>
          <w:bCs/>
          <w:iCs/>
          <w:sz w:val="22"/>
          <w:szCs w:val="22"/>
          <w:lang w:val="en-GB"/>
        </w:rPr>
      </w:pPr>
      <w:r w:rsidRPr="000B2BA8">
        <w:rPr>
          <w:rFonts w:ascii="Garamond" w:hAnsi="Garamond"/>
          <w:b/>
          <w:bCs/>
          <w:iCs/>
          <w:sz w:val="22"/>
          <w:szCs w:val="22"/>
          <w:lang w:val="en-GB"/>
        </w:rPr>
        <w:t>METHODOLOGY</w:t>
      </w:r>
    </w:p>
    <w:p w14:paraId="4E6C9281" w14:textId="77777777" w:rsidR="00C064EF" w:rsidRPr="00C064EF" w:rsidRDefault="00C064EF" w:rsidP="00C064EF">
      <w:pPr>
        <w:spacing w:line="259" w:lineRule="auto"/>
        <w:jc w:val="both"/>
        <w:rPr>
          <w:rFonts w:ascii="Garamond" w:hAnsi="Garamond"/>
          <w:b/>
          <w:bCs/>
          <w:iCs/>
          <w:sz w:val="20"/>
          <w:szCs w:val="20"/>
          <w:lang w:val="en-GB"/>
        </w:rPr>
      </w:pPr>
    </w:p>
    <w:p w14:paraId="677B4EA0" w14:textId="59065D43" w:rsidR="00C064EF" w:rsidRPr="000B2BA8" w:rsidRDefault="00C064EF" w:rsidP="00C064EF">
      <w:pPr>
        <w:spacing w:line="259" w:lineRule="auto"/>
        <w:jc w:val="both"/>
        <w:rPr>
          <w:rFonts w:ascii="Garamond" w:hAnsi="Garamond"/>
          <w:b/>
          <w:bCs/>
          <w:iCs/>
          <w:sz w:val="20"/>
          <w:szCs w:val="20"/>
          <w:lang w:val="en-GB"/>
        </w:rPr>
      </w:pPr>
      <w:r w:rsidRPr="000B2BA8">
        <w:rPr>
          <w:rFonts w:ascii="Garamond" w:hAnsi="Garamond"/>
          <w:b/>
          <w:bCs/>
          <w:i/>
          <w:sz w:val="20"/>
          <w:szCs w:val="20"/>
          <w:lang w:val="en-GB"/>
        </w:rPr>
        <w:t>Study Area</w:t>
      </w:r>
      <w:r w:rsidR="000B2BA8" w:rsidRPr="000B2BA8">
        <w:rPr>
          <w:rFonts w:ascii="Garamond" w:hAnsi="Garamond"/>
          <w:b/>
          <w:bCs/>
          <w:i/>
          <w:sz w:val="20"/>
          <w:szCs w:val="20"/>
          <w:lang w:val="en-GB"/>
        </w:rPr>
        <w:t xml:space="preserve">: </w:t>
      </w:r>
      <w:r w:rsidRPr="00C064EF">
        <w:rPr>
          <w:rFonts w:ascii="Garamond" w:hAnsi="Garamond"/>
          <w:bCs/>
          <w:iCs/>
          <w:sz w:val="20"/>
          <w:szCs w:val="20"/>
          <w:lang w:val="en-GB"/>
        </w:rPr>
        <w:t xml:space="preserve">The research was carried out in Bauchi State, Nigeria. This region represents 3.2 percent of the country’s population. The state is characterized by a predominantly rural population engaged primarily in agriculture and trade. The state has diverse ethnic groups </w:t>
      </w:r>
      <w:r w:rsidR="000B2BA8" w:rsidRPr="00C064EF">
        <w:rPr>
          <w:rFonts w:ascii="Garamond" w:hAnsi="Garamond"/>
          <w:bCs/>
          <w:iCs/>
          <w:sz w:val="20"/>
          <w:szCs w:val="20"/>
          <w:lang w:val="en-GB"/>
        </w:rPr>
        <w:t>however;</w:t>
      </w:r>
      <w:r w:rsidRPr="00C064EF">
        <w:rPr>
          <w:rFonts w:ascii="Garamond" w:hAnsi="Garamond"/>
          <w:bCs/>
          <w:iCs/>
          <w:sz w:val="20"/>
          <w:szCs w:val="20"/>
          <w:lang w:val="en-GB"/>
        </w:rPr>
        <w:t xml:space="preserve"> it is predominated by the Hausa/Fulani and is made up of 20 Local Government Areas.</w:t>
      </w:r>
    </w:p>
    <w:p w14:paraId="6F217726" w14:textId="0156A3FD" w:rsidR="00C064EF" w:rsidRPr="00C064EF"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Study Design</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 xml:space="preserve">The research utilised an analytical cross-sectional design. </w:t>
      </w:r>
    </w:p>
    <w:p w14:paraId="7722FA79" w14:textId="7EF53B83" w:rsidR="00C064EF" w:rsidRPr="00C064EF"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Study Period</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Data was collected between March and June 2025 amongst pregnant adolescent girls in selected comprehensive primary health care centres in Bauchi State.</w:t>
      </w:r>
    </w:p>
    <w:p w14:paraId="77C71704" w14:textId="2024B8D8" w:rsidR="00C064EF" w:rsidRPr="00C064EF"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Study Population</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The research targeted pregnant adolescent girls aged between 10 and 19 years.</w:t>
      </w:r>
    </w:p>
    <w:p w14:paraId="2507381F" w14:textId="35173697" w:rsidR="00C064EF" w:rsidRPr="00C064EF"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Study Setting</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 xml:space="preserve">Comprehensive primary health care centres located in </w:t>
      </w:r>
      <w:proofErr w:type="spellStart"/>
      <w:r w:rsidRPr="00C064EF">
        <w:rPr>
          <w:rFonts w:ascii="Garamond" w:hAnsi="Garamond"/>
          <w:bCs/>
          <w:iCs/>
          <w:sz w:val="20"/>
          <w:szCs w:val="20"/>
          <w:lang w:val="en-GB"/>
        </w:rPr>
        <w:t>Dambam</w:t>
      </w:r>
      <w:proofErr w:type="spellEnd"/>
      <w:r w:rsidRPr="00C064EF">
        <w:rPr>
          <w:rFonts w:ascii="Garamond" w:hAnsi="Garamond"/>
          <w:bCs/>
          <w:iCs/>
          <w:sz w:val="20"/>
          <w:szCs w:val="20"/>
          <w:lang w:val="en-GB"/>
        </w:rPr>
        <w:t xml:space="preserve"> and </w:t>
      </w:r>
      <w:proofErr w:type="spellStart"/>
      <w:r w:rsidRPr="00C064EF">
        <w:rPr>
          <w:rFonts w:ascii="Garamond" w:hAnsi="Garamond"/>
          <w:bCs/>
          <w:iCs/>
          <w:sz w:val="20"/>
          <w:szCs w:val="20"/>
          <w:lang w:val="en-GB"/>
        </w:rPr>
        <w:t>Alkaleri</w:t>
      </w:r>
      <w:proofErr w:type="spellEnd"/>
      <w:r w:rsidRPr="00C064EF">
        <w:rPr>
          <w:rFonts w:ascii="Garamond" w:hAnsi="Garamond"/>
          <w:bCs/>
          <w:iCs/>
          <w:sz w:val="20"/>
          <w:szCs w:val="20"/>
          <w:lang w:val="en-GB"/>
        </w:rPr>
        <w:t xml:space="preserve"> LGAs of Bauchi State, North-East Nigeria were chosen as the study setting. </w:t>
      </w:r>
    </w:p>
    <w:p w14:paraId="350A177E" w14:textId="5D8D4D87" w:rsidR="00C064EF" w:rsidRPr="00C064EF"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Eligibility Criteria</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 xml:space="preserve">Participants were qualified to be selected for the research if they were confirmed pregnant, aged 10–19 years, registered for antenatal services in the selected primary health centres in the local government areas, in good state of health with no documented health conditions, as determined by a doctor’s clinical assessment and review of antenatal records. This exclusion was essential to lessen confounding effects of disease conditions on nutritional status. Furthermore, it was also mandatory for study participants to be residents of the study area for at least six months prior to the research and willing to provide informed consent (or assent with parental/guardian consent where applicable). </w:t>
      </w:r>
    </w:p>
    <w:p w14:paraId="6C853482" w14:textId="2CCF7E2B" w:rsidR="00C064EF" w:rsidRPr="00C064EF"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Sampling Technique</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A multistage sampling technique was employed to obtain a study sample of pregnant adolescents. It involved three stages; in the first stage, a comprehensive list of all fully operational primary health centres (n = 104) in Bauchi State was obtained from the Bauchi State Primary Healthcare Development Board. From the list given, two comprehensive primary health centres were purposively selected based on records of high antenatal attendance of pregnant adolescents, to ensure adequate access to the target population. In the second stage, pregnant adolescents registered for antenatal care in the selected primary health centres were identified via the facility antenatal registers. The total number of adolescents in the registers were n=280 (</w:t>
      </w:r>
      <w:proofErr w:type="spellStart"/>
      <w:r w:rsidRPr="00C064EF">
        <w:rPr>
          <w:rFonts w:ascii="Garamond" w:hAnsi="Garamond"/>
          <w:bCs/>
          <w:iCs/>
          <w:sz w:val="20"/>
          <w:szCs w:val="20"/>
          <w:lang w:val="en-GB"/>
        </w:rPr>
        <w:t>Dambam</w:t>
      </w:r>
      <w:proofErr w:type="spellEnd"/>
      <w:r w:rsidRPr="00C064EF">
        <w:rPr>
          <w:rFonts w:ascii="Garamond" w:hAnsi="Garamond"/>
          <w:bCs/>
          <w:iCs/>
          <w:sz w:val="20"/>
          <w:szCs w:val="20"/>
          <w:lang w:val="en-GB"/>
        </w:rPr>
        <w:t xml:space="preserve">: 143; </w:t>
      </w:r>
      <w:proofErr w:type="spellStart"/>
      <w:r w:rsidRPr="00C064EF">
        <w:rPr>
          <w:rFonts w:ascii="Garamond" w:hAnsi="Garamond"/>
          <w:bCs/>
          <w:iCs/>
          <w:sz w:val="20"/>
          <w:szCs w:val="20"/>
          <w:lang w:val="en-GB"/>
        </w:rPr>
        <w:t>Alkaleri</w:t>
      </w:r>
      <w:proofErr w:type="spellEnd"/>
      <w:r w:rsidRPr="00C064EF">
        <w:rPr>
          <w:rFonts w:ascii="Garamond" w:hAnsi="Garamond"/>
          <w:bCs/>
          <w:iCs/>
          <w:sz w:val="20"/>
          <w:szCs w:val="20"/>
          <w:lang w:val="en-GB"/>
        </w:rPr>
        <w:t>: 137). Of these, n=35 (</w:t>
      </w:r>
      <w:proofErr w:type="spellStart"/>
      <w:r w:rsidRPr="00C064EF">
        <w:rPr>
          <w:rFonts w:ascii="Garamond" w:hAnsi="Garamond"/>
          <w:bCs/>
          <w:iCs/>
          <w:sz w:val="20"/>
          <w:szCs w:val="20"/>
          <w:lang w:val="en-GB"/>
        </w:rPr>
        <w:t>Dambam</w:t>
      </w:r>
      <w:proofErr w:type="spellEnd"/>
      <w:r w:rsidRPr="00C064EF">
        <w:rPr>
          <w:rFonts w:ascii="Garamond" w:hAnsi="Garamond"/>
          <w:bCs/>
          <w:iCs/>
          <w:sz w:val="20"/>
          <w:szCs w:val="20"/>
          <w:lang w:val="en-GB"/>
        </w:rPr>
        <w:t xml:space="preserve">: 20; </w:t>
      </w:r>
      <w:proofErr w:type="spellStart"/>
      <w:r w:rsidRPr="00C064EF">
        <w:rPr>
          <w:rFonts w:ascii="Garamond" w:hAnsi="Garamond"/>
          <w:bCs/>
          <w:iCs/>
          <w:sz w:val="20"/>
          <w:szCs w:val="20"/>
          <w:lang w:val="en-GB"/>
        </w:rPr>
        <w:t>Alkaleri</w:t>
      </w:r>
      <w:proofErr w:type="spellEnd"/>
      <w:r w:rsidRPr="00C064EF">
        <w:rPr>
          <w:rFonts w:ascii="Garamond" w:hAnsi="Garamond"/>
          <w:bCs/>
          <w:iCs/>
          <w:sz w:val="20"/>
          <w:szCs w:val="20"/>
          <w:lang w:val="en-GB"/>
        </w:rPr>
        <w:t>: 15) did not meet the inclusion criteria, leaving eligible participants for the research to be n=245 (</w:t>
      </w:r>
      <w:proofErr w:type="spellStart"/>
      <w:r w:rsidRPr="00C064EF">
        <w:rPr>
          <w:rFonts w:ascii="Garamond" w:hAnsi="Garamond"/>
          <w:bCs/>
          <w:iCs/>
          <w:sz w:val="20"/>
          <w:szCs w:val="20"/>
          <w:lang w:val="en-GB"/>
        </w:rPr>
        <w:t>Dambam</w:t>
      </w:r>
      <w:proofErr w:type="spellEnd"/>
      <w:r w:rsidRPr="00C064EF">
        <w:rPr>
          <w:rFonts w:ascii="Garamond" w:hAnsi="Garamond"/>
          <w:bCs/>
          <w:iCs/>
          <w:sz w:val="20"/>
          <w:szCs w:val="20"/>
          <w:lang w:val="en-GB"/>
        </w:rPr>
        <w:t xml:space="preserve">: 123; </w:t>
      </w:r>
      <w:proofErr w:type="spellStart"/>
      <w:r w:rsidRPr="00C064EF">
        <w:rPr>
          <w:rFonts w:ascii="Garamond" w:hAnsi="Garamond"/>
          <w:bCs/>
          <w:iCs/>
          <w:sz w:val="20"/>
          <w:szCs w:val="20"/>
          <w:lang w:val="en-GB"/>
        </w:rPr>
        <w:t>Alkaleri</w:t>
      </w:r>
      <w:proofErr w:type="spellEnd"/>
      <w:r w:rsidRPr="00C064EF">
        <w:rPr>
          <w:rFonts w:ascii="Garamond" w:hAnsi="Garamond"/>
          <w:bCs/>
          <w:iCs/>
          <w:sz w:val="20"/>
          <w:szCs w:val="20"/>
          <w:lang w:val="en-GB"/>
        </w:rPr>
        <w:t>: 122).</w:t>
      </w:r>
    </w:p>
    <w:p w14:paraId="4D3C3F49"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 xml:space="preserve">In stage three, simple random sampling (balloting) was utilised to select respondents based on the proportionate size of eligible participants in each facility. Eligible pregnant adolescents were allocated unique numbers, written on folded slips of paper, placed in a container, and drawn sequentially by a neutral individual until the required quota for each facility is achieved. A total of n=213 participants were selected (107 adolescents from </w:t>
      </w:r>
      <w:proofErr w:type="spellStart"/>
      <w:r w:rsidRPr="00C064EF">
        <w:rPr>
          <w:rFonts w:ascii="Garamond" w:hAnsi="Garamond"/>
          <w:bCs/>
          <w:iCs/>
          <w:sz w:val="20"/>
          <w:szCs w:val="20"/>
          <w:lang w:val="en-GB"/>
        </w:rPr>
        <w:t>Dambam</w:t>
      </w:r>
      <w:proofErr w:type="spellEnd"/>
      <w:r w:rsidRPr="00C064EF">
        <w:rPr>
          <w:rFonts w:ascii="Garamond" w:hAnsi="Garamond"/>
          <w:bCs/>
          <w:iCs/>
          <w:sz w:val="20"/>
          <w:szCs w:val="20"/>
          <w:lang w:val="en-GB"/>
        </w:rPr>
        <w:t xml:space="preserve"> and 106 from </w:t>
      </w:r>
      <w:proofErr w:type="spellStart"/>
      <w:r w:rsidRPr="00C064EF">
        <w:rPr>
          <w:rFonts w:ascii="Garamond" w:hAnsi="Garamond"/>
          <w:bCs/>
          <w:iCs/>
          <w:sz w:val="20"/>
          <w:szCs w:val="20"/>
          <w:lang w:val="en-GB"/>
        </w:rPr>
        <w:t>Alkaleri</w:t>
      </w:r>
      <w:proofErr w:type="spellEnd"/>
      <w:r w:rsidRPr="00C064EF">
        <w:rPr>
          <w:rFonts w:ascii="Garamond" w:hAnsi="Garamond"/>
          <w:bCs/>
          <w:iCs/>
          <w:sz w:val="20"/>
          <w:szCs w:val="20"/>
          <w:lang w:val="en-GB"/>
        </w:rPr>
        <w:t xml:space="preserve">). However, of the selected sample size, 13 were excluded due to refusal of </w:t>
      </w:r>
      <w:r w:rsidRPr="00C064EF">
        <w:rPr>
          <w:rFonts w:ascii="Garamond" w:hAnsi="Garamond"/>
          <w:bCs/>
          <w:iCs/>
          <w:sz w:val="20"/>
          <w:szCs w:val="20"/>
          <w:lang w:val="en-GB"/>
        </w:rPr>
        <w:lastRenderedPageBreak/>
        <w:t>consent by spouse/parents and incomplete data leading to a final sample size of 200.</w:t>
      </w:r>
    </w:p>
    <w:p w14:paraId="5807B57B" w14:textId="564405F9" w:rsidR="00C064EF" w:rsidRPr="00C16735" w:rsidRDefault="00C064EF" w:rsidP="007A1526">
      <w:pPr>
        <w:spacing w:line="259" w:lineRule="auto"/>
        <w:jc w:val="both"/>
        <w:rPr>
          <w:rFonts w:ascii="Garamond" w:hAnsi="Garamond"/>
          <w:bCs/>
          <w:iCs/>
          <w:sz w:val="20"/>
          <w:szCs w:val="20"/>
        </w:rPr>
      </w:pPr>
      <w:r w:rsidRPr="00C16735">
        <w:rPr>
          <w:rFonts w:ascii="Garamond" w:eastAsia="Calibri" w:hAnsi="Garamond" w:cs="Times New Roman"/>
          <w:noProof/>
          <w:lang w:val="en-GB"/>
        </w:rPr>
        <mc:AlternateContent>
          <mc:Choice Requires="wpg">
            <w:drawing>
              <wp:anchor distT="0" distB="0" distL="114300" distR="114300" simplePos="0" relativeHeight="251667456" behindDoc="0" locked="0" layoutInCell="1" allowOverlap="1" wp14:anchorId="52C45D75" wp14:editId="35AE4A5A">
                <wp:simplePos x="0" y="0"/>
                <wp:positionH relativeFrom="margin">
                  <wp:posOffset>-416459</wp:posOffset>
                </wp:positionH>
                <wp:positionV relativeFrom="paragraph">
                  <wp:posOffset>157493</wp:posOffset>
                </wp:positionV>
                <wp:extent cx="3108325" cy="3820562"/>
                <wp:effectExtent l="0" t="0" r="15875" b="27940"/>
                <wp:wrapNone/>
                <wp:docPr id="976968917" name="Group 24"/>
                <wp:cNvGraphicFramePr/>
                <a:graphic xmlns:a="http://schemas.openxmlformats.org/drawingml/2006/main">
                  <a:graphicData uri="http://schemas.microsoft.com/office/word/2010/wordprocessingGroup">
                    <wpg:wgp>
                      <wpg:cNvGrpSpPr/>
                      <wpg:grpSpPr>
                        <a:xfrm>
                          <a:off x="0" y="0"/>
                          <a:ext cx="3108325" cy="3820562"/>
                          <a:chOff x="0" y="0"/>
                          <a:chExt cx="5177768" cy="6618780"/>
                        </a:xfrm>
                      </wpg:grpSpPr>
                      <wps:wsp>
                        <wps:cNvPr id="1278166846" name="Straight Arrow Connector 11"/>
                        <wps:cNvCnPr>
                          <a:cxnSpLocks/>
                        </wps:cNvCnPr>
                        <wps:spPr>
                          <a:xfrm>
                            <a:off x="2472559" y="3452648"/>
                            <a:ext cx="6350" cy="275999"/>
                          </a:xfrm>
                          <a:prstGeom prst="straightConnector1">
                            <a:avLst/>
                          </a:prstGeom>
                          <a:ln w="9525" cap="flat" cmpd="sng">
                            <a:solidFill>
                              <a:srgbClr val="000000"/>
                            </a:solidFill>
                            <a:prstDash val="solid"/>
                            <a:round/>
                            <a:headEnd type="none" w="med" len="med"/>
                            <a:tailEnd type="triangle" w="med" len="med"/>
                          </a:ln>
                        </wps:spPr>
                        <wps:bodyPr/>
                      </wps:wsp>
                      <wps:wsp>
                        <wps:cNvPr id="276797429" name="Straight Arrow Connector 8"/>
                        <wps:cNvCnPr>
                          <a:cxnSpLocks/>
                        </wps:cNvCnPr>
                        <wps:spPr>
                          <a:xfrm>
                            <a:off x="2592224" y="4442810"/>
                            <a:ext cx="6350" cy="444500"/>
                          </a:xfrm>
                          <a:prstGeom prst="straightConnector1">
                            <a:avLst/>
                          </a:prstGeom>
                          <a:ln w="9525" cap="flat" cmpd="sng">
                            <a:solidFill>
                              <a:srgbClr val="000000"/>
                            </a:solidFill>
                            <a:prstDash val="solid"/>
                            <a:round/>
                            <a:headEnd type="none" w="med" len="med"/>
                            <a:tailEnd type="triangle" w="med" len="med"/>
                          </a:ln>
                        </wps:spPr>
                        <wps:bodyPr/>
                      </wps:wsp>
                      <wps:wsp>
                        <wps:cNvPr id="2048249496" name="Straight Arrow Connector 2"/>
                        <wps:cNvCnPr>
                          <a:cxnSpLocks/>
                        </wps:cNvCnPr>
                        <wps:spPr>
                          <a:xfrm>
                            <a:off x="2598683" y="5849006"/>
                            <a:ext cx="6350" cy="275936"/>
                          </a:xfrm>
                          <a:prstGeom prst="straightConnector1">
                            <a:avLst/>
                          </a:prstGeom>
                          <a:ln w="9525" cap="flat" cmpd="sng">
                            <a:solidFill>
                              <a:srgbClr val="000000"/>
                            </a:solidFill>
                            <a:prstDash val="solid"/>
                            <a:round/>
                            <a:headEnd type="none" w="med" len="med"/>
                            <a:tailEnd type="triangle" w="med" len="med"/>
                          </a:ln>
                        </wps:spPr>
                        <wps:bodyPr/>
                      </wps:wsp>
                      <wps:wsp>
                        <wps:cNvPr id="239442395" name="Rectangle 14"/>
                        <wps:cNvSpPr>
                          <a:spLocks/>
                        </wps:cNvSpPr>
                        <wps:spPr>
                          <a:xfrm>
                            <a:off x="236483" y="0"/>
                            <a:ext cx="4670228" cy="153337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569D65"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Total number of pregnant adolescents in ANC registers at the two health facilities</w:t>
                              </w:r>
                            </w:p>
                            <w:p w14:paraId="09E0D0EF"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 xml:space="preserve">n=280 </w:t>
                              </w:r>
                            </w:p>
                            <w:p w14:paraId="10BC1EDE"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w:t>
                              </w:r>
                              <w:proofErr w:type="spellStart"/>
                              <w:r w:rsidRPr="00C064EF">
                                <w:rPr>
                                  <w:rFonts w:ascii="Garamond" w:hAnsi="Garamond" w:cs="Times New Roman"/>
                                  <w:b/>
                                  <w:sz w:val="20"/>
                                  <w:szCs w:val="20"/>
                                </w:rPr>
                                <w:t>Dambam</w:t>
                              </w:r>
                              <w:proofErr w:type="spellEnd"/>
                              <w:r w:rsidRPr="00C064EF">
                                <w:rPr>
                                  <w:rFonts w:ascii="Garamond" w:hAnsi="Garamond" w:cs="Times New Roman"/>
                                  <w:b/>
                                  <w:sz w:val="20"/>
                                  <w:szCs w:val="20"/>
                                </w:rPr>
                                <w:t xml:space="preserve"> PHC=143</w:t>
                              </w:r>
                            </w:p>
                            <w:p w14:paraId="1BF8ED69"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w:t>
                              </w:r>
                              <w:proofErr w:type="spellStart"/>
                              <w:r w:rsidRPr="00C064EF">
                                <w:rPr>
                                  <w:rFonts w:ascii="Garamond" w:hAnsi="Garamond" w:cs="Times New Roman"/>
                                  <w:b/>
                                  <w:sz w:val="20"/>
                                  <w:szCs w:val="20"/>
                                </w:rPr>
                                <w:t>Alkaleri</w:t>
                              </w:r>
                              <w:proofErr w:type="spellEnd"/>
                              <w:r w:rsidRPr="00C064EF">
                                <w:rPr>
                                  <w:rFonts w:ascii="Garamond" w:hAnsi="Garamond" w:cs="Times New Roman"/>
                                  <w:b/>
                                  <w:sz w:val="20"/>
                                  <w:szCs w:val="20"/>
                                </w:rPr>
                                <w:t xml:space="preserve"> PHC=137)</w:t>
                              </w:r>
                            </w:p>
                          </w:txbxContent>
                        </wps:txbx>
                        <wps:bodyPr vert="horz" wrap="square" lIns="91440" tIns="45720" rIns="91440" bIns="45720" anchor="t" upright="1">
                          <a:prstTxWarp prst="textNoShape">
                            <a:avLst/>
                          </a:prstTxWarp>
                          <a:noAutofit/>
                        </wps:bodyPr>
                      </wps:wsp>
                      <wps:wsp>
                        <wps:cNvPr id="2053563475" name="Straight Arrow Connector 13"/>
                        <wps:cNvCnPr>
                          <a:cxnSpLocks/>
                        </wps:cNvCnPr>
                        <wps:spPr>
                          <a:xfrm>
                            <a:off x="2441028" y="1529255"/>
                            <a:ext cx="6350" cy="275999"/>
                          </a:xfrm>
                          <a:prstGeom prst="straightConnector1">
                            <a:avLst/>
                          </a:prstGeom>
                          <a:ln w="9525" cap="flat" cmpd="sng">
                            <a:solidFill>
                              <a:srgbClr val="000000"/>
                            </a:solidFill>
                            <a:prstDash val="solid"/>
                            <a:round/>
                            <a:headEnd type="none" w="med" len="med"/>
                            <a:tailEnd type="triangle" w="med" len="med"/>
                          </a:ln>
                        </wps:spPr>
                        <wps:bodyPr/>
                      </wps:wsp>
                      <wps:wsp>
                        <wps:cNvPr id="1294595404" name="Rectangle 12"/>
                        <wps:cNvSpPr>
                          <a:spLocks/>
                        </wps:cNvSpPr>
                        <wps:spPr>
                          <a:xfrm>
                            <a:off x="126125" y="1781503"/>
                            <a:ext cx="4799623" cy="7162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234F5B2"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Did not meet inclusion criteria n=35</w:t>
                              </w:r>
                            </w:p>
                            <w:p w14:paraId="04C27B98" w14:textId="77777777" w:rsidR="00C064EF" w:rsidRPr="00C064EF" w:rsidRDefault="00C064EF" w:rsidP="00C064EF">
                              <w:pPr>
                                <w:jc w:val="center"/>
                                <w:rPr>
                                  <w:rFonts w:ascii="Garamond" w:hAnsi="Garamond" w:cs="Times New Roman"/>
                                  <w:b/>
                                  <w:sz w:val="20"/>
                                  <w:szCs w:val="20"/>
                                </w:rPr>
                              </w:pPr>
                              <w:proofErr w:type="spellStart"/>
                              <w:r w:rsidRPr="00C064EF">
                                <w:rPr>
                                  <w:rFonts w:ascii="Garamond" w:hAnsi="Garamond" w:cs="Times New Roman"/>
                                  <w:b/>
                                  <w:sz w:val="20"/>
                                  <w:szCs w:val="20"/>
                                </w:rPr>
                                <w:t>Dambam</w:t>
                              </w:r>
                              <w:proofErr w:type="spellEnd"/>
                              <w:r w:rsidRPr="00C064EF">
                                <w:rPr>
                                  <w:rFonts w:ascii="Garamond" w:hAnsi="Garamond" w:cs="Times New Roman"/>
                                  <w:b/>
                                  <w:sz w:val="20"/>
                                  <w:szCs w:val="20"/>
                                </w:rPr>
                                <w:t xml:space="preserve"> PHC= 20, </w:t>
                              </w:r>
                              <w:proofErr w:type="spellStart"/>
                              <w:r w:rsidRPr="00C064EF">
                                <w:rPr>
                                  <w:rFonts w:ascii="Garamond" w:hAnsi="Garamond" w:cs="Times New Roman"/>
                                  <w:b/>
                                  <w:sz w:val="20"/>
                                  <w:szCs w:val="20"/>
                                </w:rPr>
                                <w:t>Alkaleri</w:t>
                              </w:r>
                              <w:proofErr w:type="spellEnd"/>
                              <w:r w:rsidRPr="00C064EF">
                                <w:rPr>
                                  <w:rFonts w:ascii="Garamond" w:hAnsi="Garamond" w:cs="Times New Roman"/>
                                  <w:b/>
                                  <w:sz w:val="20"/>
                                  <w:szCs w:val="20"/>
                                </w:rPr>
                                <w:t xml:space="preserve"> PHC=15</w:t>
                              </w:r>
                            </w:p>
                            <w:p w14:paraId="340C2619" w14:textId="77777777" w:rsidR="00C064EF" w:rsidRPr="00C064EF" w:rsidRDefault="00C064EF" w:rsidP="00C064EF">
                              <w:pPr>
                                <w:jc w:val="center"/>
                                <w:rPr>
                                  <w:rFonts w:ascii="Garamond" w:hAnsi="Garamond" w:cs="Times New Roman"/>
                                  <w:b/>
                                  <w:sz w:val="20"/>
                                  <w:szCs w:val="20"/>
                                </w:rPr>
                              </w:pPr>
                            </w:p>
                          </w:txbxContent>
                        </wps:txbx>
                        <wps:bodyPr vert="horz" wrap="square" lIns="91440" tIns="45720" rIns="91440" bIns="45720" anchor="t" upright="1">
                          <a:prstTxWarp prst="textNoShape">
                            <a:avLst/>
                          </a:prstTxWarp>
                          <a:noAutofit/>
                        </wps:bodyPr>
                      </wps:wsp>
                      <wps:wsp>
                        <wps:cNvPr id="848722479" name="Rectangle 10"/>
                        <wps:cNvSpPr>
                          <a:spLocks/>
                        </wps:cNvSpPr>
                        <wps:spPr>
                          <a:xfrm>
                            <a:off x="110359" y="2743200"/>
                            <a:ext cx="4914900" cy="7315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C3D8E2"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Eligible for random selection n=245</w:t>
                              </w:r>
                            </w:p>
                            <w:p w14:paraId="72641257" w14:textId="77777777" w:rsidR="00C064EF" w:rsidRPr="00C064EF" w:rsidRDefault="00C064EF" w:rsidP="00C064EF">
                              <w:pPr>
                                <w:jc w:val="center"/>
                                <w:rPr>
                                  <w:rFonts w:ascii="Garamond" w:hAnsi="Garamond" w:cs="Times New Roman"/>
                                  <w:b/>
                                  <w:sz w:val="20"/>
                                  <w:szCs w:val="20"/>
                                </w:rPr>
                              </w:pPr>
                              <w:proofErr w:type="spellStart"/>
                              <w:r w:rsidRPr="00C064EF">
                                <w:rPr>
                                  <w:rFonts w:ascii="Garamond" w:hAnsi="Garamond" w:cs="Times New Roman"/>
                                  <w:b/>
                                  <w:sz w:val="20"/>
                                  <w:szCs w:val="20"/>
                                </w:rPr>
                                <w:t>Dambam</w:t>
                              </w:r>
                              <w:proofErr w:type="spellEnd"/>
                              <w:r w:rsidRPr="00C064EF">
                                <w:rPr>
                                  <w:rFonts w:ascii="Garamond" w:hAnsi="Garamond" w:cs="Times New Roman"/>
                                  <w:b/>
                                  <w:sz w:val="20"/>
                                  <w:szCs w:val="20"/>
                                </w:rPr>
                                <w:t xml:space="preserve"> PHC=123, </w:t>
                              </w:r>
                              <w:proofErr w:type="spellStart"/>
                              <w:r w:rsidRPr="00C064EF">
                                <w:rPr>
                                  <w:rFonts w:ascii="Garamond" w:hAnsi="Garamond" w:cs="Times New Roman"/>
                                  <w:b/>
                                  <w:sz w:val="20"/>
                                  <w:szCs w:val="20"/>
                                </w:rPr>
                                <w:t>Alkaleri</w:t>
                              </w:r>
                              <w:proofErr w:type="spellEnd"/>
                              <w:r w:rsidRPr="00C064EF">
                                <w:rPr>
                                  <w:rFonts w:ascii="Garamond" w:hAnsi="Garamond" w:cs="Times New Roman"/>
                                  <w:b/>
                                  <w:sz w:val="20"/>
                                  <w:szCs w:val="20"/>
                                </w:rPr>
                                <w:t xml:space="preserve"> PHC=122</w:t>
                              </w:r>
                            </w:p>
                            <w:p w14:paraId="0420954F" w14:textId="77777777" w:rsidR="00C064EF" w:rsidRPr="00C064EF" w:rsidRDefault="00C064EF" w:rsidP="00C064EF">
                              <w:pPr>
                                <w:rPr>
                                  <w:rFonts w:ascii="Garamond" w:hAnsi="Garamond" w:cs="Times New Roman"/>
                                  <w:b/>
                                  <w:sz w:val="20"/>
                                  <w:szCs w:val="20"/>
                                </w:rPr>
                              </w:pPr>
                            </w:p>
                          </w:txbxContent>
                        </wps:txbx>
                        <wps:bodyPr vert="horz" wrap="square" lIns="91440" tIns="45720" rIns="91440" bIns="45720" anchor="t" upright="1">
                          <a:prstTxWarp prst="textNoShape">
                            <a:avLst/>
                          </a:prstTxWarp>
                          <a:noAutofit/>
                        </wps:bodyPr>
                      </wps:wsp>
                      <wps:wsp>
                        <wps:cNvPr id="516041867" name="Rectangle 7"/>
                        <wps:cNvSpPr>
                          <a:spLocks/>
                        </wps:cNvSpPr>
                        <wps:spPr>
                          <a:xfrm>
                            <a:off x="78828" y="3783724"/>
                            <a:ext cx="5010150" cy="6189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7C9317"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Sampled via balloting n=213 (Enrolled in the study)</w:t>
                              </w:r>
                            </w:p>
                            <w:p w14:paraId="162384BE" w14:textId="77777777" w:rsidR="00C064EF" w:rsidRPr="00C064EF" w:rsidRDefault="00C064EF" w:rsidP="00C064EF">
                              <w:pPr>
                                <w:jc w:val="center"/>
                                <w:rPr>
                                  <w:rFonts w:ascii="Garamond" w:hAnsi="Garamond" w:cs="Times New Roman"/>
                                  <w:b/>
                                  <w:sz w:val="20"/>
                                  <w:szCs w:val="20"/>
                                </w:rPr>
                              </w:pPr>
                              <w:proofErr w:type="spellStart"/>
                              <w:r w:rsidRPr="00C064EF">
                                <w:rPr>
                                  <w:rFonts w:ascii="Garamond" w:hAnsi="Garamond" w:cs="Times New Roman"/>
                                  <w:b/>
                                  <w:sz w:val="20"/>
                                  <w:szCs w:val="20"/>
                                </w:rPr>
                                <w:t>Dambam</w:t>
                              </w:r>
                              <w:proofErr w:type="spellEnd"/>
                              <w:r w:rsidRPr="00C064EF">
                                <w:rPr>
                                  <w:rFonts w:ascii="Garamond" w:hAnsi="Garamond" w:cs="Times New Roman"/>
                                  <w:b/>
                                  <w:sz w:val="20"/>
                                  <w:szCs w:val="20"/>
                                </w:rPr>
                                <w:t xml:space="preserve"> PHC=107, </w:t>
                              </w:r>
                              <w:proofErr w:type="spellStart"/>
                              <w:r w:rsidRPr="00C064EF">
                                <w:rPr>
                                  <w:rFonts w:ascii="Garamond" w:hAnsi="Garamond" w:cs="Times New Roman"/>
                                  <w:b/>
                                  <w:sz w:val="20"/>
                                  <w:szCs w:val="20"/>
                                </w:rPr>
                                <w:t>Alkaleri</w:t>
                              </w:r>
                              <w:proofErr w:type="spellEnd"/>
                              <w:r w:rsidRPr="00C064EF">
                                <w:rPr>
                                  <w:rFonts w:ascii="Garamond" w:hAnsi="Garamond" w:cs="Times New Roman"/>
                                  <w:b/>
                                  <w:sz w:val="20"/>
                                  <w:szCs w:val="20"/>
                                </w:rPr>
                                <w:t xml:space="preserve"> PHC=106</w:t>
                              </w:r>
                            </w:p>
                          </w:txbxContent>
                        </wps:txbx>
                        <wps:bodyPr vert="horz" wrap="square" lIns="91440" tIns="45720" rIns="91440" bIns="45720" anchor="t" upright="1">
                          <a:prstTxWarp prst="textNoShape">
                            <a:avLst/>
                          </a:prstTxWarp>
                          <a:noAutofit/>
                        </wps:bodyPr>
                      </wps:wsp>
                      <wps:wsp>
                        <wps:cNvPr id="494438949" name="Rectangle 6"/>
                        <wps:cNvSpPr>
                          <a:spLocks/>
                        </wps:cNvSpPr>
                        <wps:spPr>
                          <a:xfrm>
                            <a:off x="0" y="4887310"/>
                            <a:ext cx="5010150" cy="95533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EDB4EC"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Declined consent/incomplete questionnaire n=13</w:t>
                              </w:r>
                            </w:p>
                            <w:p w14:paraId="36428DF0"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Declined assent/consent by spouse=10 (</w:t>
                              </w:r>
                              <w:proofErr w:type="spellStart"/>
                              <w:r w:rsidRPr="00C064EF">
                                <w:rPr>
                                  <w:rFonts w:ascii="Garamond" w:hAnsi="Garamond" w:cs="Times New Roman"/>
                                  <w:b/>
                                  <w:sz w:val="20"/>
                                  <w:szCs w:val="20"/>
                                </w:rPr>
                                <w:t>Alkaleri</w:t>
                              </w:r>
                              <w:proofErr w:type="spellEnd"/>
                              <w:r w:rsidRPr="00C064EF">
                                <w:rPr>
                                  <w:rFonts w:ascii="Garamond" w:hAnsi="Garamond" w:cs="Times New Roman"/>
                                  <w:b/>
                                  <w:sz w:val="20"/>
                                  <w:szCs w:val="20"/>
                                </w:rPr>
                                <w:t xml:space="preserve">=3, </w:t>
                              </w:r>
                              <w:proofErr w:type="spellStart"/>
                              <w:r w:rsidRPr="00C064EF">
                                <w:rPr>
                                  <w:rFonts w:ascii="Garamond" w:hAnsi="Garamond" w:cs="Times New Roman"/>
                                  <w:b/>
                                  <w:sz w:val="20"/>
                                  <w:szCs w:val="20"/>
                                </w:rPr>
                                <w:t>Dambam</w:t>
                              </w:r>
                              <w:proofErr w:type="spellEnd"/>
                              <w:r w:rsidRPr="00C064EF">
                                <w:rPr>
                                  <w:rFonts w:ascii="Garamond" w:hAnsi="Garamond" w:cs="Times New Roman"/>
                                  <w:b/>
                                  <w:sz w:val="20"/>
                                  <w:szCs w:val="20"/>
                                </w:rPr>
                                <w:t>=7)</w:t>
                              </w:r>
                            </w:p>
                            <w:p w14:paraId="324BFF9D"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Incomplete questionnaires = 3 (</w:t>
                              </w:r>
                              <w:proofErr w:type="spellStart"/>
                              <w:r w:rsidRPr="00C064EF">
                                <w:rPr>
                                  <w:rFonts w:ascii="Garamond" w:hAnsi="Garamond" w:cs="Times New Roman"/>
                                  <w:b/>
                                  <w:sz w:val="20"/>
                                  <w:szCs w:val="20"/>
                                </w:rPr>
                                <w:t>Dambam</w:t>
                              </w:r>
                              <w:proofErr w:type="spellEnd"/>
                              <w:r w:rsidRPr="00C064EF">
                                <w:rPr>
                                  <w:rFonts w:ascii="Garamond" w:hAnsi="Garamond" w:cs="Times New Roman"/>
                                  <w:b/>
                                  <w:sz w:val="20"/>
                                  <w:szCs w:val="20"/>
                                </w:rPr>
                                <w:t xml:space="preserve">=2, </w:t>
                              </w:r>
                              <w:proofErr w:type="spellStart"/>
                              <w:r w:rsidRPr="00C064EF">
                                <w:rPr>
                                  <w:rFonts w:ascii="Garamond" w:hAnsi="Garamond" w:cs="Times New Roman"/>
                                  <w:b/>
                                  <w:sz w:val="20"/>
                                  <w:szCs w:val="20"/>
                                </w:rPr>
                                <w:t>Alkaleri</w:t>
                              </w:r>
                              <w:proofErr w:type="spellEnd"/>
                              <w:r w:rsidRPr="00C064EF">
                                <w:rPr>
                                  <w:rFonts w:ascii="Garamond" w:hAnsi="Garamond" w:cs="Times New Roman"/>
                                  <w:b/>
                                  <w:sz w:val="20"/>
                                  <w:szCs w:val="20"/>
                                </w:rPr>
                                <w:t>=1)</w:t>
                              </w:r>
                            </w:p>
                            <w:p w14:paraId="2899F231" w14:textId="77777777" w:rsidR="00C064EF" w:rsidRPr="00C064EF" w:rsidRDefault="00C064EF" w:rsidP="00C064EF">
                              <w:pPr>
                                <w:jc w:val="center"/>
                                <w:rPr>
                                  <w:rFonts w:ascii="Garamond" w:hAnsi="Garamond" w:cs="Times New Roman"/>
                                  <w:b/>
                                  <w:sz w:val="20"/>
                                  <w:szCs w:val="20"/>
                                </w:rPr>
                              </w:pPr>
                            </w:p>
                          </w:txbxContent>
                        </wps:txbx>
                        <wps:bodyPr vert="horz" wrap="square" lIns="91440" tIns="45720" rIns="91440" bIns="45720" anchor="t" upright="1">
                          <a:prstTxWarp prst="textNoShape">
                            <a:avLst/>
                          </a:prstTxWarp>
                          <a:noAutofit/>
                        </wps:bodyPr>
                      </wps:wsp>
                      <wps:wsp>
                        <wps:cNvPr id="2114280903" name="Rectangle 1"/>
                        <wps:cNvSpPr>
                          <a:spLocks/>
                        </wps:cNvSpPr>
                        <wps:spPr>
                          <a:xfrm>
                            <a:off x="104118" y="6110780"/>
                            <a:ext cx="5073650" cy="5080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D4598E" w14:textId="77777777" w:rsidR="00C064EF" w:rsidRPr="00C064EF" w:rsidRDefault="00C064EF" w:rsidP="00C064EF">
                              <w:pPr>
                                <w:jc w:val="center"/>
                                <w:rPr>
                                  <w:rFonts w:ascii="Garamond" w:hAnsi="Garamond" w:cs="Times New Roman"/>
                                  <w:b/>
                                  <w:sz w:val="20"/>
                                  <w:szCs w:val="20"/>
                                </w:rPr>
                              </w:pPr>
                              <w:proofErr w:type="spellStart"/>
                              <w:r w:rsidRPr="00C064EF">
                                <w:rPr>
                                  <w:rFonts w:ascii="Garamond" w:hAnsi="Garamond" w:cs="Times New Roman"/>
                                  <w:b/>
                                  <w:sz w:val="20"/>
                                  <w:szCs w:val="20"/>
                                </w:rPr>
                                <w:t>Analysed</w:t>
                              </w:r>
                              <w:proofErr w:type="spellEnd"/>
                              <w:r w:rsidRPr="00C064EF">
                                <w:rPr>
                                  <w:rFonts w:ascii="Garamond" w:hAnsi="Garamond" w:cs="Times New Roman"/>
                                  <w:b/>
                                  <w:sz w:val="20"/>
                                  <w:szCs w:val="20"/>
                                </w:rPr>
                                <w:t xml:space="preserve"> n=200</w:t>
                              </w:r>
                            </w:p>
                          </w:txbxContent>
                        </wps:txbx>
                        <wps:bodyPr vert="horz" wrap="square" lIns="91440" tIns="45720" rIns="91440" bIns="45720" anchor="t" upright="1">
                          <a:prstTxWarp prst="textNoShape">
                            <a:avLst/>
                          </a:prstTxWarp>
                          <a:noAutofit/>
                        </wps:bodyPr>
                      </wps:wsp>
                      <wps:wsp>
                        <wps:cNvPr id="261711256" name="Straight Arrow Connector 16"/>
                        <wps:cNvCnPr>
                          <a:cxnSpLocks/>
                        </wps:cNvCnPr>
                        <wps:spPr>
                          <a:xfrm>
                            <a:off x="2425262" y="2522482"/>
                            <a:ext cx="6350" cy="228097"/>
                          </a:xfrm>
                          <a:prstGeom prst="straightConnector1">
                            <a:avLst/>
                          </a:prstGeom>
                          <a:ln w="9525" cap="flat" cmpd="sng">
                            <a:solidFill>
                              <a:srgbClr val="000000"/>
                            </a:solidFill>
                            <a:prstDash val="solid"/>
                            <a:round/>
                            <a:headEnd type="none" w="med" len="me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52C45D75" id="Group 24" o:spid="_x0000_s1038" style="position:absolute;left:0;text-align:left;margin-left:-32.8pt;margin-top:12.4pt;width:244.75pt;height:300.85pt;z-index:251667456;mso-position-horizontal-relative:margin;mso-width-relative:margin;mso-height-relative:margin" coordsize="51777,66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">
                <v:shapetype id="_x0000_t32" coordsize="21600,21600" o:spt="32" o:oned="t" path="m,l21600,21600e" filled="f">
                  <v:path arrowok="t" fillok="f" o:connecttype="none"/>
                  <o:lock v:ext="edit" shapetype="t"/>
                </v:shapetype>
                <v:shape id="Straight Arrow Connector 11" o:spid="_x0000_s1039" type="#_x0000_t32" style="position:absolute;left:24725;top:34526;width:64;height:2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">
                  <v:stroke endarrow="block"/>
                  <o:lock v:ext="edit" shapetype="f"/>
                </v:shape>
                <v:shape id="Straight Arrow Connector 8" o:spid="_x0000_s1040" type="#_x0000_t32" style="position:absolute;left:25922;top:44428;width:63;height:44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">
                  <v:stroke endarrow="block"/>
                  <o:lock v:ext="edit" shapetype="f"/>
                </v:shape>
                <v:shape id="Straight Arrow Connector 2" o:spid="_x0000_s1041" type="#_x0000_t32" style="position:absolute;left:25986;top:58490;width:64;height:27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">
                  <v:stroke endarrow="block"/>
                  <o:lock v:ext="edit" shapetype="f"/>
                </v:shape>
                <v:rect id="Rectangle 14" o:spid="_x0000_s1042" style="position:absolute;left:2364;width:46703;height:15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">
                  <v:path arrowok="t"/>
                  <v:textbox>
                    <w:txbxContent>
                      <w:p w14:paraId="04569D65"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Total number of pregnant adolescents in ANC registers at the two health facilities</w:t>
                        </w:r>
                      </w:p>
                      <w:p w14:paraId="09E0D0EF"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 xml:space="preserve">n=280 </w:t>
                        </w:r>
                      </w:p>
                      <w:p w14:paraId="10BC1EDE"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(Dambam PHC=143</w:t>
                        </w:r>
                      </w:p>
                      <w:p w14:paraId="1BF8ED69"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(Alkaleri PHC=137)</w:t>
                        </w:r>
                      </w:p>
                    </w:txbxContent>
                  </v:textbox>
                </v:rect>
                <v:shape id="Straight Arrow Connector 13" o:spid="_x0000_s1043" type="#_x0000_t32" style="position:absolute;left:24410;top:15292;width:63;height:2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">
                  <v:stroke endarrow="block"/>
                  <o:lock v:ext="edit" shapetype="f"/>
                </v:shape>
                <v:rect id="Rectangle 12" o:spid="_x0000_s1044" style="position:absolute;left:1261;top:17815;width:47996;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">
                  <v:path arrowok="t"/>
                  <v:textbox>
                    <w:txbxContent>
                      <w:p w14:paraId="4234F5B2"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Did not meet inclusion criteria n=35</w:t>
                        </w:r>
                      </w:p>
                      <w:p w14:paraId="04C27B98"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Dambam PHC= 20, Alkaleri PHC=15</w:t>
                        </w:r>
                      </w:p>
                      <w:p w14:paraId="340C2619" w14:textId="77777777" w:rsidR="00C064EF" w:rsidRPr="00C064EF" w:rsidRDefault="00C064EF" w:rsidP="00C064EF">
                        <w:pPr>
                          <w:jc w:val="center"/>
                          <w:rPr>
                            <w:rFonts w:ascii="Garamond" w:hAnsi="Garamond" w:cs="Times New Roman"/>
                            <w:b/>
                            <w:sz w:val="20"/>
                            <w:szCs w:val="20"/>
                          </w:rPr>
                        </w:pPr>
                      </w:p>
                    </w:txbxContent>
                  </v:textbox>
                </v:rect>
                <v:rect id="Rectangle 10" o:spid="_x0000_s1045" style="position:absolute;left:1103;top:27432;width:49149;height:7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">
                  <v:path arrowok="t"/>
                  <v:textbox>
                    <w:txbxContent>
                      <w:p w14:paraId="16C3D8E2"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Eligible for random selection n=245</w:t>
                        </w:r>
                      </w:p>
                      <w:p w14:paraId="72641257"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Dambam PHC=123, Alkaleri PHC=122</w:t>
                        </w:r>
                      </w:p>
                      <w:p w14:paraId="0420954F" w14:textId="77777777" w:rsidR="00C064EF" w:rsidRPr="00C064EF" w:rsidRDefault="00C064EF" w:rsidP="00C064EF">
                        <w:pPr>
                          <w:rPr>
                            <w:rFonts w:ascii="Garamond" w:hAnsi="Garamond" w:cs="Times New Roman"/>
                            <w:b/>
                            <w:sz w:val="20"/>
                            <w:szCs w:val="20"/>
                          </w:rPr>
                        </w:pPr>
                      </w:p>
                    </w:txbxContent>
                  </v:textbox>
                </v:rect>
                <v:rect id="Rectangle 7" o:spid="_x0000_s1046" style="position:absolute;left:788;top:37837;width:50101;height:6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">
                  <v:path arrowok="t"/>
                  <v:textbox>
                    <w:txbxContent>
                      <w:p w14:paraId="107C9317"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Sampled via balloting n=213 (Enrolled in the study)</w:t>
                        </w:r>
                      </w:p>
                      <w:p w14:paraId="162384BE"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Dambam PHC=107, Alkaleri PHC=106</w:t>
                        </w:r>
                      </w:p>
                    </w:txbxContent>
                  </v:textbox>
                </v:rect>
                <v:rect id="Rectangle 6" o:spid="_x0000_s1047" style="position:absolute;top:48873;width:50101;height:9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">
                  <v:path arrowok="t"/>
                  <v:textbox>
                    <w:txbxContent>
                      <w:p w14:paraId="2CEDB4EC"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Declined consent/incomplete questionnaire n=13</w:t>
                        </w:r>
                      </w:p>
                      <w:p w14:paraId="36428DF0"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Declined assent/consent by spouse=10 (Alkaleri=3, Dambam=7)</w:t>
                        </w:r>
                      </w:p>
                      <w:p w14:paraId="324BFF9D"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Incomplete questionnaires = 3 (Dambam=2, Alkaleri=1)</w:t>
                        </w:r>
                      </w:p>
                      <w:p w14:paraId="2899F231" w14:textId="77777777" w:rsidR="00C064EF" w:rsidRPr="00C064EF" w:rsidRDefault="00C064EF" w:rsidP="00C064EF">
                        <w:pPr>
                          <w:jc w:val="center"/>
                          <w:rPr>
                            <w:rFonts w:ascii="Garamond" w:hAnsi="Garamond" w:cs="Times New Roman"/>
                            <w:b/>
                            <w:sz w:val="20"/>
                            <w:szCs w:val="20"/>
                          </w:rPr>
                        </w:pPr>
                      </w:p>
                    </w:txbxContent>
                  </v:textbox>
                </v:rect>
                <v:rect id="Rectangle 1" o:spid="_x0000_s1048" style="position:absolute;left:1041;top:61107;width:50736;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">
                  <v:path arrowok="t"/>
                  <v:textbox>
                    <w:txbxContent>
                      <w:p w14:paraId="06D4598E" w14:textId="77777777" w:rsidR="00C064EF" w:rsidRPr="00C064EF" w:rsidRDefault="00C064EF" w:rsidP="00C064EF">
                        <w:pPr>
                          <w:jc w:val="center"/>
                          <w:rPr>
                            <w:rFonts w:ascii="Garamond" w:hAnsi="Garamond" w:cs="Times New Roman"/>
                            <w:b/>
                            <w:sz w:val="20"/>
                            <w:szCs w:val="20"/>
                          </w:rPr>
                        </w:pPr>
                        <w:r w:rsidRPr="00C064EF">
                          <w:rPr>
                            <w:rFonts w:ascii="Garamond" w:hAnsi="Garamond" w:cs="Times New Roman"/>
                            <w:b/>
                            <w:sz w:val="20"/>
                            <w:szCs w:val="20"/>
                          </w:rPr>
                          <w:t>Analysed n=200</w:t>
                        </w:r>
                      </w:p>
                    </w:txbxContent>
                  </v:textbox>
                </v:rect>
                <v:shape id="Straight Arrow Connector 16" o:spid="_x0000_s1049" type="#_x0000_t32" style="position:absolute;left:24252;top:25224;width:64;height:22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">
                  <v:stroke endarrow="block"/>
                  <o:lock v:ext="edit" shapetype="f"/>
                </v:shape>
                <w10:wrap anchorx="margin"/>
              </v:group>
            </w:pict>
          </mc:Fallback>
        </mc:AlternateContent>
      </w:r>
    </w:p>
    <w:p w14:paraId="73D0ABDE" w14:textId="77777777" w:rsidR="00C064EF" w:rsidRPr="00C16735" w:rsidRDefault="00C064EF" w:rsidP="007A1526">
      <w:pPr>
        <w:spacing w:line="259" w:lineRule="auto"/>
        <w:jc w:val="both"/>
        <w:rPr>
          <w:rFonts w:ascii="Garamond" w:hAnsi="Garamond"/>
          <w:bCs/>
          <w:iCs/>
          <w:sz w:val="20"/>
          <w:szCs w:val="20"/>
        </w:rPr>
      </w:pPr>
    </w:p>
    <w:p w14:paraId="67D0DA7B" w14:textId="65A60452" w:rsidR="00C064EF" w:rsidRPr="00C16735" w:rsidRDefault="00C064EF" w:rsidP="007A1526">
      <w:pPr>
        <w:spacing w:line="259" w:lineRule="auto"/>
        <w:jc w:val="both"/>
        <w:rPr>
          <w:rFonts w:ascii="Garamond" w:hAnsi="Garamond"/>
          <w:bCs/>
          <w:iCs/>
          <w:sz w:val="20"/>
          <w:szCs w:val="20"/>
        </w:rPr>
      </w:pPr>
    </w:p>
    <w:p w14:paraId="75268C52" w14:textId="26517043" w:rsidR="00C064EF" w:rsidRPr="00C16735" w:rsidRDefault="00C064EF" w:rsidP="007A1526">
      <w:pPr>
        <w:spacing w:line="259" w:lineRule="auto"/>
        <w:jc w:val="both"/>
        <w:rPr>
          <w:rFonts w:ascii="Garamond" w:hAnsi="Garamond"/>
          <w:bCs/>
          <w:iCs/>
          <w:sz w:val="20"/>
          <w:szCs w:val="20"/>
        </w:rPr>
      </w:pPr>
    </w:p>
    <w:p w14:paraId="18D5733A" w14:textId="601B30E5" w:rsidR="00C064EF" w:rsidRPr="00C16735" w:rsidRDefault="00C064EF" w:rsidP="007A1526">
      <w:pPr>
        <w:spacing w:line="259" w:lineRule="auto"/>
        <w:jc w:val="both"/>
        <w:rPr>
          <w:rFonts w:ascii="Garamond" w:hAnsi="Garamond"/>
          <w:bCs/>
          <w:iCs/>
          <w:sz w:val="20"/>
          <w:szCs w:val="20"/>
        </w:rPr>
      </w:pPr>
    </w:p>
    <w:p w14:paraId="03E0ED25" w14:textId="6E054041" w:rsidR="00C064EF" w:rsidRPr="00C16735" w:rsidRDefault="00C064EF" w:rsidP="007A1526">
      <w:pPr>
        <w:spacing w:line="259" w:lineRule="auto"/>
        <w:jc w:val="both"/>
        <w:rPr>
          <w:rFonts w:ascii="Garamond" w:hAnsi="Garamond"/>
          <w:bCs/>
          <w:iCs/>
          <w:sz w:val="20"/>
          <w:szCs w:val="20"/>
        </w:rPr>
      </w:pPr>
    </w:p>
    <w:p w14:paraId="121F14FD" w14:textId="72342A34" w:rsidR="00C064EF" w:rsidRPr="00C16735" w:rsidRDefault="00C064EF" w:rsidP="007A1526">
      <w:pPr>
        <w:spacing w:line="259" w:lineRule="auto"/>
        <w:jc w:val="both"/>
        <w:rPr>
          <w:rFonts w:ascii="Garamond" w:hAnsi="Garamond"/>
          <w:bCs/>
          <w:iCs/>
          <w:sz w:val="20"/>
          <w:szCs w:val="20"/>
        </w:rPr>
      </w:pPr>
    </w:p>
    <w:p w14:paraId="185080A1" w14:textId="61264EAA" w:rsidR="00C064EF" w:rsidRPr="00C16735" w:rsidRDefault="00C064EF" w:rsidP="007A1526">
      <w:pPr>
        <w:spacing w:line="259" w:lineRule="auto"/>
        <w:jc w:val="both"/>
        <w:rPr>
          <w:rFonts w:ascii="Garamond" w:hAnsi="Garamond"/>
          <w:bCs/>
          <w:iCs/>
          <w:sz w:val="20"/>
          <w:szCs w:val="20"/>
        </w:rPr>
      </w:pPr>
    </w:p>
    <w:p w14:paraId="7861B0D1" w14:textId="77777777" w:rsidR="00C064EF" w:rsidRPr="00C16735" w:rsidRDefault="00C064EF" w:rsidP="007A1526">
      <w:pPr>
        <w:spacing w:line="259" w:lineRule="auto"/>
        <w:jc w:val="both"/>
        <w:rPr>
          <w:rFonts w:ascii="Garamond" w:hAnsi="Garamond"/>
          <w:bCs/>
          <w:iCs/>
          <w:sz w:val="20"/>
          <w:szCs w:val="20"/>
        </w:rPr>
      </w:pPr>
    </w:p>
    <w:p w14:paraId="00C16BE9" w14:textId="77777777" w:rsidR="00C064EF" w:rsidRPr="00C16735" w:rsidRDefault="00C064EF" w:rsidP="007A1526">
      <w:pPr>
        <w:spacing w:line="259" w:lineRule="auto"/>
        <w:jc w:val="both"/>
        <w:rPr>
          <w:rFonts w:ascii="Garamond" w:hAnsi="Garamond"/>
          <w:bCs/>
          <w:iCs/>
          <w:sz w:val="20"/>
          <w:szCs w:val="20"/>
        </w:rPr>
      </w:pPr>
    </w:p>
    <w:p w14:paraId="4606FBED" w14:textId="77777777" w:rsidR="00C064EF" w:rsidRPr="00C16735" w:rsidRDefault="00C064EF" w:rsidP="007A1526">
      <w:pPr>
        <w:spacing w:line="259" w:lineRule="auto"/>
        <w:jc w:val="both"/>
        <w:rPr>
          <w:rFonts w:ascii="Garamond" w:hAnsi="Garamond"/>
          <w:bCs/>
          <w:iCs/>
          <w:sz w:val="20"/>
          <w:szCs w:val="20"/>
        </w:rPr>
      </w:pPr>
    </w:p>
    <w:p w14:paraId="111CD79B" w14:textId="77777777" w:rsidR="00C064EF" w:rsidRPr="00C16735" w:rsidRDefault="00C064EF" w:rsidP="007A1526">
      <w:pPr>
        <w:spacing w:line="259" w:lineRule="auto"/>
        <w:jc w:val="both"/>
        <w:rPr>
          <w:rFonts w:ascii="Garamond" w:hAnsi="Garamond"/>
          <w:bCs/>
          <w:iCs/>
          <w:sz w:val="20"/>
          <w:szCs w:val="20"/>
        </w:rPr>
      </w:pPr>
    </w:p>
    <w:p w14:paraId="70F68AFB" w14:textId="77777777" w:rsidR="00C064EF" w:rsidRPr="00C16735" w:rsidRDefault="00C064EF" w:rsidP="007A1526">
      <w:pPr>
        <w:spacing w:line="259" w:lineRule="auto"/>
        <w:jc w:val="both"/>
        <w:rPr>
          <w:rFonts w:ascii="Garamond" w:hAnsi="Garamond"/>
          <w:bCs/>
          <w:iCs/>
          <w:sz w:val="20"/>
          <w:szCs w:val="20"/>
        </w:rPr>
      </w:pPr>
    </w:p>
    <w:p w14:paraId="28F6A519" w14:textId="77777777" w:rsidR="00C064EF" w:rsidRPr="00C16735" w:rsidRDefault="00C064EF" w:rsidP="007A1526">
      <w:pPr>
        <w:spacing w:line="259" w:lineRule="auto"/>
        <w:jc w:val="both"/>
        <w:rPr>
          <w:rFonts w:ascii="Garamond" w:hAnsi="Garamond"/>
          <w:bCs/>
          <w:iCs/>
          <w:sz w:val="20"/>
          <w:szCs w:val="20"/>
        </w:rPr>
      </w:pPr>
    </w:p>
    <w:p w14:paraId="3DFBD10F" w14:textId="77777777" w:rsidR="00C064EF" w:rsidRPr="00C16735" w:rsidRDefault="00C064EF" w:rsidP="007A1526">
      <w:pPr>
        <w:spacing w:line="259" w:lineRule="auto"/>
        <w:jc w:val="both"/>
        <w:rPr>
          <w:rFonts w:ascii="Garamond" w:hAnsi="Garamond"/>
          <w:bCs/>
          <w:iCs/>
          <w:sz w:val="20"/>
          <w:szCs w:val="20"/>
        </w:rPr>
      </w:pPr>
    </w:p>
    <w:p w14:paraId="326D5E1D" w14:textId="77777777" w:rsidR="00C064EF" w:rsidRPr="00C16735" w:rsidRDefault="00C064EF" w:rsidP="007A1526">
      <w:pPr>
        <w:spacing w:line="259" w:lineRule="auto"/>
        <w:jc w:val="both"/>
        <w:rPr>
          <w:rFonts w:ascii="Garamond" w:hAnsi="Garamond"/>
          <w:bCs/>
          <w:iCs/>
          <w:sz w:val="20"/>
          <w:szCs w:val="20"/>
        </w:rPr>
      </w:pPr>
    </w:p>
    <w:p w14:paraId="743C6CDE" w14:textId="77777777" w:rsidR="00C064EF" w:rsidRPr="00C16735" w:rsidRDefault="00C064EF" w:rsidP="007A1526">
      <w:pPr>
        <w:spacing w:line="259" w:lineRule="auto"/>
        <w:jc w:val="both"/>
        <w:rPr>
          <w:rFonts w:ascii="Garamond" w:hAnsi="Garamond"/>
          <w:bCs/>
          <w:iCs/>
          <w:sz w:val="20"/>
          <w:szCs w:val="20"/>
        </w:rPr>
      </w:pPr>
    </w:p>
    <w:p w14:paraId="4A540315" w14:textId="77777777" w:rsidR="00C064EF" w:rsidRPr="00C16735" w:rsidRDefault="00C064EF" w:rsidP="007A1526">
      <w:pPr>
        <w:spacing w:line="259" w:lineRule="auto"/>
        <w:jc w:val="both"/>
        <w:rPr>
          <w:rFonts w:ascii="Garamond" w:hAnsi="Garamond"/>
          <w:bCs/>
          <w:iCs/>
          <w:sz w:val="20"/>
          <w:szCs w:val="20"/>
        </w:rPr>
      </w:pPr>
    </w:p>
    <w:p w14:paraId="71D88A07" w14:textId="77777777" w:rsidR="00C064EF" w:rsidRPr="00C16735" w:rsidRDefault="00C064EF" w:rsidP="007A1526">
      <w:pPr>
        <w:spacing w:line="259" w:lineRule="auto"/>
        <w:jc w:val="both"/>
        <w:rPr>
          <w:rFonts w:ascii="Garamond" w:hAnsi="Garamond"/>
          <w:bCs/>
          <w:iCs/>
          <w:sz w:val="20"/>
          <w:szCs w:val="20"/>
        </w:rPr>
      </w:pPr>
    </w:p>
    <w:p w14:paraId="3862F035" w14:textId="77777777" w:rsidR="00C064EF" w:rsidRPr="00C16735" w:rsidRDefault="00C064EF" w:rsidP="007A1526">
      <w:pPr>
        <w:spacing w:line="259" w:lineRule="auto"/>
        <w:jc w:val="both"/>
        <w:rPr>
          <w:rFonts w:ascii="Garamond" w:hAnsi="Garamond"/>
          <w:bCs/>
          <w:iCs/>
          <w:sz w:val="20"/>
          <w:szCs w:val="20"/>
        </w:rPr>
      </w:pPr>
    </w:p>
    <w:p w14:paraId="6531E0D5" w14:textId="77777777" w:rsidR="00C064EF" w:rsidRPr="00C16735" w:rsidRDefault="00C064EF" w:rsidP="007A1526">
      <w:pPr>
        <w:spacing w:line="259" w:lineRule="auto"/>
        <w:jc w:val="both"/>
        <w:rPr>
          <w:rFonts w:ascii="Garamond" w:hAnsi="Garamond"/>
          <w:bCs/>
          <w:iCs/>
          <w:sz w:val="20"/>
          <w:szCs w:val="20"/>
        </w:rPr>
      </w:pPr>
    </w:p>
    <w:p w14:paraId="0A72553B" w14:textId="77777777" w:rsidR="00C064EF" w:rsidRPr="00C16735" w:rsidRDefault="00C064EF" w:rsidP="007A1526">
      <w:pPr>
        <w:spacing w:line="259" w:lineRule="auto"/>
        <w:jc w:val="both"/>
        <w:rPr>
          <w:rFonts w:ascii="Garamond" w:hAnsi="Garamond"/>
          <w:bCs/>
          <w:iCs/>
          <w:sz w:val="20"/>
          <w:szCs w:val="20"/>
        </w:rPr>
      </w:pPr>
    </w:p>
    <w:p w14:paraId="29E553C3" w14:textId="77777777" w:rsidR="00C064EF" w:rsidRPr="00C16735" w:rsidRDefault="00C064EF" w:rsidP="007A1526">
      <w:pPr>
        <w:spacing w:line="259" w:lineRule="auto"/>
        <w:jc w:val="both"/>
        <w:rPr>
          <w:rFonts w:ascii="Garamond" w:hAnsi="Garamond"/>
          <w:bCs/>
          <w:iCs/>
          <w:sz w:val="20"/>
          <w:szCs w:val="20"/>
        </w:rPr>
      </w:pPr>
    </w:p>
    <w:p w14:paraId="545D28D4" w14:textId="77777777" w:rsidR="00C064EF" w:rsidRPr="00C16735" w:rsidRDefault="00C064EF" w:rsidP="007A1526">
      <w:pPr>
        <w:spacing w:line="259" w:lineRule="auto"/>
        <w:jc w:val="both"/>
        <w:rPr>
          <w:rFonts w:ascii="Garamond" w:hAnsi="Garamond"/>
          <w:bCs/>
          <w:iCs/>
          <w:sz w:val="20"/>
          <w:szCs w:val="20"/>
        </w:rPr>
      </w:pPr>
    </w:p>
    <w:p w14:paraId="75699264" w14:textId="77777777" w:rsidR="00C064EF" w:rsidRPr="00C16735" w:rsidRDefault="00C064EF" w:rsidP="007A1526">
      <w:pPr>
        <w:spacing w:line="259" w:lineRule="auto"/>
        <w:jc w:val="both"/>
        <w:rPr>
          <w:rFonts w:ascii="Garamond" w:hAnsi="Garamond"/>
          <w:bCs/>
          <w:iCs/>
          <w:sz w:val="20"/>
          <w:szCs w:val="20"/>
        </w:rPr>
      </w:pPr>
    </w:p>
    <w:p w14:paraId="2A1F440E" w14:textId="77777777" w:rsidR="00C064EF" w:rsidRPr="00C16735" w:rsidRDefault="00C064EF" w:rsidP="007A1526">
      <w:pPr>
        <w:spacing w:line="259" w:lineRule="auto"/>
        <w:jc w:val="both"/>
        <w:rPr>
          <w:rFonts w:ascii="Garamond" w:hAnsi="Garamond"/>
          <w:bCs/>
          <w:iCs/>
          <w:sz w:val="20"/>
          <w:szCs w:val="20"/>
        </w:rPr>
      </w:pPr>
    </w:p>
    <w:p w14:paraId="08314778" w14:textId="77777777" w:rsidR="00C064EF" w:rsidRPr="00C16735" w:rsidRDefault="00C064EF" w:rsidP="007A1526">
      <w:pPr>
        <w:spacing w:line="259" w:lineRule="auto"/>
        <w:jc w:val="both"/>
        <w:rPr>
          <w:rFonts w:ascii="Garamond" w:hAnsi="Garamond"/>
          <w:bCs/>
          <w:iCs/>
          <w:sz w:val="20"/>
          <w:szCs w:val="20"/>
        </w:rPr>
      </w:pPr>
    </w:p>
    <w:p w14:paraId="34531235" w14:textId="77777777" w:rsidR="00C064EF" w:rsidRPr="00C064EF" w:rsidRDefault="00C064EF" w:rsidP="00C064EF">
      <w:pPr>
        <w:spacing w:line="259" w:lineRule="auto"/>
        <w:jc w:val="both"/>
        <w:rPr>
          <w:rFonts w:ascii="Garamond" w:hAnsi="Garamond"/>
          <w:b/>
          <w:bCs/>
          <w:iCs/>
          <w:sz w:val="20"/>
          <w:szCs w:val="20"/>
          <w:lang w:val="en-GB"/>
        </w:rPr>
      </w:pPr>
      <w:r w:rsidRPr="00C064EF">
        <w:rPr>
          <w:rFonts w:ascii="Garamond" w:hAnsi="Garamond"/>
          <w:b/>
          <w:bCs/>
          <w:iCs/>
          <w:sz w:val="20"/>
          <w:szCs w:val="20"/>
          <w:lang w:val="en-GB"/>
        </w:rPr>
        <w:t xml:space="preserve">Figure 2: </w:t>
      </w:r>
      <w:r w:rsidRPr="00C064EF">
        <w:rPr>
          <w:rFonts w:ascii="Garamond" w:hAnsi="Garamond"/>
          <w:iCs/>
          <w:sz w:val="20"/>
          <w:szCs w:val="20"/>
          <w:lang w:val="en-GB"/>
        </w:rPr>
        <w:t>Flow chart showing enrolment and analysis of pregnant adolescent girls in the study</w:t>
      </w:r>
      <w:r w:rsidRPr="00C064EF">
        <w:rPr>
          <w:rFonts w:ascii="Garamond" w:hAnsi="Garamond"/>
          <w:b/>
          <w:bCs/>
          <w:iCs/>
          <w:sz w:val="20"/>
          <w:szCs w:val="20"/>
          <w:lang w:val="en-GB"/>
        </w:rPr>
        <w:t>.</w:t>
      </w:r>
    </w:p>
    <w:p w14:paraId="30C49326" w14:textId="77777777" w:rsidR="00C064EF" w:rsidRPr="00C16735" w:rsidRDefault="00C064EF" w:rsidP="007A1526">
      <w:pPr>
        <w:spacing w:line="259" w:lineRule="auto"/>
        <w:jc w:val="both"/>
        <w:rPr>
          <w:rFonts w:ascii="Garamond" w:hAnsi="Garamond"/>
          <w:bCs/>
          <w:iCs/>
          <w:sz w:val="20"/>
          <w:szCs w:val="20"/>
        </w:rPr>
      </w:pPr>
    </w:p>
    <w:p w14:paraId="451AA04B" w14:textId="77777777" w:rsidR="00C064EF" w:rsidRPr="00C064EF" w:rsidRDefault="00C064EF" w:rsidP="00C064EF">
      <w:pPr>
        <w:spacing w:line="259" w:lineRule="auto"/>
        <w:jc w:val="both"/>
        <w:rPr>
          <w:rFonts w:ascii="Garamond" w:hAnsi="Garamond"/>
          <w:b/>
          <w:bCs/>
          <w:iCs/>
          <w:sz w:val="20"/>
          <w:szCs w:val="20"/>
          <w:lang w:val="en-GB"/>
        </w:rPr>
      </w:pPr>
      <w:r w:rsidRPr="00C064EF">
        <w:rPr>
          <w:rFonts w:ascii="Garamond" w:hAnsi="Garamond"/>
          <w:b/>
          <w:bCs/>
          <w:iCs/>
          <w:sz w:val="20"/>
          <w:szCs w:val="20"/>
          <w:lang w:val="en-GB"/>
        </w:rPr>
        <w:t xml:space="preserve">Variables of the Study </w:t>
      </w:r>
    </w:p>
    <w:p w14:paraId="29842E65" w14:textId="77777777" w:rsidR="00C064EF" w:rsidRPr="00C064EF"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Dependent Variable</w:t>
      </w:r>
      <w:r w:rsidRPr="00C064EF">
        <w:rPr>
          <w:rFonts w:ascii="Garamond" w:hAnsi="Garamond"/>
          <w:bCs/>
          <w:iCs/>
          <w:sz w:val="20"/>
          <w:szCs w:val="20"/>
          <w:lang w:val="en-GB"/>
        </w:rPr>
        <w:t>: Nutritional Knowledge, Minimum Dietary Diversity for Women (MDD-W), Nutritional Status (Mid Upper Arm Circumference), Packed Cell Volume, Serum Vitamin B12</w:t>
      </w:r>
    </w:p>
    <w:p w14:paraId="4EF4A7AA" w14:textId="77777777" w:rsidR="00C064EF" w:rsidRPr="00C064EF"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Independent Variables</w:t>
      </w:r>
      <w:r w:rsidRPr="000B2BA8">
        <w:rPr>
          <w:rFonts w:ascii="Garamond" w:hAnsi="Garamond"/>
          <w:bCs/>
          <w:i/>
          <w:sz w:val="20"/>
          <w:szCs w:val="20"/>
          <w:lang w:val="en-GB"/>
        </w:rPr>
        <w:t>:</w:t>
      </w:r>
      <w:r w:rsidRPr="00C064EF">
        <w:rPr>
          <w:rFonts w:ascii="Garamond" w:hAnsi="Garamond"/>
          <w:bCs/>
          <w:iCs/>
          <w:sz w:val="20"/>
          <w:szCs w:val="20"/>
          <w:lang w:val="en-GB"/>
        </w:rPr>
        <w:t xml:space="preserve"> Socio-demographic Factors such as age, educational status, marital status, place of residence among others.  </w:t>
      </w:r>
    </w:p>
    <w:p w14:paraId="61592782" w14:textId="25096FB1" w:rsidR="00C064EF" w:rsidRPr="00C064EF" w:rsidRDefault="00C064EF" w:rsidP="00C064EF">
      <w:pPr>
        <w:spacing w:line="259" w:lineRule="auto"/>
        <w:jc w:val="both"/>
        <w:rPr>
          <w:rFonts w:ascii="Garamond" w:hAnsi="Garamond"/>
          <w:bCs/>
          <w:iCs/>
          <w:sz w:val="20"/>
          <w:szCs w:val="20"/>
          <w:vertAlign w:val="superscript"/>
          <w:lang w:val="en-GB"/>
        </w:rPr>
      </w:pPr>
      <w:bookmarkStart w:id="8" w:name="_Hlk125283317"/>
      <w:bookmarkStart w:id="9" w:name="_Hlk125283735"/>
      <w:bookmarkStart w:id="10" w:name="_Hlk129045277"/>
      <w:r w:rsidRPr="000B2BA8">
        <w:rPr>
          <w:rFonts w:ascii="Garamond" w:hAnsi="Garamond"/>
          <w:b/>
          <w:bCs/>
          <w:i/>
          <w:sz w:val="20"/>
          <w:szCs w:val="20"/>
          <w:lang w:val="en-GB"/>
        </w:rPr>
        <w:t>Sample Size Determination</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The sample size was calculated using the formula for prevalence studies.</w:t>
      </w:r>
      <w:r w:rsidRPr="00C064EF">
        <w:rPr>
          <w:rFonts w:ascii="Garamond" w:hAnsi="Garamond"/>
          <w:bCs/>
          <w:iCs/>
          <w:sz w:val="20"/>
          <w:szCs w:val="20"/>
          <w:vertAlign w:val="superscript"/>
          <w:lang w:val="en-GB"/>
        </w:rPr>
        <w:t>19</w:t>
      </w:r>
    </w:p>
    <w:p w14:paraId="344D8ADB"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 xml:space="preserve">n =       </w:t>
      </w:r>
      <w:r w:rsidRPr="00C064EF">
        <w:rPr>
          <w:rFonts w:ascii="Garamond" w:hAnsi="Garamond"/>
          <w:bCs/>
          <w:iCs/>
          <w:sz w:val="20"/>
          <w:szCs w:val="20"/>
          <w:u w:val="single"/>
          <w:lang w:val="en-GB"/>
        </w:rPr>
        <w:t>Z²p(1-p)</w:t>
      </w:r>
    </w:p>
    <w:p w14:paraId="1DD4CB3A"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
          <w:bCs/>
          <w:iCs/>
          <w:sz w:val="20"/>
          <w:szCs w:val="20"/>
          <w:lang w:val="en-GB"/>
        </w:rPr>
        <w:t xml:space="preserve">               </w:t>
      </w:r>
      <w:r w:rsidRPr="00C064EF">
        <w:rPr>
          <w:rFonts w:ascii="Garamond" w:hAnsi="Garamond"/>
          <w:bCs/>
          <w:iCs/>
          <w:sz w:val="20"/>
          <w:szCs w:val="20"/>
          <w:lang w:val="en-GB"/>
        </w:rPr>
        <w:t>D²</w:t>
      </w:r>
    </w:p>
    <w:p w14:paraId="0785377B"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The calculation of the sample size was based on prevalence of acute malnutrition among adolescent girls and women in Bauchi state at 13% from a previous study,</w:t>
      </w:r>
      <w:r w:rsidRPr="00C064EF">
        <w:rPr>
          <w:rFonts w:ascii="Garamond" w:hAnsi="Garamond"/>
          <w:bCs/>
          <w:iCs/>
          <w:sz w:val="20"/>
          <w:szCs w:val="20"/>
          <w:vertAlign w:val="superscript"/>
          <w:lang w:val="en-GB"/>
        </w:rPr>
        <w:t xml:space="preserve">12 </w:t>
      </w:r>
      <w:r w:rsidRPr="00C064EF">
        <w:rPr>
          <w:rFonts w:ascii="Garamond" w:hAnsi="Garamond"/>
          <w:bCs/>
          <w:iCs/>
          <w:sz w:val="20"/>
          <w:szCs w:val="20"/>
          <w:lang w:val="en-GB"/>
        </w:rPr>
        <w:t xml:space="preserve">with adjustments made for a 5% margin of error. </w:t>
      </w:r>
      <w:bookmarkEnd w:id="8"/>
      <w:bookmarkEnd w:id="9"/>
      <w:bookmarkEnd w:id="10"/>
    </w:p>
    <w:p w14:paraId="1CAE2122"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Parameters:</w:t>
      </w:r>
    </w:p>
    <w:p w14:paraId="5F39D8B6"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Z=1.96 (95% confidence)</w:t>
      </w:r>
    </w:p>
    <w:p w14:paraId="493BA345"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P=0.13 (13% prevalence)</w:t>
      </w:r>
    </w:p>
    <w:p w14:paraId="0FF37027"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D=0.05 (5% margin of error)</w:t>
      </w:r>
    </w:p>
    <w:p w14:paraId="092232BB"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 xml:space="preserve">=       </w:t>
      </w:r>
      <w:r w:rsidRPr="00C064EF">
        <w:rPr>
          <w:rFonts w:ascii="Garamond" w:hAnsi="Garamond"/>
          <w:bCs/>
          <w:iCs/>
          <w:sz w:val="20"/>
          <w:szCs w:val="20"/>
          <w:u w:val="single"/>
          <w:lang w:val="en-GB"/>
        </w:rPr>
        <w:t>1.96² x 0.13(0.87)</w:t>
      </w:r>
    </w:p>
    <w:p w14:paraId="0000EA02"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
          <w:bCs/>
          <w:iCs/>
          <w:sz w:val="20"/>
          <w:szCs w:val="20"/>
          <w:lang w:val="en-GB"/>
        </w:rPr>
        <w:t xml:space="preserve">               </w:t>
      </w:r>
      <w:r w:rsidRPr="00C064EF">
        <w:rPr>
          <w:rFonts w:ascii="Garamond" w:hAnsi="Garamond"/>
          <w:bCs/>
          <w:iCs/>
          <w:sz w:val="20"/>
          <w:szCs w:val="20"/>
          <w:lang w:val="en-GB"/>
        </w:rPr>
        <w:t xml:space="preserve">    0.05²</w:t>
      </w:r>
    </w:p>
    <w:p w14:paraId="3E1DF970"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0.13×0.87=0.1131</w:t>
      </w:r>
    </w:p>
    <w:p w14:paraId="1EF705B3"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u w:val="single"/>
          <w:lang w:val="en-GB"/>
        </w:rPr>
        <w:t>1.96² x 0.1131</w:t>
      </w:r>
    </w:p>
    <w:p w14:paraId="05A25449"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
          <w:bCs/>
          <w:iCs/>
          <w:sz w:val="20"/>
          <w:szCs w:val="20"/>
          <w:lang w:val="en-GB"/>
        </w:rPr>
        <w:t>      </w:t>
      </w:r>
      <w:r w:rsidRPr="00C064EF">
        <w:rPr>
          <w:rFonts w:ascii="Garamond" w:hAnsi="Garamond"/>
          <w:bCs/>
          <w:iCs/>
          <w:sz w:val="20"/>
          <w:szCs w:val="20"/>
          <w:lang w:val="en-GB"/>
        </w:rPr>
        <w:t xml:space="preserve"> 0.05²</w:t>
      </w:r>
    </w:p>
    <w:p w14:paraId="3F882719" w14:textId="77777777" w:rsidR="00C064EF" w:rsidRPr="00C064EF" w:rsidRDefault="00C064EF" w:rsidP="00C064EF">
      <w:pPr>
        <w:spacing w:line="259" w:lineRule="auto"/>
        <w:jc w:val="both"/>
        <w:rPr>
          <w:rFonts w:ascii="Garamond" w:hAnsi="Garamond"/>
          <w:bCs/>
          <w:iCs/>
          <w:sz w:val="20"/>
          <w:szCs w:val="20"/>
          <w:lang w:val="en-GB"/>
        </w:rPr>
      </w:pPr>
    </w:p>
    <w:p w14:paraId="6550B4DC"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 xml:space="preserve">=         </w:t>
      </w:r>
      <w:r w:rsidRPr="00C064EF">
        <w:rPr>
          <w:rFonts w:ascii="Garamond" w:hAnsi="Garamond"/>
          <w:bCs/>
          <w:iCs/>
          <w:sz w:val="20"/>
          <w:szCs w:val="20"/>
          <w:u w:val="single"/>
          <w:lang w:val="en-GB"/>
        </w:rPr>
        <w:t>0.4345</w:t>
      </w:r>
    </w:p>
    <w:p w14:paraId="64374066"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            0.0025</w:t>
      </w:r>
    </w:p>
    <w:p w14:paraId="36AE7926"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=173.8≈174</w:t>
      </w:r>
    </w:p>
    <w:p w14:paraId="5E6A7674"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To account for the multistage sampling technique and clustering effects arising from the selection of two primary health centres, a modest design effect of 1.1 was applied due to the limited number of clusters:</w:t>
      </w:r>
    </w:p>
    <w:p w14:paraId="354F1D34" w14:textId="77777777" w:rsidR="00C064EF" w:rsidRPr="00C064EF" w:rsidRDefault="00C064EF" w:rsidP="00C064EF">
      <w:pPr>
        <w:spacing w:line="259" w:lineRule="auto"/>
        <w:jc w:val="both"/>
        <w:rPr>
          <w:rFonts w:ascii="Garamond" w:hAnsi="Garamond"/>
          <w:bCs/>
          <w:iCs/>
          <w:sz w:val="20"/>
          <w:szCs w:val="20"/>
          <w:lang w:val="en-GB"/>
        </w:rPr>
      </w:pPr>
      <w:proofErr w:type="spellStart"/>
      <w:r w:rsidRPr="00C064EF">
        <w:rPr>
          <w:rFonts w:ascii="Garamond" w:hAnsi="Garamond"/>
          <w:bCs/>
          <w:iCs/>
          <w:sz w:val="20"/>
          <w:szCs w:val="20"/>
          <w:lang w:val="en-GB"/>
        </w:rPr>
        <w:t>Deff</w:t>
      </w:r>
      <w:proofErr w:type="spellEnd"/>
      <w:r w:rsidRPr="00C064EF">
        <w:rPr>
          <w:rFonts w:ascii="Garamond" w:hAnsi="Garamond"/>
          <w:bCs/>
          <w:iCs/>
          <w:sz w:val="20"/>
          <w:szCs w:val="20"/>
          <w:lang w:val="en-GB"/>
        </w:rPr>
        <w:t xml:space="preserve"> (1.1) = 174×1.1= 191.4</w:t>
      </w:r>
    </w:p>
    <w:p w14:paraId="3D2408FD" w14:textId="77777777" w:rsidR="00300ECA" w:rsidRPr="00105DB3" w:rsidRDefault="00C064EF" w:rsidP="00300ECA">
      <w:pPr>
        <w:rPr>
          <w:rFonts w:ascii="Garamond" w:hAnsi="Garamond" w:cs="Times New Roman"/>
          <w:sz w:val="20"/>
          <w:szCs w:val="20"/>
        </w:rPr>
      </w:pPr>
      <w:r w:rsidRPr="00C064EF">
        <w:rPr>
          <w:rFonts w:ascii="Garamond" w:hAnsi="Garamond"/>
          <w:bCs/>
          <w:iCs/>
          <w:noProof/>
          <w:sz w:val="20"/>
          <w:szCs w:val="20"/>
          <w:lang w:val="en-GB"/>
        </w:rPr>
        <mc:AlternateContent>
          <mc:Choice Requires="wps">
            <w:drawing>
              <wp:anchor distT="0" distB="0" distL="0" distR="0" simplePos="0" relativeHeight="251669504" behindDoc="0" locked="0" layoutInCell="1" allowOverlap="1" wp14:anchorId="7F31DD06" wp14:editId="36F93155">
                <wp:simplePos x="0" y="0"/>
                <wp:positionH relativeFrom="column">
                  <wp:posOffset>2426677</wp:posOffset>
                </wp:positionH>
                <wp:positionV relativeFrom="paragraph">
                  <wp:posOffset>163293</wp:posOffset>
                </wp:positionV>
                <wp:extent cx="435561" cy="0"/>
                <wp:effectExtent l="0" t="0" r="22225" b="19050"/>
                <wp:wrapNone/>
                <wp:docPr id="1046"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5561" cy="0"/>
                        </a:xfrm>
                        <a:prstGeom prst="line">
                          <a:avLst/>
                        </a:prstGeom>
                        <a:ln w="6350" cap="flat" cmpd="sng">
                          <a:solidFill>
                            <a:srgbClr val="000000"/>
                          </a:solidFill>
                          <a:prstDash val="solid"/>
                          <a:miter/>
                          <a:headEnd/>
                          <a:tailEnd/>
                        </a:ln>
                      </wps:spPr>
                      <wps:bodyPr/>
                    </wps:wsp>
                  </a:graphicData>
                </a:graphic>
                <wp14:sizeRelH relativeFrom="margin">
                  <wp14:pctWidth>0</wp14:pctWidth>
                </wp14:sizeRelH>
                <wp14:sizeRelV relativeFrom="margin">
                  <wp14:pctHeight>0</wp14:pctHeight>
                </wp14:sizeRelV>
              </wp:anchor>
            </w:drawing>
          </mc:Choice>
          <mc:Fallback>
            <w:pict>
              <v:line w14:anchorId="103066C3" id="Straight Connector 15" o:spid="_x0000_s1026" style="position:absolute;flip:y;z-index:2516695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 from="191.1pt,12.85pt" to="225.4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" strokeweight=".5pt">
                <v:stroke joinstyle="miter"/>
                <o:lock v:ext="edit" shapetype="f"/>
              </v:line>
            </w:pict>
          </mc:Fallback>
        </mc:AlternateContent>
      </w:r>
      <w:r w:rsidR="00300ECA" w:rsidRPr="00105DB3">
        <w:rPr>
          <w:rFonts w:ascii="Garamond" w:hAnsi="Garamond" w:cs="Times New Roman"/>
          <w:sz w:val="20"/>
          <w:szCs w:val="20"/>
        </w:rPr>
        <w:t xml:space="preserve">10% adjustment for non-response rate= </w:t>
      </w:r>
    </w:p>
    <w:p w14:paraId="5B40AE7B" w14:textId="04D20803" w:rsidR="00C064EF" w:rsidRPr="00300ECA" w:rsidRDefault="00300ECA" w:rsidP="00C064EF">
      <w:pPr>
        <w:spacing w:line="259" w:lineRule="auto"/>
        <w:jc w:val="both"/>
        <w:rPr>
          <w:rFonts w:ascii="Garamond" w:hAnsi="Garamond"/>
          <w:bCs/>
          <w:iCs/>
          <w:sz w:val="20"/>
          <w:szCs w:val="20"/>
          <w:lang w:val="en-GB"/>
        </w:rPr>
      </w:pPr>
      <w:r w:rsidRPr="00105DB3">
        <w:rPr>
          <w:rFonts w:ascii="Garamond" w:hAnsi="Garamond" w:cs="Times New Roman"/>
          <w:noProof/>
          <w:sz w:val="20"/>
          <w:szCs w:val="20"/>
          <w:lang w:val="en-GB" w:eastAsia="en-GB"/>
        </w:rPr>
        <mc:AlternateContent>
          <mc:Choice Requires="wps">
            <w:drawing>
              <wp:anchor distT="0" distB="0" distL="114300" distR="114300" simplePos="0" relativeHeight="251674624" behindDoc="0" locked="0" layoutInCell="1" allowOverlap="1" wp14:anchorId="17D5E0E6" wp14:editId="0321A57C">
                <wp:simplePos x="0" y="0"/>
                <wp:positionH relativeFrom="column">
                  <wp:posOffset>1270</wp:posOffset>
                </wp:positionH>
                <wp:positionV relativeFrom="paragraph">
                  <wp:posOffset>163830</wp:posOffset>
                </wp:positionV>
                <wp:extent cx="368300" cy="0"/>
                <wp:effectExtent l="0" t="0" r="31750" b="19050"/>
                <wp:wrapNone/>
                <wp:docPr id="309021059" name="Straight Connector 309021059"/>
                <wp:cNvGraphicFramePr/>
                <a:graphic xmlns:a="http://schemas.openxmlformats.org/drawingml/2006/main">
                  <a:graphicData uri="http://schemas.microsoft.com/office/word/2010/wordprocessingShape">
                    <wps:wsp>
                      <wps:cNvCnPr/>
                      <wps:spPr>
                        <a:xfrm>
                          <a:off x="0" y="0"/>
                          <a:ext cx="368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E1BDCB" id="Straight Connector 309021059"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pt,12.9pt" to="29.1pt,12.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" strokecolor="#5b9bd5 [3204]" strokeweight=".5pt">
                <v:stroke joinstyle="miter"/>
              </v:line>
            </w:pict>
          </mc:Fallback>
        </mc:AlternateContent>
      </w:r>
      <w:r w:rsidRPr="00105DB3">
        <w:rPr>
          <w:rFonts w:ascii="Garamond" w:hAnsi="Garamond" w:cs="Times New Roman"/>
          <w:sz w:val="20"/>
          <w:szCs w:val="20"/>
        </w:rPr>
        <w:t xml:space="preserve">191.4                                                                                                    0.9     </w:t>
      </w:r>
      <w:r>
        <w:rPr>
          <w:rFonts w:ascii="Garamond" w:hAnsi="Garamond" w:cs="Times New Roman"/>
          <w:sz w:val="20"/>
          <w:szCs w:val="20"/>
        </w:rPr>
        <w:t xml:space="preserve">      </w:t>
      </w:r>
      <w:r w:rsidR="00C064EF" w:rsidRPr="00C064EF">
        <w:rPr>
          <w:rFonts w:ascii="Garamond" w:hAnsi="Garamond"/>
          <w:bCs/>
          <w:iCs/>
          <w:sz w:val="20"/>
          <w:szCs w:val="20"/>
          <w:lang w:val="en-GB"/>
        </w:rPr>
        <w:t xml:space="preserve">= 212.7≈213                                                                  </w:t>
      </w:r>
    </w:p>
    <w:p w14:paraId="0F3BBB48" w14:textId="5C1BF459" w:rsidR="00C064EF" w:rsidRPr="00300ECA"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Data Collection Instruments and Methods</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 xml:space="preserve">Data collection for the study involved the use of interviewer-administered questionnaires comprising questions on social-demographics, nutrition knowledge, dietary diversity, and health behaviours of the respondents. </w:t>
      </w:r>
    </w:p>
    <w:p w14:paraId="02D458AA" w14:textId="3779DDFD" w:rsidR="00C064EF" w:rsidRPr="00300ECA"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Assessment of Subjects Nutrition Knowledge</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 xml:space="preserve">Respondent’s nutrition knowledge </w:t>
      </w:r>
      <w:proofErr w:type="gramStart"/>
      <w:r w:rsidRPr="00C064EF">
        <w:rPr>
          <w:rFonts w:ascii="Garamond" w:hAnsi="Garamond"/>
          <w:bCs/>
          <w:iCs/>
          <w:sz w:val="20"/>
          <w:szCs w:val="20"/>
          <w:lang w:val="en-GB"/>
        </w:rPr>
        <w:t>were</w:t>
      </w:r>
      <w:proofErr w:type="gramEnd"/>
      <w:r w:rsidRPr="00C064EF">
        <w:rPr>
          <w:rFonts w:ascii="Garamond" w:hAnsi="Garamond"/>
          <w:bCs/>
          <w:iCs/>
          <w:sz w:val="20"/>
          <w:szCs w:val="20"/>
          <w:lang w:val="en-GB"/>
        </w:rPr>
        <w:t xml:space="preserve"> evaluated using a twenty-point questionnaire on key aspects on health and nutrition during pregnancy. The nutrition knowledge scores were categorised as “high" for participants who scored 16 or more marks, "medium" for those who scored 11–15 marks and “low” for those who scored 10 or less out of a total possible score of 20.</w:t>
      </w:r>
      <w:r w:rsidRPr="00C064EF">
        <w:rPr>
          <w:rFonts w:ascii="Garamond" w:hAnsi="Garamond"/>
          <w:bCs/>
          <w:iCs/>
          <w:sz w:val="20"/>
          <w:szCs w:val="20"/>
          <w:vertAlign w:val="superscript"/>
          <w:lang w:val="en-GB"/>
        </w:rPr>
        <w:t>18</w:t>
      </w:r>
      <w:r w:rsidRPr="00C064EF">
        <w:rPr>
          <w:rFonts w:ascii="Garamond" w:hAnsi="Garamond"/>
          <w:bCs/>
          <w:iCs/>
          <w:sz w:val="20"/>
          <w:szCs w:val="20"/>
          <w:lang w:val="en-GB"/>
        </w:rPr>
        <w:t xml:space="preserve"> The questionnaire was forward- and back-translated from English to Hausa by two independent bilingual nutritionists to ensure accuracy and cultural relevance and it was pretested (n=25 pregnant adolescents) in a similar Bauchi LGA. Cronbach's alpha was 0.82, indicating good internal consistency.</w:t>
      </w:r>
    </w:p>
    <w:p w14:paraId="3F6BE6CB" w14:textId="7C65E021" w:rsidR="00C064EF" w:rsidRPr="00C064EF"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Dietary Diversity Assessment of the respondents</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Dietary diversity of the study participants was evaluated using the Food and Agriculture Organisation (FAO) Minimum Dietary Diversity for Women (MDD-W) questionnaire.</w:t>
      </w:r>
      <w:r w:rsidRPr="00C064EF">
        <w:rPr>
          <w:rFonts w:ascii="Garamond" w:hAnsi="Garamond"/>
          <w:bCs/>
          <w:iCs/>
          <w:sz w:val="20"/>
          <w:szCs w:val="20"/>
          <w:vertAlign w:val="superscript"/>
          <w:lang w:val="en-GB"/>
        </w:rPr>
        <w:t xml:space="preserve">13 </w:t>
      </w:r>
      <w:r w:rsidRPr="00C064EF">
        <w:rPr>
          <w:rFonts w:ascii="Garamond" w:hAnsi="Garamond"/>
          <w:bCs/>
          <w:iCs/>
          <w:sz w:val="20"/>
          <w:szCs w:val="20"/>
          <w:lang w:val="en-GB"/>
        </w:rPr>
        <w:t xml:space="preserve">It involved collection of information on all foods and beverages study participants consumed during the previous day and night (In the last 24-hours). Probing techniques was employed by trained research assistants, using open-ended questions such as ‘what did you eat yesterday from morning to night? Any soups, fruits, snacks, drinks? Foods were categorized into 10 </w:t>
      </w:r>
      <w:r w:rsidRPr="00C064EF">
        <w:rPr>
          <w:rFonts w:ascii="Garamond" w:hAnsi="Garamond"/>
          <w:bCs/>
          <w:iCs/>
          <w:sz w:val="20"/>
          <w:szCs w:val="20"/>
          <w:lang w:val="en-GB"/>
        </w:rPr>
        <w:lastRenderedPageBreak/>
        <w:t>groups according to FAO recommendations:</w:t>
      </w:r>
      <w:r w:rsidRPr="00C064EF">
        <w:rPr>
          <w:rFonts w:ascii="Garamond" w:hAnsi="Garamond"/>
          <w:bCs/>
          <w:iCs/>
          <w:sz w:val="20"/>
          <w:szCs w:val="20"/>
          <w:vertAlign w:val="superscript"/>
          <w:lang w:val="en-GB"/>
        </w:rPr>
        <w:t>13</w:t>
      </w:r>
      <w:r w:rsidRPr="00C064EF">
        <w:rPr>
          <w:rFonts w:ascii="Garamond" w:hAnsi="Garamond"/>
          <w:bCs/>
          <w:iCs/>
          <w:sz w:val="20"/>
          <w:szCs w:val="20"/>
          <w:lang w:val="en-GB"/>
        </w:rPr>
        <w:t xml:space="preserve"> (</w:t>
      </w:r>
      <w:proofErr w:type="spellStart"/>
      <w:r w:rsidRPr="00C064EF">
        <w:rPr>
          <w:rFonts w:ascii="Garamond" w:hAnsi="Garamond"/>
          <w:bCs/>
          <w:iCs/>
          <w:sz w:val="20"/>
          <w:szCs w:val="20"/>
          <w:lang w:val="en-GB"/>
        </w:rPr>
        <w:t>i</w:t>
      </w:r>
      <w:proofErr w:type="spellEnd"/>
      <w:r w:rsidRPr="00C064EF">
        <w:rPr>
          <w:rFonts w:ascii="Garamond" w:hAnsi="Garamond"/>
          <w:bCs/>
          <w:iCs/>
          <w:sz w:val="20"/>
          <w:szCs w:val="20"/>
          <w:lang w:val="en-GB"/>
        </w:rPr>
        <w:t xml:space="preserve">) all starchy staples, (ii)beans and peas, iii) nuts and </w:t>
      </w:r>
      <w:r w:rsidR="000B2BA8" w:rsidRPr="00C064EF">
        <w:rPr>
          <w:rFonts w:ascii="Garamond" w:hAnsi="Garamond"/>
          <w:bCs/>
          <w:iCs/>
          <w:sz w:val="20"/>
          <w:szCs w:val="20"/>
          <w:lang w:val="en-GB"/>
        </w:rPr>
        <w:t>seeds, (</w:t>
      </w:r>
      <w:r w:rsidRPr="00C064EF">
        <w:rPr>
          <w:rFonts w:ascii="Garamond" w:hAnsi="Garamond"/>
          <w:bCs/>
          <w:iCs/>
          <w:sz w:val="20"/>
          <w:szCs w:val="20"/>
          <w:lang w:val="en-GB"/>
        </w:rPr>
        <w:t>iv) all dairy, (v) flesh foods,</w:t>
      </w:r>
      <w:r w:rsidR="000B2BA8">
        <w:rPr>
          <w:rFonts w:ascii="Garamond" w:hAnsi="Garamond"/>
          <w:bCs/>
          <w:iCs/>
          <w:sz w:val="20"/>
          <w:szCs w:val="20"/>
          <w:lang w:val="en-GB"/>
        </w:rPr>
        <w:t xml:space="preserve"> </w:t>
      </w:r>
      <w:r w:rsidRPr="00C064EF">
        <w:rPr>
          <w:rFonts w:ascii="Garamond" w:hAnsi="Garamond"/>
          <w:bCs/>
          <w:iCs/>
          <w:sz w:val="20"/>
          <w:szCs w:val="20"/>
          <w:lang w:val="en-GB"/>
        </w:rPr>
        <w:t>(vi) eggs, (vii) vitamin A-rich dark green leafy vegetables,</w:t>
      </w:r>
      <w:r w:rsidR="000B2BA8">
        <w:rPr>
          <w:rFonts w:ascii="Garamond" w:hAnsi="Garamond"/>
          <w:bCs/>
          <w:iCs/>
          <w:sz w:val="20"/>
          <w:szCs w:val="20"/>
          <w:lang w:val="en-GB"/>
        </w:rPr>
        <w:t xml:space="preserve"> </w:t>
      </w:r>
      <w:r w:rsidRPr="00C064EF">
        <w:rPr>
          <w:rFonts w:ascii="Garamond" w:hAnsi="Garamond"/>
          <w:bCs/>
          <w:iCs/>
          <w:sz w:val="20"/>
          <w:szCs w:val="20"/>
          <w:lang w:val="en-GB"/>
        </w:rPr>
        <w:t xml:space="preserve">(viii) other vitamin A-rich vegetables and fruits, (ix) other vegetables, (x) other fruits. Each food group consumed was assigned 1 point, and a 0 score was given if no food from the group was consumed. </w:t>
      </w:r>
    </w:p>
    <w:p w14:paraId="057456FF" w14:textId="5945FCB7" w:rsidR="00C064EF" w:rsidRPr="00300ECA" w:rsidRDefault="00C064EF" w:rsidP="00C064EF">
      <w:pPr>
        <w:spacing w:line="259" w:lineRule="auto"/>
        <w:jc w:val="both"/>
        <w:rPr>
          <w:rFonts w:ascii="Garamond" w:hAnsi="Garamond"/>
          <w:bCs/>
          <w:iCs/>
          <w:sz w:val="20"/>
          <w:szCs w:val="20"/>
          <w:vertAlign w:val="superscript"/>
          <w:lang w:val="en-GB"/>
        </w:rPr>
      </w:pPr>
      <w:r w:rsidRPr="00C064EF">
        <w:rPr>
          <w:rFonts w:ascii="Garamond" w:hAnsi="Garamond"/>
          <w:bCs/>
          <w:iCs/>
          <w:sz w:val="20"/>
          <w:szCs w:val="20"/>
          <w:lang w:val="en-GB"/>
        </w:rPr>
        <w:t>The minimum dietary diversity score was calculated by adding the number of food groups consumed. Participants who consumed at least five food groups were classified as having adequate dietary diversity (MDD-W ≥5).</w:t>
      </w:r>
      <w:r w:rsidRPr="00C064EF">
        <w:rPr>
          <w:rFonts w:ascii="Garamond" w:hAnsi="Garamond"/>
          <w:bCs/>
          <w:iCs/>
          <w:sz w:val="20"/>
          <w:szCs w:val="20"/>
          <w:vertAlign w:val="superscript"/>
          <w:lang w:val="en-GB"/>
        </w:rPr>
        <w:t>13</w:t>
      </w:r>
      <w:r w:rsidR="000B2BA8">
        <w:rPr>
          <w:rFonts w:ascii="Garamond" w:hAnsi="Garamond"/>
          <w:bCs/>
          <w:iCs/>
          <w:sz w:val="20"/>
          <w:szCs w:val="20"/>
          <w:vertAlign w:val="superscript"/>
          <w:lang w:val="en-GB"/>
        </w:rPr>
        <w:t xml:space="preserve"> </w:t>
      </w:r>
      <w:r w:rsidRPr="00C064EF">
        <w:rPr>
          <w:rFonts w:ascii="Garamond" w:hAnsi="Garamond"/>
          <w:bCs/>
          <w:iCs/>
          <w:sz w:val="20"/>
          <w:szCs w:val="20"/>
          <w:lang w:val="en-GB"/>
        </w:rPr>
        <w:t>Data collection was done between March and June, 2025, a period conforming to the late dry season and the onset of the rainy season.</w:t>
      </w:r>
    </w:p>
    <w:p w14:paraId="4486A13B" w14:textId="1D5FF630" w:rsidR="00C064EF" w:rsidRPr="000B2BA8" w:rsidRDefault="00C064EF" w:rsidP="00C064EF">
      <w:pPr>
        <w:spacing w:line="259" w:lineRule="auto"/>
        <w:jc w:val="both"/>
        <w:rPr>
          <w:rFonts w:ascii="Garamond" w:hAnsi="Garamond"/>
          <w:bCs/>
          <w:i/>
          <w:sz w:val="20"/>
          <w:szCs w:val="20"/>
          <w:lang w:val="en-GB"/>
        </w:rPr>
      </w:pPr>
      <w:r w:rsidRPr="000B2BA8">
        <w:rPr>
          <w:rFonts w:ascii="Garamond" w:hAnsi="Garamond"/>
          <w:b/>
          <w:bCs/>
          <w:i/>
          <w:sz w:val="20"/>
          <w:szCs w:val="20"/>
          <w:lang w:val="en-GB"/>
        </w:rPr>
        <w:t>Nutritional Status Assessment of the Respondents</w:t>
      </w:r>
    </w:p>
    <w:p w14:paraId="63D0B34C" w14:textId="77B6C0E9" w:rsidR="00C064EF" w:rsidRPr="00C16735"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Mid-Upper Arm Circumference (MUAC)</w:t>
      </w:r>
      <w:r w:rsidR="000B2BA8" w:rsidRPr="000B2BA8">
        <w:rPr>
          <w:rFonts w:ascii="Garamond" w:hAnsi="Garamond"/>
          <w:b/>
          <w:bCs/>
          <w:i/>
          <w:sz w:val="20"/>
          <w:szCs w:val="20"/>
          <w:lang w:val="en-GB"/>
        </w:rPr>
        <w:t>:</w:t>
      </w:r>
      <w:r w:rsidR="000B2BA8">
        <w:rPr>
          <w:rFonts w:ascii="Garamond" w:hAnsi="Garamond"/>
          <w:b/>
          <w:bCs/>
          <w:iCs/>
          <w:sz w:val="20"/>
          <w:szCs w:val="20"/>
          <w:lang w:val="en-GB"/>
        </w:rPr>
        <w:t xml:space="preserve"> </w:t>
      </w:r>
      <w:r w:rsidRPr="00C064EF">
        <w:rPr>
          <w:rFonts w:ascii="Garamond" w:hAnsi="Garamond"/>
          <w:bCs/>
          <w:iCs/>
          <w:sz w:val="20"/>
          <w:szCs w:val="20"/>
          <w:lang w:val="en-GB"/>
        </w:rPr>
        <w:t>Mid-Upper Arm Circumference was measured to determine the nutritional status of pregnant adolescent girls. It is an excellent indicator of protein reserves in an individual’s body and a thinner arm signifies wasted lean mass (undernutrition).</w:t>
      </w:r>
      <w:r w:rsidRPr="00C064EF">
        <w:rPr>
          <w:rFonts w:ascii="Garamond" w:hAnsi="Garamond"/>
          <w:bCs/>
          <w:iCs/>
          <w:sz w:val="20"/>
          <w:szCs w:val="20"/>
          <w:vertAlign w:val="superscript"/>
          <w:lang w:val="en-GB"/>
        </w:rPr>
        <w:t xml:space="preserve">20 </w:t>
      </w:r>
      <w:r w:rsidRPr="00C064EF">
        <w:rPr>
          <w:rFonts w:ascii="Garamond" w:hAnsi="Garamond"/>
          <w:bCs/>
          <w:iCs/>
          <w:sz w:val="20"/>
          <w:szCs w:val="20"/>
          <w:lang w:val="en-GB"/>
        </w:rPr>
        <w:t>It was measured on the left arm using a non-stretchable MUAC tape (Shakir tape), following documented standard measurement procedures.</w:t>
      </w:r>
      <w:r w:rsidRPr="00C064EF">
        <w:rPr>
          <w:rFonts w:ascii="Garamond" w:hAnsi="Garamond"/>
          <w:bCs/>
          <w:iCs/>
          <w:sz w:val="20"/>
          <w:szCs w:val="20"/>
          <w:vertAlign w:val="superscript"/>
          <w:lang w:val="en-GB"/>
        </w:rPr>
        <w:t>20</w:t>
      </w:r>
      <w:r w:rsidRPr="00C064EF">
        <w:rPr>
          <w:rFonts w:ascii="Garamond" w:hAnsi="Garamond"/>
          <w:bCs/>
          <w:iCs/>
          <w:sz w:val="20"/>
          <w:szCs w:val="20"/>
          <w:lang w:val="en-GB"/>
        </w:rPr>
        <w:t xml:space="preserve"> Measurements were taken at the midpoint between the acromion process of the left scapula and olecranon process of the left ulna with the arm relaxed.</w:t>
      </w:r>
      <w:r w:rsidRPr="00C064EF">
        <w:rPr>
          <w:rFonts w:ascii="Garamond" w:hAnsi="Garamond"/>
          <w:bCs/>
          <w:iCs/>
          <w:sz w:val="20"/>
          <w:szCs w:val="20"/>
          <w:vertAlign w:val="superscript"/>
          <w:lang w:val="en-GB"/>
        </w:rPr>
        <w:t>20</w:t>
      </w:r>
      <w:r w:rsidRPr="00C064EF">
        <w:rPr>
          <w:rFonts w:ascii="Garamond" w:hAnsi="Garamond"/>
          <w:bCs/>
          <w:iCs/>
          <w:sz w:val="20"/>
          <w:szCs w:val="20"/>
          <w:lang w:val="en-GB"/>
        </w:rPr>
        <w:t xml:space="preserve"> The measurement was taken twice by trained research assistants, and the average number recorded when the difference between both measurements was ≤0.2cm. Where the difference exceeded 0.2cm, a third measurement was taken and the average of the two closest values recorded to improve reliability.</w:t>
      </w:r>
    </w:p>
    <w:p w14:paraId="48B040CE" w14:textId="5B3A3A05" w:rsidR="00C064EF" w:rsidRPr="00C064EF" w:rsidRDefault="00C064EF" w:rsidP="00C064EF">
      <w:pPr>
        <w:spacing w:line="259" w:lineRule="auto"/>
        <w:jc w:val="both"/>
        <w:rPr>
          <w:rFonts w:ascii="Garamond" w:hAnsi="Garamond"/>
          <w:bCs/>
          <w:iCs/>
          <w:sz w:val="20"/>
          <w:szCs w:val="20"/>
          <w:vertAlign w:val="superscript"/>
          <w:lang w:val="en-GB"/>
        </w:rPr>
      </w:pPr>
      <w:r w:rsidRPr="00C064EF">
        <w:rPr>
          <w:rFonts w:ascii="Garamond" w:hAnsi="Garamond"/>
          <w:bCs/>
          <w:iCs/>
          <w:sz w:val="20"/>
          <w:szCs w:val="20"/>
          <w:lang w:val="en-GB"/>
        </w:rPr>
        <w:t>Although while no universal consensus  on MUAC thresholds exist for pregnant adolescent girls/women, various countries have adopted their own thresholds usually ranging from 21cm-23cm, this study adopted a MUAC threshold of &lt;23cm for undernutrition  because of its strong evidence based link to low birth weight in resource limited regions like Africa and its high sensitivity in the identification of nutritional risk irrespective of gestational age.</w:t>
      </w:r>
      <w:r w:rsidRPr="00C064EF">
        <w:rPr>
          <w:rFonts w:ascii="Garamond" w:hAnsi="Garamond"/>
          <w:bCs/>
          <w:iCs/>
          <w:sz w:val="20"/>
          <w:szCs w:val="20"/>
          <w:vertAlign w:val="superscript"/>
          <w:lang w:val="en-GB"/>
        </w:rPr>
        <w:t>21-22</w:t>
      </w:r>
      <w:r w:rsidRPr="00C064EF">
        <w:rPr>
          <w:rFonts w:ascii="Garamond" w:hAnsi="Garamond"/>
          <w:bCs/>
          <w:iCs/>
          <w:sz w:val="20"/>
          <w:szCs w:val="20"/>
          <w:lang w:val="en-GB"/>
        </w:rPr>
        <w:t xml:space="preserve"> Furthermore, this threshold (&lt;23cm) has also been used in a study among pregnant adolescents in Uganda.</w:t>
      </w:r>
      <w:r w:rsidRPr="00C064EF">
        <w:rPr>
          <w:rFonts w:ascii="Garamond" w:hAnsi="Garamond"/>
          <w:bCs/>
          <w:iCs/>
          <w:sz w:val="20"/>
          <w:szCs w:val="20"/>
          <w:vertAlign w:val="superscript"/>
          <w:lang w:val="en-GB"/>
        </w:rPr>
        <w:t>16</w:t>
      </w:r>
      <w:r w:rsidRPr="00C064EF">
        <w:rPr>
          <w:rFonts w:ascii="Garamond" w:hAnsi="Garamond"/>
          <w:bCs/>
          <w:iCs/>
          <w:sz w:val="20"/>
          <w:szCs w:val="20"/>
          <w:lang w:val="en-GB"/>
        </w:rPr>
        <w:t xml:space="preserve"> In addition, a study conducted in the Ashanti Region of Ghana has employed a higher MUAC cutoff by using a threshold of &lt;24cm among pregnant adolescents.</w:t>
      </w:r>
      <w:r w:rsidRPr="00C064EF">
        <w:rPr>
          <w:rFonts w:ascii="Garamond" w:hAnsi="Garamond"/>
          <w:bCs/>
          <w:iCs/>
          <w:sz w:val="20"/>
          <w:szCs w:val="20"/>
          <w:vertAlign w:val="superscript"/>
          <w:lang w:val="en-GB"/>
        </w:rPr>
        <w:t>23</w:t>
      </w:r>
    </w:p>
    <w:p w14:paraId="2CB2FDC6" w14:textId="7B3BCA8F"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
          <w:bCs/>
          <w:iCs/>
          <w:sz w:val="20"/>
          <w:szCs w:val="20"/>
          <w:lang w:val="en-GB"/>
        </w:rPr>
        <w:t>Laboratory Analysis</w:t>
      </w:r>
    </w:p>
    <w:p w14:paraId="69BE4DB9" w14:textId="77777777" w:rsidR="00C064EF" w:rsidRPr="000B2BA8" w:rsidRDefault="00C064EF" w:rsidP="00C064EF">
      <w:pPr>
        <w:spacing w:line="259" w:lineRule="auto"/>
        <w:jc w:val="both"/>
        <w:rPr>
          <w:rFonts w:ascii="Garamond" w:hAnsi="Garamond"/>
          <w:b/>
          <w:bCs/>
          <w:i/>
          <w:sz w:val="20"/>
          <w:szCs w:val="20"/>
          <w:lang w:val="en-GB"/>
        </w:rPr>
      </w:pPr>
      <w:r w:rsidRPr="000B2BA8">
        <w:rPr>
          <w:rFonts w:ascii="Garamond" w:hAnsi="Garamond"/>
          <w:b/>
          <w:bCs/>
          <w:i/>
          <w:sz w:val="20"/>
          <w:szCs w:val="20"/>
          <w:lang w:val="en-GB"/>
        </w:rPr>
        <w:t>Biochemical and Haematological Assessment</w:t>
      </w:r>
    </w:p>
    <w:p w14:paraId="331DE827" w14:textId="02E89408" w:rsidR="00C064EF" w:rsidRPr="00C16735" w:rsidRDefault="00C064EF" w:rsidP="00C064EF">
      <w:pPr>
        <w:spacing w:line="259" w:lineRule="auto"/>
        <w:jc w:val="both"/>
        <w:rPr>
          <w:rFonts w:ascii="Garamond" w:hAnsi="Garamond"/>
          <w:bCs/>
          <w:iCs/>
          <w:sz w:val="20"/>
          <w:szCs w:val="20"/>
          <w:lang w:val="en-GB"/>
        </w:rPr>
      </w:pPr>
      <w:r w:rsidRPr="00300ECA">
        <w:rPr>
          <w:rFonts w:ascii="Garamond" w:hAnsi="Garamond"/>
          <w:i/>
          <w:sz w:val="20"/>
          <w:szCs w:val="20"/>
          <w:lang w:val="en-GB"/>
        </w:rPr>
        <w:t>Serum Vitamin B12 Determination</w:t>
      </w:r>
      <w:r w:rsidR="000B2BA8">
        <w:rPr>
          <w:rFonts w:ascii="Garamond" w:hAnsi="Garamond"/>
          <w:b/>
          <w:bCs/>
          <w:i/>
          <w:sz w:val="20"/>
          <w:szCs w:val="20"/>
          <w:lang w:val="en-GB"/>
        </w:rPr>
        <w:t xml:space="preserve">: </w:t>
      </w:r>
      <w:r w:rsidRPr="00C064EF">
        <w:rPr>
          <w:rFonts w:ascii="Garamond" w:hAnsi="Garamond"/>
          <w:bCs/>
          <w:iCs/>
          <w:sz w:val="20"/>
          <w:szCs w:val="20"/>
          <w:lang w:val="en-GB"/>
        </w:rPr>
        <w:t xml:space="preserve">Serum vitamin B12 levels were determined using an automated electrochemiluminescence immunoassay (ECLIA) on the Roche Cobas e601 </w:t>
      </w:r>
      <w:r w:rsidR="000B2BA8" w:rsidRPr="00C064EF">
        <w:rPr>
          <w:rFonts w:ascii="Garamond" w:hAnsi="Garamond"/>
          <w:bCs/>
          <w:iCs/>
          <w:sz w:val="20"/>
          <w:szCs w:val="20"/>
          <w:lang w:val="en-GB"/>
        </w:rPr>
        <w:t>analyser</w:t>
      </w:r>
      <w:r w:rsidRPr="00C064EF">
        <w:rPr>
          <w:rFonts w:ascii="Garamond" w:hAnsi="Garamond"/>
          <w:bCs/>
          <w:iCs/>
          <w:sz w:val="20"/>
          <w:szCs w:val="20"/>
          <w:lang w:val="en-GB"/>
        </w:rPr>
        <w:t xml:space="preserve"> (Roche Diagnostics, Germany). 5 mL of venous blood was collected into serum separator tubes. This was allowed to clot at room temperature, and then centrifuged within 2 hours of collection at 1500–2000 rpm for 10 minutes. The separated serum was aliquoted and stored at −20 °C until analysis.</w:t>
      </w:r>
    </w:p>
    <w:p w14:paraId="16791098" w14:textId="2F839E2C" w:rsidR="00C064EF" w:rsidRPr="000B2BA8" w:rsidRDefault="00C064EF" w:rsidP="00C064EF">
      <w:pPr>
        <w:spacing w:line="259" w:lineRule="auto"/>
        <w:jc w:val="both"/>
        <w:rPr>
          <w:rFonts w:ascii="Garamond" w:hAnsi="Garamond"/>
          <w:bCs/>
          <w:iCs/>
          <w:sz w:val="20"/>
          <w:szCs w:val="20"/>
          <w:vertAlign w:val="superscript"/>
          <w:lang w:val="en-GB"/>
        </w:rPr>
      </w:pPr>
      <w:r w:rsidRPr="00C064EF">
        <w:rPr>
          <w:rFonts w:ascii="Garamond" w:hAnsi="Garamond"/>
          <w:bCs/>
          <w:iCs/>
          <w:sz w:val="20"/>
          <w:szCs w:val="20"/>
          <w:lang w:val="en-GB"/>
        </w:rPr>
        <w:t xml:space="preserve">Total serum vitamin B12 was quantified using the </w:t>
      </w:r>
      <w:proofErr w:type="spellStart"/>
      <w:r w:rsidRPr="00C064EF">
        <w:rPr>
          <w:rFonts w:ascii="Garamond" w:hAnsi="Garamond"/>
          <w:bCs/>
          <w:iCs/>
          <w:sz w:val="20"/>
          <w:szCs w:val="20"/>
          <w:lang w:val="en-GB"/>
        </w:rPr>
        <w:t>Elecsys</w:t>
      </w:r>
      <w:proofErr w:type="spellEnd"/>
      <w:r w:rsidRPr="00C064EF">
        <w:rPr>
          <w:rFonts w:ascii="Garamond" w:hAnsi="Garamond"/>
          <w:bCs/>
          <w:iCs/>
          <w:sz w:val="20"/>
          <w:szCs w:val="20"/>
          <w:lang w:val="en-GB"/>
        </w:rPr>
        <w:t xml:space="preserve"> Vitamin B12 II assay involving three main steps. Step one involved the use of pre-treatment reagents to incubate 15 µL of serum to release bound vitamin B12, step two involved the use of </w:t>
      </w:r>
      <w:proofErr w:type="spellStart"/>
      <w:r w:rsidRPr="00C064EF">
        <w:rPr>
          <w:rFonts w:ascii="Garamond" w:hAnsi="Garamond"/>
          <w:bCs/>
          <w:iCs/>
          <w:sz w:val="20"/>
          <w:szCs w:val="20"/>
          <w:lang w:val="en-GB"/>
        </w:rPr>
        <w:t>rhutenium</w:t>
      </w:r>
      <w:proofErr w:type="spellEnd"/>
      <w:r w:rsidRPr="00C064EF">
        <w:rPr>
          <w:rFonts w:ascii="Garamond" w:hAnsi="Garamond"/>
          <w:bCs/>
          <w:iCs/>
          <w:sz w:val="20"/>
          <w:szCs w:val="20"/>
          <w:lang w:val="en-GB"/>
        </w:rPr>
        <w:t xml:space="preserve"> labelled intrinsic factor to bind the released B12 and step three involved the use of micro particles and biotinylated B12 to release chemiluminescent emission.</w:t>
      </w:r>
      <w:r w:rsidRPr="00C064EF">
        <w:rPr>
          <w:rFonts w:ascii="Garamond" w:hAnsi="Garamond"/>
          <w:bCs/>
          <w:iCs/>
          <w:sz w:val="20"/>
          <w:szCs w:val="20"/>
          <w:vertAlign w:val="superscript"/>
          <w:lang w:val="en-GB"/>
        </w:rPr>
        <w:t>24</w:t>
      </w:r>
    </w:p>
    <w:p w14:paraId="5B6AFEE0" w14:textId="1112BA12" w:rsidR="00C064EF" w:rsidRPr="00C064EF" w:rsidRDefault="00C064EF" w:rsidP="00C064EF">
      <w:pPr>
        <w:spacing w:line="259" w:lineRule="auto"/>
        <w:jc w:val="both"/>
        <w:rPr>
          <w:rFonts w:ascii="Garamond" w:hAnsi="Garamond"/>
          <w:bCs/>
          <w:iCs/>
          <w:sz w:val="20"/>
          <w:szCs w:val="20"/>
          <w:vertAlign w:val="superscript"/>
          <w:lang w:val="en-GB"/>
        </w:rPr>
      </w:pPr>
      <w:r w:rsidRPr="00C064EF">
        <w:rPr>
          <w:rFonts w:ascii="Garamond" w:hAnsi="Garamond"/>
          <w:bCs/>
          <w:iCs/>
          <w:sz w:val="20"/>
          <w:szCs w:val="20"/>
          <w:lang w:val="en-GB"/>
        </w:rPr>
        <w:t xml:space="preserve">Vitamin B12 was categorised as: &lt;200 </w:t>
      </w:r>
      <w:proofErr w:type="spellStart"/>
      <w:r w:rsidRPr="00C064EF">
        <w:rPr>
          <w:rFonts w:ascii="Garamond" w:hAnsi="Garamond"/>
          <w:bCs/>
          <w:iCs/>
          <w:sz w:val="20"/>
          <w:szCs w:val="20"/>
          <w:lang w:val="en-GB"/>
        </w:rPr>
        <w:t>pg</w:t>
      </w:r>
      <w:proofErr w:type="spellEnd"/>
      <w:r w:rsidRPr="00C064EF">
        <w:rPr>
          <w:rFonts w:ascii="Garamond" w:hAnsi="Garamond"/>
          <w:bCs/>
          <w:iCs/>
          <w:sz w:val="20"/>
          <w:szCs w:val="20"/>
          <w:lang w:val="en-GB"/>
        </w:rPr>
        <w:t xml:space="preserve">/mL (deficient), 200–300 </w:t>
      </w:r>
      <w:proofErr w:type="spellStart"/>
      <w:r w:rsidRPr="00C064EF">
        <w:rPr>
          <w:rFonts w:ascii="Garamond" w:hAnsi="Garamond"/>
          <w:bCs/>
          <w:iCs/>
          <w:sz w:val="20"/>
          <w:szCs w:val="20"/>
          <w:lang w:val="en-GB"/>
        </w:rPr>
        <w:t>pg</w:t>
      </w:r>
      <w:proofErr w:type="spellEnd"/>
      <w:r w:rsidRPr="00C064EF">
        <w:rPr>
          <w:rFonts w:ascii="Garamond" w:hAnsi="Garamond"/>
          <w:bCs/>
          <w:iCs/>
          <w:sz w:val="20"/>
          <w:szCs w:val="20"/>
          <w:lang w:val="en-GB"/>
        </w:rPr>
        <w:t xml:space="preserve">/mL (borderline), and &gt;300 </w:t>
      </w:r>
      <w:proofErr w:type="spellStart"/>
      <w:r w:rsidRPr="00C064EF">
        <w:rPr>
          <w:rFonts w:ascii="Garamond" w:hAnsi="Garamond"/>
          <w:bCs/>
          <w:iCs/>
          <w:sz w:val="20"/>
          <w:szCs w:val="20"/>
          <w:lang w:val="en-GB"/>
        </w:rPr>
        <w:t>pg</w:t>
      </w:r>
      <w:proofErr w:type="spellEnd"/>
      <w:r w:rsidRPr="00C064EF">
        <w:rPr>
          <w:rFonts w:ascii="Garamond" w:hAnsi="Garamond"/>
          <w:bCs/>
          <w:iCs/>
          <w:sz w:val="20"/>
          <w:szCs w:val="20"/>
          <w:lang w:val="en-GB"/>
        </w:rPr>
        <w:t>/mL (adequate), in line with NIH guidelines.</w:t>
      </w:r>
      <w:r w:rsidRPr="00C064EF">
        <w:rPr>
          <w:rFonts w:ascii="Garamond" w:hAnsi="Garamond"/>
          <w:bCs/>
          <w:iCs/>
          <w:sz w:val="20"/>
          <w:szCs w:val="20"/>
          <w:vertAlign w:val="superscript"/>
          <w:lang w:val="en-GB"/>
        </w:rPr>
        <w:t>25</w:t>
      </w:r>
    </w:p>
    <w:p w14:paraId="32C0CB84" w14:textId="77777777" w:rsidR="00C064EF" w:rsidRPr="00C064EF" w:rsidRDefault="00C064EF" w:rsidP="00C064EF">
      <w:pPr>
        <w:spacing w:line="259" w:lineRule="auto"/>
        <w:jc w:val="both"/>
        <w:rPr>
          <w:rFonts w:ascii="Garamond" w:hAnsi="Garamond"/>
          <w:bCs/>
          <w:iCs/>
          <w:sz w:val="20"/>
          <w:szCs w:val="20"/>
          <w:vertAlign w:val="superscript"/>
          <w:lang w:val="en-GB"/>
        </w:rPr>
      </w:pPr>
      <w:r w:rsidRPr="00C064EF">
        <w:rPr>
          <w:rFonts w:ascii="Garamond" w:hAnsi="Garamond"/>
          <w:bCs/>
          <w:iCs/>
          <w:sz w:val="20"/>
          <w:szCs w:val="20"/>
          <w:lang w:val="en-GB"/>
        </w:rPr>
        <w:t>The analyser was calibrated using the manufacturer-provided standards (</w:t>
      </w:r>
      <w:proofErr w:type="spellStart"/>
      <w:r w:rsidRPr="00C064EF">
        <w:rPr>
          <w:rFonts w:ascii="Garamond" w:hAnsi="Garamond"/>
          <w:bCs/>
          <w:iCs/>
          <w:sz w:val="20"/>
          <w:szCs w:val="20"/>
          <w:lang w:val="en-GB"/>
        </w:rPr>
        <w:t>Elecsys</w:t>
      </w:r>
      <w:proofErr w:type="spellEnd"/>
      <w:r w:rsidRPr="00C064EF">
        <w:rPr>
          <w:rFonts w:ascii="Garamond" w:hAnsi="Garamond"/>
          <w:bCs/>
          <w:iCs/>
          <w:sz w:val="20"/>
          <w:szCs w:val="20"/>
          <w:lang w:val="en-GB"/>
        </w:rPr>
        <w:t xml:space="preserve"> </w:t>
      </w:r>
      <w:proofErr w:type="spellStart"/>
      <w:r w:rsidRPr="00C064EF">
        <w:rPr>
          <w:rFonts w:ascii="Garamond" w:hAnsi="Garamond"/>
          <w:bCs/>
          <w:iCs/>
          <w:sz w:val="20"/>
          <w:szCs w:val="20"/>
          <w:lang w:val="en-GB"/>
        </w:rPr>
        <w:t>CalSet</w:t>
      </w:r>
      <w:proofErr w:type="spellEnd"/>
      <w:r w:rsidRPr="00C064EF">
        <w:rPr>
          <w:rFonts w:ascii="Garamond" w:hAnsi="Garamond"/>
          <w:bCs/>
          <w:iCs/>
          <w:sz w:val="20"/>
          <w:szCs w:val="20"/>
          <w:lang w:val="en-GB"/>
        </w:rPr>
        <w:t xml:space="preserve"> II) with a two-point calibration method, performed per reagent lot.</w:t>
      </w:r>
      <w:r w:rsidRPr="00C064EF">
        <w:rPr>
          <w:rFonts w:ascii="Garamond" w:hAnsi="Garamond"/>
          <w:bCs/>
          <w:iCs/>
          <w:sz w:val="20"/>
          <w:szCs w:val="20"/>
          <w:vertAlign w:val="superscript"/>
          <w:lang w:val="en-GB"/>
        </w:rPr>
        <w:t xml:space="preserve"> </w:t>
      </w:r>
      <w:r w:rsidRPr="00C064EF">
        <w:rPr>
          <w:rFonts w:ascii="Garamond" w:hAnsi="Garamond"/>
          <w:bCs/>
          <w:iCs/>
          <w:sz w:val="20"/>
          <w:szCs w:val="20"/>
          <w:lang w:val="en-GB"/>
        </w:rPr>
        <w:t>Internal quality control was conducted daily using control sera at varying concentration levels to ensure accuracy and precision of the assay. Results were considered acceptable if they fell within ±2 standard deviations of the established control mean. Any analytical run that failed quality control criteria was repeated.</w:t>
      </w:r>
    </w:p>
    <w:p w14:paraId="6F897BAD" w14:textId="117D86C3" w:rsidR="00C064EF" w:rsidRPr="00C064EF" w:rsidRDefault="00C064EF" w:rsidP="00C064EF">
      <w:pPr>
        <w:spacing w:line="259" w:lineRule="auto"/>
        <w:jc w:val="both"/>
        <w:rPr>
          <w:rFonts w:ascii="Garamond" w:hAnsi="Garamond"/>
          <w:bCs/>
          <w:iCs/>
          <w:sz w:val="20"/>
          <w:szCs w:val="20"/>
          <w:lang w:val="en-GB"/>
        </w:rPr>
      </w:pPr>
      <w:r w:rsidRPr="00300ECA">
        <w:rPr>
          <w:rFonts w:ascii="Garamond" w:hAnsi="Garamond"/>
          <w:i/>
          <w:sz w:val="20"/>
          <w:szCs w:val="20"/>
          <w:lang w:val="en-GB"/>
        </w:rPr>
        <w:t>Packed Cell Volume (PCV) Determination</w:t>
      </w:r>
      <w:r w:rsidR="000B2BA8" w:rsidRPr="00300ECA">
        <w:rPr>
          <w:rFonts w:ascii="Garamond" w:hAnsi="Garamond"/>
          <w:i/>
          <w:sz w:val="20"/>
          <w:szCs w:val="20"/>
          <w:lang w:val="en-GB"/>
        </w:rPr>
        <w:t>:</w:t>
      </w:r>
      <w:r w:rsidR="000B2BA8">
        <w:rPr>
          <w:rFonts w:ascii="Garamond" w:hAnsi="Garamond"/>
          <w:b/>
          <w:bCs/>
          <w:i/>
          <w:sz w:val="20"/>
          <w:szCs w:val="20"/>
          <w:lang w:val="en-GB"/>
        </w:rPr>
        <w:t xml:space="preserve"> </w:t>
      </w:r>
      <w:r w:rsidRPr="00C064EF">
        <w:rPr>
          <w:rFonts w:ascii="Garamond" w:hAnsi="Garamond"/>
          <w:bCs/>
          <w:iCs/>
          <w:sz w:val="20"/>
          <w:szCs w:val="20"/>
          <w:lang w:val="en-GB"/>
        </w:rPr>
        <w:t>Blood samples of the study partakers were aseptically collected into ethylenediaminetetraacetic acid (EDTA) bottles. 3mL of venous blood was obtained from each teenager utilising sterile instruments with assistance from trained medical personnel at the selected facilities. Non-heparinized capillary tubes were filled with well-mixed EDTA blood samples, cleaned, sealed, and centrifuged in a haematocrit centrifuge at 10,000 rpm for 5 minutes. The packed cell volume was read using a calibrated haematocrit reader. Duplicate measurements were performed for each sample, and the average value was recorded to improve reliability.</w:t>
      </w:r>
      <w:r w:rsidRPr="00C064EF">
        <w:rPr>
          <w:rFonts w:ascii="Garamond" w:hAnsi="Garamond"/>
          <w:bCs/>
          <w:iCs/>
          <w:sz w:val="20"/>
          <w:szCs w:val="20"/>
          <w:vertAlign w:val="superscript"/>
          <w:lang w:val="en-GB"/>
        </w:rPr>
        <w:t>26</w:t>
      </w:r>
    </w:p>
    <w:p w14:paraId="085AA0D9"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 xml:space="preserve">Quality control for determined packed cell volume was done by performing duplicate measurements for each sample, using calibrated haematocrit readers, periodic cross-checking of results with an automated full blood count analyser where available, adhering to standard </w:t>
      </w:r>
      <w:r w:rsidRPr="00C064EF">
        <w:rPr>
          <w:rFonts w:ascii="Garamond" w:hAnsi="Garamond"/>
          <w:bCs/>
          <w:iCs/>
          <w:sz w:val="20"/>
          <w:szCs w:val="20"/>
          <w:lang w:val="en-GB"/>
        </w:rPr>
        <w:lastRenderedPageBreak/>
        <w:t xml:space="preserve">operating procedures for sample handling and centrifugation </w:t>
      </w:r>
    </w:p>
    <w:p w14:paraId="12CAA9A2" w14:textId="596FE694" w:rsidR="00C064EF" w:rsidRPr="00300ECA" w:rsidRDefault="00C064EF" w:rsidP="00C064EF">
      <w:pPr>
        <w:spacing w:line="259" w:lineRule="auto"/>
        <w:jc w:val="both"/>
        <w:rPr>
          <w:rFonts w:ascii="Garamond" w:hAnsi="Garamond"/>
          <w:bCs/>
          <w:iCs/>
          <w:sz w:val="20"/>
          <w:szCs w:val="20"/>
          <w:vertAlign w:val="superscript"/>
          <w:lang w:val="en-GB"/>
        </w:rPr>
      </w:pPr>
      <w:r w:rsidRPr="00C064EF">
        <w:rPr>
          <w:rFonts w:ascii="Garamond" w:hAnsi="Garamond"/>
          <w:bCs/>
          <w:iCs/>
          <w:sz w:val="20"/>
          <w:szCs w:val="20"/>
          <w:lang w:val="en-GB"/>
        </w:rPr>
        <w:t>Anaemia was classified based on established reference ranges: where anaemia in pregnancy was defined as PCV &lt;33%, with further categorization as 33–35% (low normal) and ≥36% (normal).</w:t>
      </w:r>
      <w:r w:rsidRPr="00C064EF">
        <w:rPr>
          <w:rFonts w:ascii="Garamond" w:hAnsi="Garamond"/>
          <w:bCs/>
          <w:iCs/>
          <w:sz w:val="20"/>
          <w:szCs w:val="20"/>
          <w:vertAlign w:val="superscript"/>
          <w:lang w:val="en-GB"/>
        </w:rPr>
        <w:t>27</w:t>
      </w:r>
    </w:p>
    <w:p w14:paraId="5F1920B8" w14:textId="359D1B33" w:rsidR="00C064EF" w:rsidRPr="00C16735" w:rsidRDefault="00C064EF" w:rsidP="00300ECA">
      <w:pPr>
        <w:spacing w:line="259" w:lineRule="auto"/>
        <w:jc w:val="both"/>
        <w:rPr>
          <w:rFonts w:ascii="Garamond" w:hAnsi="Garamond"/>
          <w:bCs/>
          <w:iCs/>
          <w:sz w:val="20"/>
          <w:szCs w:val="20"/>
          <w:lang w:val="en-GB"/>
        </w:rPr>
      </w:pPr>
      <w:r w:rsidRPr="00300ECA">
        <w:rPr>
          <w:rFonts w:ascii="Garamond" w:hAnsi="Garamond"/>
          <w:b/>
          <w:bCs/>
          <w:i/>
          <w:sz w:val="20"/>
          <w:szCs w:val="20"/>
          <w:lang w:val="en-GB"/>
        </w:rPr>
        <w:t>Ethical Considerations</w:t>
      </w:r>
      <w:r w:rsidR="00300ECA">
        <w:rPr>
          <w:rFonts w:ascii="Garamond" w:hAnsi="Garamond"/>
          <w:b/>
          <w:bCs/>
          <w:i/>
          <w:sz w:val="20"/>
          <w:szCs w:val="20"/>
          <w:lang w:val="en-GB"/>
        </w:rPr>
        <w:t xml:space="preserve">: </w:t>
      </w:r>
      <w:r w:rsidRPr="00C064EF">
        <w:rPr>
          <w:rFonts w:ascii="Garamond" w:hAnsi="Garamond"/>
          <w:bCs/>
          <w:iCs/>
          <w:sz w:val="20"/>
          <w:szCs w:val="20"/>
          <w:lang w:val="en-GB"/>
        </w:rPr>
        <w:t xml:space="preserve">Ethical approval for the study was granted by the Health Research and Ethics Committee of Afe Babalola University, Ado-Ekiti </w:t>
      </w:r>
      <w:r w:rsidRPr="00C064EF">
        <w:rPr>
          <w:rFonts w:ascii="Garamond" w:hAnsi="Garamond"/>
          <w:b/>
          <w:bCs/>
          <w:iCs/>
          <w:sz w:val="20"/>
          <w:szCs w:val="20"/>
          <w:lang w:val="en-GB"/>
        </w:rPr>
        <w:t xml:space="preserve">(ABUADHREC/29/01/202/789) </w:t>
      </w:r>
      <w:r w:rsidRPr="00C064EF">
        <w:rPr>
          <w:rFonts w:ascii="Garamond" w:hAnsi="Garamond"/>
          <w:bCs/>
          <w:iCs/>
          <w:sz w:val="20"/>
          <w:szCs w:val="20"/>
          <w:lang w:val="en-GB"/>
        </w:rPr>
        <w:t xml:space="preserve">and the Bauchi State Ministry of Health </w:t>
      </w:r>
      <w:r w:rsidRPr="00C064EF">
        <w:rPr>
          <w:rFonts w:ascii="Garamond" w:hAnsi="Garamond"/>
          <w:b/>
          <w:bCs/>
          <w:iCs/>
          <w:sz w:val="20"/>
          <w:szCs w:val="20"/>
          <w:lang w:val="en-GB"/>
        </w:rPr>
        <w:t>(</w:t>
      </w:r>
      <w:r w:rsidRPr="00C064EF">
        <w:rPr>
          <w:rFonts w:ascii="Garamond" w:hAnsi="Garamond"/>
          <w:bCs/>
          <w:iCs/>
          <w:sz w:val="20"/>
          <w:szCs w:val="20"/>
          <w:lang w:val="en-GB"/>
        </w:rPr>
        <w:t>Approval No</w:t>
      </w:r>
      <w:r w:rsidRPr="00C064EF">
        <w:rPr>
          <w:rFonts w:ascii="Garamond" w:hAnsi="Garamond"/>
          <w:b/>
          <w:bCs/>
          <w:iCs/>
          <w:sz w:val="20"/>
          <w:szCs w:val="20"/>
          <w:lang w:val="en-GB"/>
        </w:rPr>
        <w:t xml:space="preserve">: NHREC/TR/BAU-HREC/28/8/2023; </w:t>
      </w:r>
      <w:r w:rsidRPr="00C064EF">
        <w:rPr>
          <w:rFonts w:ascii="Garamond" w:hAnsi="Garamond"/>
          <w:bCs/>
          <w:iCs/>
          <w:sz w:val="20"/>
          <w:szCs w:val="20"/>
          <w:lang w:val="en-GB"/>
        </w:rPr>
        <w:t>Protocol Reg No</w:t>
      </w:r>
      <w:r w:rsidRPr="00C064EF">
        <w:rPr>
          <w:rFonts w:ascii="Garamond" w:hAnsi="Garamond"/>
          <w:b/>
          <w:bCs/>
          <w:iCs/>
          <w:sz w:val="20"/>
          <w:szCs w:val="20"/>
          <w:lang w:val="en-GB"/>
        </w:rPr>
        <w:t>: BSMOH/REC/0137/2024)</w:t>
      </w:r>
      <w:r w:rsidRPr="00C064EF">
        <w:rPr>
          <w:rFonts w:ascii="Garamond" w:hAnsi="Garamond"/>
          <w:bCs/>
          <w:iCs/>
          <w:sz w:val="20"/>
          <w:szCs w:val="20"/>
          <w:lang w:val="en-GB"/>
        </w:rPr>
        <w:t xml:space="preserve">. Clearance was obtained from the Bauchi State Primary Health Care Development Board and presented to the community health officer in charge of the selected Comprehensive Primary Health Care Centres to gain access to study sites. </w:t>
      </w:r>
    </w:p>
    <w:p w14:paraId="08325FF9" w14:textId="39A1CB06" w:rsidR="00BA6FFF" w:rsidRPr="00300ECA"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For adolescents under the age of 18 years, written and verbal consent was gotten first from parent/spouse after the study objectives and procedures was carefully explained in their preferred language (Hausa or English) with emphasis on the study being entirely voluntary and that refusal to participate will not affect the adolescent’s routine antenatal care. While the Nigerian Constitution recognises those under the age of 18 years as minors, pregnant or married adolescents are regarded as emancipated minors as a result, following the guardian/spousal approval, the evolving autonomy of the minor was considered and an age-appropriate participant assent process was conducted using simple and non-technical language. The researchers explained the study procedures and objectives, reaffirming their right to withdraw at any time regardless of parental/spousal consent. For participants above 18 years, written and verbal consent was obtained from them before the start of the study.  To ensure strict confidentiality, no personal names or other identifiers were recorded. Instead, the adolescents were given unique numbers.</w:t>
      </w:r>
    </w:p>
    <w:p w14:paraId="17CE224F" w14:textId="367E3BDD" w:rsidR="00C064EF" w:rsidRPr="00C064EF" w:rsidRDefault="00C064EF" w:rsidP="00C064EF">
      <w:pPr>
        <w:spacing w:line="259" w:lineRule="auto"/>
        <w:jc w:val="both"/>
        <w:rPr>
          <w:rFonts w:ascii="Garamond" w:hAnsi="Garamond"/>
          <w:bCs/>
          <w:iCs/>
          <w:sz w:val="20"/>
          <w:szCs w:val="20"/>
          <w:lang w:val="en-GB"/>
        </w:rPr>
      </w:pPr>
      <w:r w:rsidRPr="000B2BA8">
        <w:rPr>
          <w:rFonts w:ascii="Garamond" w:hAnsi="Garamond"/>
          <w:b/>
          <w:bCs/>
          <w:i/>
          <w:sz w:val="20"/>
          <w:szCs w:val="20"/>
          <w:lang w:val="en-GB"/>
        </w:rPr>
        <w:t>Statistical analysis</w:t>
      </w:r>
      <w:r w:rsidR="000B2BA8">
        <w:rPr>
          <w:rFonts w:ascii="Garamond" w:hAnsi="Garamond"/>
          <w:b/>
          <w:bCs/>
          <w:iCs/>
          <w:sz w:val="20"/>
          <w:szCs w:val="20"/>
          <w:lang w:val="en-GB"/>
        </w:rPr>
        <w:t xml:space="preserve">: </w:t>
      </w:r>
      <w:r w:rsidRPr="00C064EF">
        <w:rPr>
          <w:rFonts w:ascii="Garamond" w:hAnsi="Garamond"/>
          <w:bCs/>
          <w:iCs/>
          <w:sz w:val="20"/>
          <w:szCs w:val="20"/>
          <w:lang w:val="en-GB"/>
        </w:rPr>
        <w:t xml:space="preserve">Data was gathered, coded, and analysed using the Statistical Package for the Social Sciences (SPSS) version 25 software. Descriptive statistics, including absolute numbers and simple percentages, were employed to describe categorical variables. Bivariate associations were tested using the Pearson Chi-square test; for variable with small cell count, categories were collapsed or Fishers Exact Test was conducted to ensure validity of the statistical test. </w:t>
      </w:r>
      <w:r w:rsidRPr="00C064EF">
        <w:rPr>
          <w:rFonts w:ascii="Garamond" w:hAnsi="Garamond"/>
          <w:bCs/>
          <w:iCs/>
          <w:sz w:val="20"/>
          <w:szCs w:val="20"/>
          <w:lang w:val="en-GB"/>
        </w:rPr>
        <w:t>Multivariate logistic regression was used to identify independent predictors of inadequate dietary diversity, adjusting for confounders (age, education, monthly income, place of residence, family type, and marital status), with results reported as Adjusted Odds ratios (AOR) and 95% confidence intervals (CI). Statistical Significance was set at p&lt;0.05.</w:t>
      </w:r>
    </w:p>
    <w:p w14:paraId="02461210" w14:textId="77777777" w:rsidR="00C064EF" w:rsidRPr="00C16735" w:rsidRDefault="00C064EF" w:rsidP="00C064EF">
      <w:pPr>
        <w:spacing w:line="259" w:lineRule="auto"/>
        <w:jc w:val="both"/>
        <w:rPr>
          <w:rFonts w:ascii="Garamond" w:hAnsi="Garamond"/>
          <w:b/>
          <w:bCs/>
          <w:iCs/>
          <w:sz w:val="20"/>
          <w:szCs w:val="20"/>
          <w:lang w:val="en-GB"/>
        </w:rPr>
      </w:pPr>
    </w:p>
    <w:p w14:paraId="5A06F8B4" w14:textId="4C379432" w:rsidR="00C064EF" w:rsidRPr="00C064EF" w:rsidRDefault="000B2BA8" w:rsidP="00C064EF">
      <w:pPr>
        <w:spacing w:line="259" w:lineRule="auto"/>
        <w:jc w:val="both"/>
        <w:rPr>
          <w:rFonts w:ascii="Garamond" w:hAnsi="Garamond"/>
          <w:b/>
          <w:bCs/>
          <w:iCs/>
          <w:sz w:val="22"/>
          <w:szCs w:val="22"/>
          <w:lang w:val="en-GB"/>
        </w:rPr>
      </w:pPr>
      <w:r w:rsidRPr="00C064EF">
        <w:rPr>
          <w:rFonts w:ascii="Garamond" w:hAnsi="Garamond"/>
          <w:b/>
          <w:bCs/>
          <w:iCs/>
          <w:sz w:val="22"/>
          <w:szCs w:val="22"/>
          <w:lang w:val="en-GB"/>
        </w:rPr>
        <w:t>RESULTS</w:t>
      </w:r>
    </w:p>
    <w:p w14:paraId="58800095" w14:textId="162C383B" w:rsidR="00C064EF" w:rsidRPr="00300ECA" w:rsidRDefault="00C064EF" w:rsidP="00C064EF">
      <w:pPr>
        <w:spacing w:line="259" w:lineRule="auto"/>
        <w:jc w:val="both"/>
        <w:rPr>
          <w:rFonts w:ascii="Garamond" w:hAnsi="Garamond"/>
          <w:b/>
          <w:bCs/>
          <w:i/>
          <w:sz w:val="20"/>
          <w:szCs w:val="20"/>
          <w:lang w:val="en-GB"/>
        </w:rPr>
      </w:pPr>
      <w:r w:rsidRPr="00300ECA">
        <w:rPr>
          <w:rFonts w:ascii="Garamond" w:hAnsi="Garamond"/>
          <w:b/>
          <w:bCs/>
          <w:i/>
          <w:sz w:val="20"/>
          <w:szCs w:val="20"/>
          <w:lang w:val="en-GB"/>
        </w:rPr>
        <w:t>Socio-Demographic Characteristics of the Respondents</w:t>
      </w:r>
      <w:r w:rsidR="00300ECA">
        <w:rPr>
          <w:rFonts w:ascii="Garamond" w:hAnsi="Garamond"/>
          <w:b/>
          <w:bCs/>
          <w:i/>
          <w:sz w:val="20"/>
          <w:szCs w:val="20"/>
          <w:lang w:val="en-GB"/>
        </w:rPr>
        <w:t xml:space="preserve">: </w:t>
      </w:r>
    </w:p>
    <w:p w14:paraId="41A3433F" w14:textId="77777777"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Table 1 below presents the socio-demographic characteristics of the respondents. A total of 200 pregnant adolescents participated in the study. The age distribution revealed that slightly more than half of the respondents 102 (51.0%) were aged 18–19 years, while 98 (49.0%) were aged 14–17 years.</w:t>
      </w:r>
    </w:p>
    <w:p w14:paraId="76AC94BD" w14:textId="0EF67009" w:rsidR="00C064EF" w:rsidRPr="00C16735"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Most participants, 130 (65.0%), had no children, while 55 (27.5%) had one child and 15 (7.5%) had two children. The majority of respondents 180 (90.0%) were married. In terms of educational attainment, half of the respondents 100 (50.0%) had primary education, 60 (30.0%) had secondary education, and 40 (20.0%) had nursery/elementary education.</w:t>
      </w:r>
    </w:p>
    <w:p w14:paraId="1AF93273" w14:textId="1F34CE5B" w:rsidR="00C064EF" w:rsidRPr="00C16735"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Regarding occupation, more than half of the respondents 120 (60.0%) were artisans/traders, 35 (17.5%) were farmers, 25 (12.5%) were students, and 20 (10.0%) were unemployed. Two thirds of the respondents132 (66.0%) were from polygamous households.</w:t>
      </w:r>
    </w:p>
    <w:p w14:paraId="4657DB08" w14:textId="4521DA92" w:rsidR="00C064EF" w:rsidRPr="00C064EF"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 xml:space="preserve">With respect to income, 136 (68%) reported a monthly income of less than </w:t>
      </w:r>
      <w:r w:rsidRPr="00C064EF">
        <w:rPr>
          <w:rFonts w:ascii="Times New Roman" w:hAnsi="Times New Roman" w:cs="Times New Roman"/>
          <w:bCs/>
          <w:iCs/>
          <w:sz w:val="20"/>
          <w:szCs w:val="20"/>
          <w:lang w:val="en-GB"/>
        </w:rPr>
        <w:t>₦</w:t>
      </w:r>
      <w:r w:rsidRPr="00C064EF">
        <w:rPr>
          <w:rFonts w:ascii="Garamond" w:hAnsi="Garamond"/>
          <w:bCs/>
          <w:iCs/>
          <w:sz w:val="20"/>
          <w:szCs w:val="20"/>
          <w:lang w:val="en-GB"/>
        </w:rPr>
        <w:t>20,000. Study participants were evenly distributed across the two study locations (</w:t>
      </w:r>
      <w:proofErr w:type="spellStart"/>
      <w:r w:rsidRPr="00C064EF">
        <w:rPr>
          <w:rFonts w:ascii="Garamond" w:hAnsi="Garamond"/>
          <w:bCs/>
          <w:iCs/>
          <w:sz w:val="20"/>
          <w:szCs w:val="20"/>
          <w:lang w:val="en-GB"/>
        </w:rPr>
        <w:t>Alkaleri</w:t>
      </w:r>
      <w:proofErr w:type="spellEnd"/>
      <w:r w:rsidRPr="00C064EF">
        <w:rPr>
          <w:rFonts w:ascii="Garamond" w:hAnsi="Garamond"/>
          <w:bCs/>
          <w:iCs/>
          <w:sz w:val="20"/>
          <w:szCs w:val="20"/>
          <w:lang w:val="en-GB"/>
        </w:rPr>
        <w:t xml:space="preserve">: 100, 50.0%; </w:t>
      </w:r>
      <w:proofErr w:type="spellStart"/>
      <w:r w:rsidRPr="00C064EF">
        <w:rPr>
          <w:rFonts w:ascii="Garamond" w:hAnsi="Garamond"/>
          <w:bCs/>
          <w:iCs/>
          <w:sz w:val="20"/>
          <w:szCs w:val="20"/>
          <w:lang w:val="en-GB"/>
        </w:rPr>
        <w:t>Dambam</w:t>
      </w:r>
      <w:proofErr w:type="spellEnd"/>
      <w:r w:rsidRPr="00C064EF">
        <w:rPr>
          <w:rFonts w:ascii="Garamond" w:hAnsi="Garamond"/>
          <w:bCs/>
          <w:iCs/>
          <w:sz w:val="20"/>
          <w:szCs w:val="20"/>
          <w:lang w:val="en-GB"/>
        </w:rPr>
        <w:t>: 100, 50.0%).</w:t>
      </w:r>
    </w:p>
    <w:p w14:paraId="7ABF8A17" w14:textId="47DD3EAB" w:rsidR="00BA6FFF" w:rsidRPr="00300ECA" w:rsidRDefault="00C064EF" w:rsidP="00C064EF">
      <w:pPr>
        <w:spacing w:line="259" w:lineRule="auto"/>
        <w:jc w:val="both"/>
        <w:rPr>
          <w:rFonts w:ascii="Garamond" w:hAnsi="Garamond"/>
          <w:bCs/>
          <w:iCs/>
          <w:sz w:val="20"/>
          <w:szCs w:val="20"/>
          <w:lang w:val="en-GB"/>
        </w:rPr>
      </w:pPr>
      <w:r w:rsidRPr="00C064EF">
        <w:rPr>
          <w:rFonts w:ascii="Garamond" w:hAnsi="Garamond"/>
          <w:bCs/>
          <w:iCs/>
          <w:sz w:val="20"/>
          <w:szCs w:val="20"/>
          <w:lang w:val="en-GB"/>
        </w:rPr>
        <w:t>In terms of religion, more than half 112 (56.0%) practiced Islam, 63 (31.5%) practiced Christianity, and 25 (12.5%) practiced traditional religion.</w:t>
      </w:r>
    </w:p>
    <w:p w14:paraId="791BED3A" w14:textId="77777777" w:rsidR="00BA6FFF" w:rsidRPr="00BA6FFF" w:rsidRDefault="00BA6FFF" w:rsidP="00BA6FFF">
      <w:pPr>
        <w:spacing w:line="259" w:lineRule="auto"/>
        <w:jc w:val="both"/>
        <w:rPr>
          <w:rFonts w:ascii="Garamond" w:hAnsi="Garamond"/>
          <w:b/>
          <w:bCs/>
          <w:iCs/>
          <w:sz w:val="20"/>
          <w:szCs w:val="20"/>
          <w:lang w:val="en-GB"/>
        </w:rPr>
      </w:pPr>
      <w:r w:rsidRPr="00BA6FFF">
        <w:rPr>
          <w:rFonts w:ascii="Garamond" w:hAnsi="Garamond"/>
          <w:b/>
          <w:bCs/>
          <w:iCs/>
          <w:sz w:val="20"/>
          <w:szCs w:val="20"/>
          <w:lang w:val="en-GB"/>
        </w:rPr>
        <w:t>Nutritional Knowledge of Pregnant Adolescents</w:t>
      </w:r>
    </w:p>
    <w:p w14:paraId="3F68D344" w14:textId="39F08DBC" w:rsidR="00BA6FFF" w:rsidRDefault="00BA6FFF" w:rsidP="00BA6FFF">
      <w:pPr>
        <w:spacing w:line="259" w:lineRule="auto"/>
        <w:jc w:val="both"/>
        <w:rPr>
          <w:rFonts w:ascii="Garamond" w:hAnsi="Garamond"/>
          <w:bCs/>
          <w:iCs/>
          <w:sz w:val="20"/>
          <w:szCs w:val="20"/>
          <w:lang w:val="en-GB"/>
        </w:rPr>
      </w:pPr>
      <w:r w:rsidRPr="00BA6FFF">
        <w:rPr>
          <w:rFonts w:ascii="Garamond" w:hAnsi="Garamond"/>
          <w:bCs/>
          <w:iCs/>
          <w:sz w:val="20"/>
          <w:szCs w:val="20"/>
          <w:lang w:val="en-GB"/>
        </w:rPr>
        <w:t xml:space="preserve">Figure 3 below represents the nutritional knowledge of pregnant adolescents.  More than half of the pregnant adolescents 132(66.0%) demonstrated high nutrition knowledge scores, 56(28.0%) had medium scores, while a small proportion 12(6%) had low scores. </w:t>
      </w:r>
    </w:p>
    <w:p w14:paraId="7E8FD078" w14:textId="1188558C" w:rsidR="00BA6FFF" w:rsidRPr="00C16735" w:rsidRDefault="00C16735" w:rsidP="00300ECA">
      <w:pPr>
        <w:spacing w:line="259" w:lineRule="auto"/>
        <w:jc w:val="both"/>
        <w:rPr>
          <w:rFonts w:ascii="Garamond" w:eastAsia="Calibri" w:hAnsi="Garamond" w:cs="Times New Roman"/>
          <w:b/>
          <w:bCs/>
          <w:sz w:val="20"/>
          <w:szCs w:val="20"/>
          <w:lang w:val="en-GB"/>
        </w:rPr>
      </w:pPr>
      <w:r w:rsidRPr="00BA6FFF">
        <w:rPr>
          <w:rFonts w:ascii="Garamond" w:eastAsia="Calibri" w:hAnsi="Garamond" w:cs="Times New Roman"/>
          <w:noProof/>
          <w:sz w:val="20"/>
          <w:szCs w:val="20"/>
          <w:lang w:val="en-GB" w:eastAsia="en-GB"/>
        </w:rPr>
        <w:lastRenderedPageBreak/>
        <w:drawing>
          <wp:anchor distT="0" distB="0" distL="114300" distR="114300" simplePos="0" relativeHeight="251670528" behindDoc="0" locked="0" layoutInCell="1" allowOverlap="1" wp14:anchorId="4777D04E" wp14:editId="0A54BC58">
            <wp:simplePos x="0" y="0"/>
            <wp:positionH relativeFrom="column">
              <wp:posOffset>0</wp:posOffset>
            </wp:positionH>
            <wp:positionV relativeFrom="paragraph">
              <wp:posOffset>342900</wp:posOffset>
            </wp:positionV>
            <wp:extent cx="3032125" cy="1632585"/>
            <wp:effectExtent l="0" t="0" r="15875" b="18415"/>
            <wp:wrapThrough wrapText="bothSides">
              <wp:wrapPolygon edited="0">
                <wp:start x="0" y="0"/>
                <wp:lineTo x="0" y="21676"/>
                <wp:lineTo x="21623" y="21676"/>
                <wp:lineTo x="21623" y="0"/>
                <wp:lineTo x="0" y="0"/>
              </wp:wrapPolygon>
            </wp:wrapThrough>
            <wp:docPr id="3"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r w:rsidRPr="00C16735">
        <w:rPr>
          <w:rFonts w:ascii="Garamond" w:eastAsia="Calibri" w:hAnsi="Garamond" w:cs="Times New Roman"/>
          <w:b/>
          <w:bCs/>
          <w:sz w:val="20"/>
          <w:szCs w:val="20"/>
          <w:lang w:val="en-GB"/>
        </w:rPr>
        <w:t>F</w:t>
      </w:r>
      <w:r w:rsidR="00BA6FFF" w:rsidRPr="00BA6FFF">
        <w:rPr>
          <w:rFonts w:ascii="Garamond" w:eastAsia="Calibri" w:hAnsi="Garamond" w:cs="Times New Roman"/>
          <w:b/>
          <w:bCs/>
          <w:sz w:val="20"/>
          <w:szCs w:val="20"/>
          <w:lang w:val="en-GB"/>
        </w:rPr>
        <w:t xml:space="preserve">igure 3: </w:t>
      </w:r>
      <w:r w:rsidR="00BA6FFF" w:rsidRPr="00BA6FFF">
        <w:rPr>
          <w:rFonts w:ascii="Garamond" w:eastAsia="Calibri" w:hAnsi="Garamond" w:cs="Times New Roman"/>
          <w:sz w:val="20"/>
          <w:szCs w:val="20"/>
          <w:lang w:val="en-GB"/>
        </w:rPr>
        <w:t>Nutritional knowledge of the Pregnant Adol</w:t>
      </w:r>
      <w:r w:rsidRPr="00C16735">
        <w:rPr>
          <w:rFonts w:ascii="Garamond" w:eastAsia="Calibri" w:hAnsi="Garamond" w:cs="Times New Roman"/>
          <w:sz w:val="20"/>
          <w:szCs w:val="20"/>
          <w:lang w:val="en-GB"/>
        </w:rPr>
        <w:t>es</w:t>
      </w:r>
      <w:r w:rsidR="00300ECA">
        <w:rPr>
          <w:rFonts w:ascii="Garamond" w:eastAsia="Calibri" w:hAnsi="Garamond" w:cs="Times New Roman"/>
          <w:sz w:val="20"/>
          <w:szCs w:val="20"/>
          <w:lang w:val="en-GB"/>
        </w:rPr>
        <w:t>cents</w:t>
      </w:r>
    </w:p>
    <w:tbl>
      <w:tblPr>
        <w:tblStyle w:val="LightShading11"/>
        <w:tblpPr w:leftFromText="180" w:rightFromText="180" w:vertAnchor="page" w:horzAnchor="margin" w:tblpY="5333"/>
        <w:tblW w:w="3980" w:type="dxa"/>
        <w:tblLayout w:type="fixed"/>
        <w:tblLook w:val="0620" w:firstRow="1" w:lastRow="0" w:firstColumn="0" w:lastColumn="0" w:noHBand="1" w:noVBand="1"/>
      </w:tblPr>
      <w:tblGrid>
        <w:gridCol w:w="2410"/>
        <w:gridCol w:w="1570"/>
      </w:tblGrid>
      <w:tr w:rsidR="00300ECA" w:rsidRPr="00C16735" w14:paraId="4BBC62F0" w14:textId="77777777" w:rsidTr="005207F6">
        <w:trPr>
          <w:cnfStyle w:val="100000000000" w:firstRow="1" w:lastRow="0" w:firstColumn="0" w:lastColumn="0" w:oddVBand="0" w:evenVBand="0" w:oddHBand="0" w:evenHBand="0" w:firstRowFirstColumn="0" w:firstRowLastColumn="0" w:lastRowFirstColumn="0" w:lastRowLastColumn="0"/>
          <w:trHeight w:val="57"/>
        </w:trPr>
        <w:tc>
          <w:tcPr>
            <w:tcW w:w="2410" w:type="dxa"/>
          </w:tcPr>
          <w:p w14:paraId="6AB595F2" w14:textId="77777777" w:rsidR="00300ECA" w:rsidRPr="00BA6FFF" w:rsidRDefault="00300ECA" w:rsidP="005207F6">
            <w:pPr>
              <w:jc w:val="both"/>
              <w:rPr>
                <w:rFonts w:ascii="Garamond" w:hAnsi="Garamond"/>
                <w:iCs/>
                <w:sz w:val="20"/>
                <w:szCs w:val="20"/>
                <w:lang w:val="en-GB"/>
              </w:rPr>
            </w:pPr>
            <w:r w:rsidRPr="00BA6FFF">
              <w:rPr>
                <w:rFonts w:ascii="Garamond" w:hAnsi="Garamond"/>
                <w:iCs/>
                <w:sz w:val="20"/>
                <w:szCs w:val="20"/>
                <w:lang w:val="en-GB"/>
              </w:rPr>
              <w:t>Variable</w:t>
            </w:r>
          </w:p>
        </w:tc>
        <w:tc>
          <w:tcPr>
            <w:tcW w:w="1570" w:type="dxa"/>
          </w:tcPr>
          <w:p w14:paraId="534651C9" w14:textId="77777777" w:rsidR="00300ECA" w:rsidRPr="00BA6FFF" w:rsidRDefault="00300ECA" w:rsidP="005207F6">
            <w:pPr>
              <w:jc w:val="both"/>
              <w:rPr>
                <w:rFonts w:ascii="Garamond" w:hAnsi="Garamond"/>
                <w:iCs/>
                <w:sz w:val="20"/>
                <w:szCs w:val="20"/>
                <w:lang w:val="en-GB"/>
              </w:rPr>
            </w:pPr>
            <w:r w:rsidRPr="00BA6FFF">
              <w:rPr>
                <w:rFonts w:ascii="Garamond" w:hAnsi="Garamond"/>
                <w:iCs/>
                <w:sz w:val="20"/>
                <w:szCs w:val="20"/>
                <w:lang w:val="en-GB"/>
              </w:rPr>
              <w:t>Frequency (%)</w:t>
            </w:r>
          </w:p>
        </w:tc>
      </w:tr>
      <w:tr w:rsidR="00300ECA" w:rsidRPr="00C16735" w14:paraId="4422E0FD" w14:textId="77777777" w:rsidTr="005207F6">
        <w:trPr>
          <w:trHeight w:val="191"/>
        </w:trPr>
        <w:tc>
          <w:tcPr>
            <w:tcW w:w="2410" w:type="dxa"/>
          </w:tcPr>
          <w:p w14:paraId="152C5FA4" w14:textId="77777777" w:rsidR="00300ECA" w:rsidRPr="00BA6FFF" w:rsidRDefault="00300ECA" w:rsidP="005207F6">
            <w:pPr>
              <w:spacing w:line="259" w:lineRule="auto"/>
              <w:jc w:val="both"/>
              <w:rPr>
                <w:rFonts w:ascii="Garamond" w:hAnsi="Garamond"/>
                <w:b/>
                <w:bCs/>
                <w:iCs/>
                <w:sz w:val="20"/>
                <w:szCs w:val="20"/>
                <w:lang w:val="en-GB"/>
              </w:rPr>
            </w:pPr>
            <w:r w:rsidRPr="00BA6FFF">
              <w:rPr>
                <w:rFonts w:ascii="Garamond" w:hAnsi="Garamond"/>
                <w:b/>
                <w:bCs/>
                <w:iCs/>
                <w:sz w:val="20"/>
                <w:szCs w:val="20"/>
                <w:lang w:val="en-GB"/>
              </w:rPr>
              <w:t>Age (Years)</w:t>
            </w:r>
          </w:p>
        </w:tc>
        <w:tc>
          <w:tcPr>
            <w:tcW w:w="1570" w:type="dxa"/>
          </w:tcPr>
          <w:p w14:paraId="625DD0DF" w14:textId="77777777" w:rsidR="00300ECA" w:rsidRPr="00BA6FFF" w:rsidRDefault="00300ECA" w:rsidP="005207F6">
            <w:pPr>
              <w:spacing w:line="259" w:lineRule="auto"/>
              <w:jc w:val="both"/>
              <w:rPr>
                <w:rFonts w:ascii="Garamond" w:hAnsi="Garamond"/>
                <w:b/>
                <w:bCs/>
                <w:iCs/>
                <w:sz w:val="20"/>
                <w:szCs w:val="20"/>
                <w:lang w:val="en-GB"/>
              </w:rPr>
            </w:pPr>
          </w:p>
        </w:tc>
      </w:tr>
      <w:tr w:rsidR="00300ECA" w:rsidRPr="00C16735" w14:paraId="1F1E74B5" w14:textId="77777777" w:rsidTr="005207F6">
        <w:trPr>
          <w:trHeight w:val="219"/>
        </w:trPr>
        <w:tc>
          <w:tcPr>
            <w:tcW w:w="2410" w:type="dxa"/>
          </w:tcPr>
          <w:p w14:paraId="091E2BEC"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14-17</w:t>
            </w:r>
          </w:p>
        </w:tc>
        <w:tc>
          <w:tcPr>
            <w:tcW w:w="1570" w:type="dxa"/>
          </w:tcPr>
          <w:p w14:paraId="6587A053" w14:textId="6FCA368F"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98 (49.0)</w:t>
            </w:r>
          </w:p>
        </w:tc>
      </w:tr>
      <w:tr w:rsidR="00300ECA" w:rsidRPr="00C16735" w14:paraId="508E8A8E" w14:textId="77777777" w:rsidTr="005207F6">
        <w:trPr>
          <w:trHeight w:val="77"/>
        </w:trPr>
        <w:tc>
          <w:tcPr>
            <w:tcW w:w="2410" w:type="dxa"/>
          </w:tcPr>
          <w:p w14:paraId="6E701473"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18-19</w:t>
            </w:r>
          </w:p>
        </w:tc>
        <w:tc>
          <w:tcPr>
            <w:tcW w:w="1570" w:type="dxa"/>
          </w:tcPr>
          <w:p w14:paraId="5CCD71AB"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102 (51.0)</w:t>
            </w:r>
          </w:p>
        </w:tc>
      </w:tr>
      <w:tr w:rsidR="00300ECA" w:rsidRPr="00C16735" w14:paraId="25771824" w14:textId="77777777" w:rsidTr="005207F6">
        <w:trPr>
          <w:trHeight w:val="184"/>
        </w:trPr>
        <w:tc>
          <w:tcPr>
            <w:tcW w:w="2410" w:type="dxa"/>
          </w:tcPr>
          <w:p w14:paraId="076656D6" w14:textId="77777777" w:rsidR="00300ECA" w:rsidRPr="00BA6FFF" w:rsidRDefault="00300ECA" w:rsidP="005207F6">
            <w:pPr>
              <w:spacing w:line="259" w:lineRule="auto"/>
              <w:jc w:val="both"/>
              <w:rPr>
                <w:rFonts w:ascii="Garamond" w:hAnsi="Garamond"/>
                <w:b/>
                <w:bCs/>
                <w:iCs/>
                <w:sz w:val="20"/>
                <w:szCs w:val="20"/>
                <w:lang w:val="en-GB"/>
              </w:rPr>
            </w:pPr>
            <w:r w:rsidRPr="00BA6FFF">
              <w:rPr>
                <w:rFonts w:ascii="Garamond" w:hAnsi="Garamond"/>
                <w:b/>
                <w:bCs/>
                <w:iCs/>
                <w:sz w:val="20"/>
                <w:szCs w:val="20"/>
                <w:lang w:val="en-GB"/>
              </w:rPr>
              <w:t>Number of Children</w:t>
            </w:r>
          </w:p>
        </w:tc>
        <w:tc>
          <w:tcPr>
            <w:tcW w:w="1570" w:type="dxa"/>
          </w:tcPr>
          <w:p w14:paraId="7C1DFCC5" w14:textId="77777777" w:rsidR="00300ECA" w:rsidRPr="00BA6FFF" w:rsidRDefault="00300ECA" w:rsidP="005207F6">
            <w:pPr>
              <w:spacing w:line="259" w:lineRule="auto"/>
              <w:jc w:val="both"/>
              <w:rPr>
                <w:rFonts w:ascii="Garamond" w:hAnsi="Garamond"/>
                <w:bCs/>
                <w:iCs/>
                <w:sz w:val="20"/>
                <w:szCs w:val="20"/>
                <w:lang w:val="en-GB"/>
              </w:rPr>
            </w:pPr>
          </w:p>
        </w:tc>
      </w:tr>
      <w:tr w:rsidR="00300ECA" w:rsidRPr="00C16735" w14:paraId="11181DB0" w14:textId="77777777" w:rsidTr="005207F6">
        <w:trPr>
          <w:trHeight w:val="77"/>
        </w:trPr>
        <w:tc>
          <w:tcPr>
            <w:tcW w:w="2410" w:type="dxa"/>
          </w:tcPr>
          <w:p w14:paraId="64E5D93E"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 xml:space="preserve">None </w:t>
            </w:r>
          </w:p>
        </w:tc>
        <w:tc>
          <w:tcPr>
            <w:tcW w:w="1570" w:type="dxa"/>
          </w:tcPr>
          <w:p w14:paraId="60CC1A41"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130 (65.0)</w:t>
            </w:r>
          </w:p>
        </w:tc>
      </w:tr>
      <w:tr w:rsidR="00300ECA" w:rsidRPr="00C16735" w14:paraId="2820A19D" w14:textId="77777777" w:rsidTr="005207F6">
        <w:trPr>
          <w:trHeight w:val="178"/>
        </w:trPr>
        <w:tc>
          <w:tcPr>
            <w:tcW w:w="2410" w:type="dxa"/>
          </w:tcPr>
          <w:p w14:paraId="653795E4"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w:t>
            </w:r>
          </w:p>
        </w:tc>
        <w:tc>
          <w:tcPr>
            <w:tcW w:w="1570" w:type="dxa"/>
          </w:tcPr>
          <w:p w14:paraId="207E4B6F"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55 (27.5)</w:t>
            </w:r>
          </w:p>
        </w:tc>
      </w:tr>
      <w:tr w:rsidR="00300ECA" w:rsidRPr="00C16735" w14:paraId="0800DE48" w14:textId="77777777" w:rsidTr="005207F6">
        <w:trPr>
          <w:trHeight w:val="77"/>
        </w:trPr>
        <w:tc>
          <w:tcPr>
            <w:tcW w:w="2410" w:type="dxa"/>
          </w:tcPr>
          <w:p w14:paraId="06E4D809"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2</w:t>
            </w:r>
          </w:p>
        </w:tc>
        <w:tc>
          <w:tcPr>
            <w:tcW w:w="1570" w:type="dxa"/>
          </w:tcPr>
          <w:p w14:paraId="14407623"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15 (7.50)</w:t>
            </w:r>
          </w:p>
        </w:tc>
      </w:tr>
      <w:tr w:rsidR="00300ECA" w:rsidRPr="00C16735" w14:paraId="71457AAD" w14:textId="77777777" w:rsidTr="005207F6">
        <w:trPr>
          <w:trHeight w:val="151"/>
        </w:trPr>
        <w:tc>
          <w:tcPr>
            <w:tcW w:w="2410" w:type="dxa"/>
          </w:tcPr>
          <w:p w14:paraId="245C2129" w14:textId="77777777" w:rsidR="00300ECA" w:rsidRPr="00BA6FFF" w:rsidRDefault="00300ECA" w:rsidP="005207F6">
            <w:pPr>
              <w:spacing w:line="259" w:lineRule="auto"/>
              <w:jc w:val="both"/>
              <w:rPr>
                <w:rFonts w:ascii="Garamond" w:hAnsi="Garamond"/>
                <w:b/>
                <w:bCs/>
                <w:iCs/>
                <w:sz w:val="20"/>
                <w:szCs w:val="20"/>
                <w:lang w:val="en-GB"/>
              </w:rPr>
            </w:pPr>
            <w:r w:rsidRPr="00BA6FFF">
              <w:rPr>
                <w:rFonts w:ascii="Garamond" w:hAnsi="Garamond"/>
                <w:b/>
                <w:bCs/>
                <w:iCs/>
                <w:sz w:val="20"/>
                <w:szCs w:val="20"/>
                <w:lang w:val="en-GB"/>
              </w:rPr>
              <w:t>Place of Residence</w:t>
            </w:r>
          </w:p>
        </w:tc>
        <w:tc>
          <w:tcPr>
            <w:tcW w:w="1570" w:type="dxa"/>
          </w:tcPr>
          <w:p w14:paraId="7D70F3CA" w14:textId="77777777" w:rsidR="00300ECA" w:rsidRPr="00BA6FFF" w:rsidRDefault="00300ECA" w:rsidP="005207F6">
            <w:pPr>
              <w:spacing w:line="259" w:lineRule="auto"/>
              <w:jc w:val="both"/>
              <w:rPr>
                <w:rFonts w:ascii="Garamond" w:hAnsi="Garamond"/>
                <w:bCs/>
                <w:iCs/>
                <w:sz w:val="20"/>
                <w:szCs w:val="20"/>
                <w:lang w:val="en-GB"/>
              </w:rPr>
            </w:pPr>
          </w:p>
        </w:tc>
      </w:tr>
      <w:tr w:rsidR="00300ECA" w:rsidRPr="00C16735" w14:paraId="35C429F1" w14:textId="77777777" w:rsidTr="005207F6">
        <w:trPr>
          <w:trHeight w:val="164"/>
        </w:trPr>
        <w:tc>
          <w:tcPr>
            <w:tcW w:w="2410" w:type="dxa"/>
          </w:tcPr>
          <w:p w14:paraId="11802713" w14:textId="77777777" w:rsidR="00300ECA" w:rsidRPr="00BA6FFF" w:rsidRDefault="00300ECA" w:rsidP="005207F6">
            <w:pPr>
              <w:spacing w:line="259" w:lineRule="auto"/>
              <w:jc w:val="both"/>
              <w:rPr>
                <w:rFonts w:ascii="Garamond" w:hAnsi="Garamond"/>
                <w:bCs/>
                <w:iCs/>
                <w:sz w:val="20"/>
                <w:szCs w:val="20"/>
                <w:lang w:val="en-GB"/>
              </w:rPr>
            </w:pPr>
            <w:proofErr w:type="spellStart"/>
            <w:r w:rsidRPr="00BA6FFF">
              <w:rPr>
                <w:rFonts w:ascii="Garamond" w:hAnsi="Garamond"/>
                <w:bCs/>
                <w:iCs/>
                <w:sz w:val="20"/>
                <w:szCs w:val="20"/>
                <w:lang w:val="en-GB"/>
              </w:rPr>
              <w:t>Alkaleri</w:t>
            </w:r>
            <w:proofErr w:type="spellEnd"/>
          </w:p>
        </w:tc>
        <w:tc>
          <w:tcPr>
            <w:tcW w:w="1570" w:type="dxa"/>
          </w:tcPr>
          <w:p w14:paraId="7C67D0DA"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100 (50.0)</w:t>
            </w:r>
          </w:p>
        </w:tc>
      </w:tr>
      <w:tr w:rsidR="00300ECA" w:rsidRPr="00C16735" w14:paraId="6E071558" w14:textId="77777777" w:rsidTr="005207F6">
        <w:trPr>
          <w:trHeight w:val="179"/>
        </w:trPr>
        <w:tc>
          <w:tcPr>
            <w:tcW w:w="2410" w:type="dxa"/>
          </w:tcPr>
          <w:p w14:paraId="4189C7DC" w14:textId="77777777" w:rsidR="00300ECA" w:rsidRPr="00BA6FFF" w:rsidRDefault="00300ECA" w:rsidP="005207F6">
            <w:pPr>
              <w:spacing w:line="259" w:lineRule="auto"/>
              <w:jc w:val="both"/>
              <w:rPr>
                <w:rFonts w:ascii="Garamond" w:hAnsi="Garamond"/>
                <w:bCs/>
                <w:iCs/>
                <w:sz w:val="20"/>
                <w:szCs w:val="20"/>
                <w:lang w:val="en-GB"/>
              </w:rPr>
            </w:pPr>
            <w:proofErr w:type="spellStart"/>
            <w:r w:rsidRPr="00BA6FFF">
              <w:rPr>
                <w:rFonts w:ascii="Garamond" w:hAnsi="Garamond"/>
                <w:bCs/>
                <w:iCs/>
                <w:sz w:val="20"/>
                <w:szCs w:val="20"/>
                <w:lang w:val="en-GB"/>
              </w:rPr>
              <w:t>Dambam</w:t>
            </w:r>
            <w:proofErr w:type="spellEnd"/>
          </w:p>
        </w:tc>
        <w:tc>
          <w:tcPr>
            <w:tcW w:w="1570" w:type="dxa"/>
          </w:tcPr>
          <w:p w14:paraId="5DC51D6F"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100 (50.0)</w:t>
            </w:r>
          </w:p>
        </w:tc>
      </w:tr>
      <w:tr w:rsidR="00300ECA" w:rsidRPr="00C16735" w14:paraId="7A5AD137" w14:textId="77777777" w:rsidTr="005207F6">
        <w:trPr>
          <w:trHeight w:val="195"/>
        </w:trPr>
        <w:tc>
          <w:tcPr>
            <w:tcW w:w="2410" w:type="dxa"/>
          </w:tcPr>
          <w:p w14:paraId="20CAD1FF" w14:textId="77777777" w:rsidR="00300ECA" w:rsidRPr="00BA6FFF" w:rsidRDefault="00300ECA" w:rsidP="005207F6">
            <w:pPr>
              <w:spacing w:line="259" w:lineRule="auto"/>
              <w:jc w:val="both"/>
              <w:rPr>
                <w:rFonts w:ascii="Garamond" w:hAnsi="Garamond"/>
                <w:b/>
                <w:bCs/>
                <w:iCs/>
                <w:sz w:val="20"/>
                <w:szCs w:val="20"/>
                <w:lang w:val="en-GB"/>
              </w:rPr>
            </w:pPr>
            <w:r w:rsidRPr="00BA6FFF">
              <w:rPr>
                <w:rFonts w:ascii="Garamond" w:hAnsi="Garamond"/>
                <w:b/>
                <w:bCs/>
                <w:iCs/>
                <w:sz w:val="20"/>
                <w:szCs w:val="20"/>
                <w:lang w:val="en-GB"/>
              </w:rPr>
              <w:t>Marital Status</w:t>
            </w:r>
          </w:p>
        </w:tc>
        <w:tc>
          <w:tcPr>
            <w:tcW w:w="1570" w:type="dxa"/>
          </w:tcPr>
          <w:p w14:paraId="1FE6F53C" w14:textId="77777777" w:rsidR="00300ECA" w:rsidRPr="00BA6FFF" w:rsidRDefault="00300ECA" w:rsidP="005207F6">
            <w:pPr>
              <w:spacing w:line="259" w:lineRule="auto"/>
              <w:jc w:val="both"/>
              <w:rPr>
                <w:rFonts w:ascii="Garamond" w:hAnsi="Garamond"/>
                <w:bCs/>
                <w:iCs/>
                <w:sz w:val="20"/>
                <w:szCs w:val="20"/>
                <w:lang w:val="en-GB"/>
              </w:rPr>
            </w:pPr>
          </w:p>
        </w:tc>
      </w:tr>
      <w:tr w:rsidR="00300ECA" w:rsidRPr="00C16735" w14:paraId="1F0BAA95" w14:textId="77777777" w:rsidTr="005207F6">
        <w:trPr>
          <w:trHeight w:val="96"/>
        </w:trPr>
        <w:tc>
          <w:tcPr>
            <w:tcW w:w="2410" w:type="dxa"/>
          </w:tcPr>
          <w:p w14:paraId="091923B2"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Single</w:t>
            </w:r>
          </w:p>
        </w:tc>
        <w:tc>
          <w:tcPr>
            <w:tcW w:w="1570" w:type="dxa"/>
          </w:tcPr>
          <w:p w14:paraId="247B08C1"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20 (10.0)</w:t>
            </w:r>
          </w:p>
        </w:tc>
      </w:tr>
      <w:tr w:rsidR="00300ECA" w:rsidRPr="00C16735" w14:paraId="4D00283E" w14:textId="77777777" w:rsidTr="005207F6">
        <w:trPr>
          <w:trHeight w:val="147"/>
        </w:trPr>
        <w:tc>
          <w:tcPr>
            <w:tcW w:w="2410" w:type="dxa"/>
          </w:tcPr>
          <w:p w14:paraId="1D9BE122"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Married</w:t>
            </w:r>
          </w:p>
        </w:tc>
        <w:tc>
          <w:tcPr>
            <w:tcW w:w="1570" w:type="dxa"/>
          </w:tcPr>
          <w:p w14:paraId="0018A860"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180 (90.0)</w:t>
            </w:r>
          </w:p>
        </w:tc>
      </w:tr>
      <w:tr w:rsidR="00300ECA" w:rsidRPr="00C16735" w14:paraId="6076A696" w14:textId="77777777" w:rsidTr="005207F6">
        <w:trPr>
          <w:trHeight w:val="175"/>
        </w:trPr>
        <w:tc>
          <w:tcPr>
            <w:tcW w:w="2410" w:type="dxa"/>
          </w:tcPr>
          <w:p w14:paraId="1A14A34D" w14:textId="77777777" w:rsidR="00300ECA" w:rsidRPr="00BA6FFF" w:rsidRDefault="00300ECA" w:rsidP="005207F6">
            <w:pPr>
              <w:spacing w:line="259" w:lineRule="auto"/>
              <w:jc w:val="both"/>
              <w:rPr>
                <w:rFonts w:ascii="Garamond" w:hAnsi="Garamond"/>
                <w:b/>
                <w:bCs/>
                <w:iCs/>
                <w:sz w:val="20"/>
                <w:szCs w:val="20"/>
                <w:lang w:val="en-GB"/>
              </w:rPr>
            </w:pPr>
            <w:r w:rsidRPr="00BA6FFF">
              <w:rPr>
                <w:rFonts w:ascii="Garamond" w:hAnsi="Garamond"/>
                <w:b/>
                <w:bCs/>
                <w:iCs/>
                <w:sz w:val="20"/>
                <w:szCs w:val="20"/>
                <w:lang w:val="en-GB"/>
              </w:rPr>
              <w:t>Religion</w:t>
            </w:r>
          </w:p>
        </w:tc>
        <w:tc>
          <w:tcPr>
            <w:tcW w:w="1570" w:type="dxa"/>
          </w:tcPr>
          <w:p w14:paraId="24C97ABF" w14:textId="77777777" w:rsidR="00300ECA" w:rsidRPr="00BA6FFF" w:rsidRDefault="00300ECA" w:rsidP="005207F6">
            <w:pPr>
              <w:spacing w:line="259" w:lineRule="auto"/>
              <w:jc w:val="both"/>
              <w:rPr>
                <w:rFonts w:ascii="Garamond" w:hAnsi="Garamond"/>
                <w:bCs/>
                <w:iCs/>
                <w:sz w:val="20"/>
                <w:szCs w:val="20"/>
                <w:lang w:val="en-GB"/>
              </w:rPr>
            </w:pPr>
          </w:p>
        </w:tc>
      </w:tr>
      <w:tr w:rsidR="00300ECA" w:rsidRPr="00C16735" w14:paraId="734D5094" w14:textId="77777777" w:rsidTr="005207F6">
        <w:trPr>
          <w:trHeight w:val="107"/>
        </w:trPr>
        <w:tc>
          <w:tcPr>
            <w:tcW w:w="2410" w:type="dxa"/>
          </w:tcPr>
          <w:p w14:paraId="42E1A0FC"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Christianity</w:t>
            </w:r>
          </w:p>
        </w:tc>
        <w:tc>
          <w:tcPr>
            <w:tcW w:w="1570" w:type="dxa"/>
          </w:tcPr>
          <w:p w14:paraId="64E9AAE0"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63 (31.5)</w:t>
            </w:r>
          </w:p>
        </w:tc>
      </w:tr>
      <w:tr w:rsidR="00300ECA" w:rsidRPr="00C16735" w14:paraId="4F0AF574" w14:textId="77777777" w:rsidTr="005207F6">
        <w:trPr>
          <w:trHeight w:val="291"/>
        </w:trPr>
        <w:tc>
          <w:tcPr>
            <w:tcW w:w="2410" w:type="dxa"/>
          </w:tcPr>
          <w:p w14:paraId="78192B9B"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Islam</w:t>
            </w:r>
          </w:p>
        </w:tc>
        <w:tc>
          <w:tcPr>
            <w:tcW w:w="1570" w:type="dxa"/>
          </w:tcPr>
          <w:p w14:paraId="78AAE473"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112 (56.0)</w:t>
            </w:r>
          </w:p>
        </w:tc>
      </w:tr>
      <w:tr w:rsidR="00300ECA" w:rsidRPr="00C16735" w14:paraId="5481259D" w14:textId="77777777" w:rsidTr="005207F6">
        <w:trPr>
          <w:trHeight w:val="158"/>
        </w:trPr>
        <w:tc>
          <w:tcPr>
            <w:tcW w:w="2410" w:type="dxa"/>
          </w:tcPr>
          <w:p w14:paraId="72774FB5"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Traditional Religion</w:t>
            </w:r>
          </w:p>
        </w:tc>
        <w:tc>
          <w:tcPr>
            <w:tcW w:w="1570" w:type="dxa"/>
          </w:tcPr>
          <w:p w14:paraId="6639DA86"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25 (12.5)</w:t>
            </w:r>
          </w:p>
        </w:tc>
      </w:tr>
      <w:tr w:rsidR="00300ECA" w:rsidRPr="00C16735" w14:paraId="47FF1410" w14:textId="77777777" w:rsidTr="005207F6">
        <w:trPr>
          <w:trHeight w:val="186"/>
        </w:trPr>
        <w:tc>
          <w:tcPr>
            <w:tcW w:w="2410" w:type="dxa"/>
          </w:tcPr>
          <w:p w14:paraId="798CD731" w14:textId="77777777" w:rsidR="00300ECA" w:rsidRPr="00BA6FFF" w:rsidRDefault="00300ECA" w:rsidP="005207F6">
            <w:pPr>
              <w:spacing w:line="259" w:lineRule="auto"/>
              <w:jc w:val="both"/>
              <w:rPr>
                <w:rFonts w:ascii="Garamond" w:hAnsi="Garamond"/>
                <w:b/>
                <w:bCs/>
                <w:iCs/>
                <w:sz w:val="20"/>
                <w:szCs w:val="20"/>
                <w:lang w:val="en-GB"/>
              </w:rPr>
            </w:pPr>
            <w:r w:rsidRPr="00BA6FFF">
              <w:rPr>
                <w:rFonts w:ascii="Garamond" w:hAnsi="Garamond"/>
                <w:b/>
                <w:bCs/>
                <w:iCs/>
                <w:sz w:val="20"/>
                <w:szCs w:val="20"/>
                <w:lang w:val="en-GB"/>
              </w:rPr>
              <w:t>Educational Status</w:t>
            </w:r>
          </w:p>
        </w:tc>
        <w:tc>
          <w:tcPr>
            <w:tcW w:w="1570" w:type="dxa"/>
          </w:tcPr>
          <w:p w14:paraId="2B2866DE" w14:textId="77777777" w:rsidR="00300ECA" w:rsidRPr="00BA6FFF" w:rsidRDefault="00300ECA" w:rsidP="005207F6">
            <w:pPr>
              <w:spacing w:line="259" w:lineRule="auto"/>
              <w:jc w:val="both"/>
              <w:rPr>
                <w:rFonts w:ascii="Garamond" w:hAnsi="Garamond"/>
                <w:bCs/>
                <w:iCs/>
                <w:sz w:val="20"/>
                <w:szCs w:val="20"/>
                <w:lang w:val="en-GB"/>
              </w:rPr>
            </w:pPr>
          </w:p>
        </w:tc>
      </w:tr>
      <w:tr w:rsidR="00300ECA" w:rsidRPr="00C16735" w14:paraId="6CC39FF0" w14:textId="77777777" w:rsidTr="005207F6">
        <w:trPr>
          <w:trHeight w:val="170"/>
        </w:trPr>
        <w:tc>
          <w:tcPr>
            <w:tcW w:w="2410" w:type="dxa"/>
          </w:tcPr>
          <w:p w14:paraId="1FB1733F"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Secondary</w:t>
            </w:r>
          </w:p>
        </w:tc>
        <w:tc>
          <w:tcPr>
            <w:tcW w:w="1570" w:type="dxa"/>
          </w:tcPr>
          <w:p w14:paraId="759EEBA9"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60 (30.0)</w:t>
            </w:r>
          </w:p>
        </w:tc>
      </w:tr>
      <w:tr w:rsidR="00300ECA" w:rsidRPr="00C16735" w14:paraId="046B1DF9" w14:textId="77777777" w:rsidTr="005207F6">
        <w:trPr>
          <w:trHeight w:val="177"/>
        </w:trPr>
        <w:tc>
          <w:tcPr>
            <w:tcW w:w="2410" w:type="dxa"/>
          </w:tcPr>
          <w:p w14:paraId="27DBA975"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Primary</w:t>
            </w:r>
          </w:p>
        </w:tc>
        <w:tc>
          <w:tcPr>
            <w:tcW w:w="1570" w:type="dxa"/>
          </w:tcPr>
          <w:p w14:paraId="3100BD4E"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100 (50.0)</w:t>
            </w:r>
          </w:p>
        </w:tc>
      </w:tr>
      <w:tr w:rsidR="00300ECA" w:rsidRPr="00C16735" w14:paraId="50FABA18" w14:textId="77777777" w:rsidTr="005207F6">
        <w:trPr>
          <w:trHeight w:val="198"/>
        </w:trPr>
        <w:tc>
          <w:tcPr>
            <w:tcW w:w="2410" w:type="dxa"/>
          </w:tcPr>
          <w:p w14:paraId="1C699B9F"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Nursery</w:t>
            </w:r>
          </w:p>
        </w:tc>
        <w:tc>
          <w:tcPr>
            <w:tcW w:w="1570" w:type="dxa"/>
          </w:tcPr>
          <w:p w14:paraId="1A83E527"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40 (20.0)</w:t>
            </w:r>
          </w:p>
        </w:tc>
      </w:tr>
      <w:tr w:rsidR="00300ECA" w:rsidRPr="00C16735" w14:paraId="16502BEE" w14:textId="77777777" w:rsidTr="005207F6">
        <w:trPr>
          <w:trHeight w:val="77"/>
        </w:trPr>
        <w:tc>
          <w:tcPr>
            <w:tcW w:w="2410" w:type="dxa"/>
          </w:tcPr>
          <w:p w14:paraId="3DC21C03" w14:textId="77777777" w:rsidR="00300ECA" w:rsidRPr="00BA6FFF" w:rsidRDefault="00300ECA" w:rsidP="005207F6">
            <w:pPr>
              <w:spacing w:line="259" w:lineRule="auto"/>
              <w:jc w:val="both"/>
              <w:rPr>
                <w:rFonts w:ascii="Garamond" w:hAnsi="Garamond"/>
                <w:b/>
                <w:bCs/>
                <w:iCs/>
                <w:sz w:val="20"/>
                <w:szCs w:val="20"/>
                <w:lang w:val="en-GB"/>
              </w:rPr>
            </w:pPr>
            <w:r w:rsidRPr="00BA6FFF">
              <w:rPr>
                <w:rFonts w:ascii="Garamond" w:hAnsi="Garamond"/>
                <w:b/>
                <w:bCs/>
                <w:iCs/>
                <w:sz w:val="20"/>
                <w:szCs w:val="20"/>
                <w:lang w:val="en-GB"/>
              </w:rPr>
              <w:t>Family Type</w:t>
            </w:r>
          </w:p>
        </w:tc>
        <w:tc>
          <w:tcPr>
            <w:tcW w:w="1570" w:type="dxa"/>
          </w:tcPr>
          <w:p w14:paraId="5AB96B24" w14:textId="77777777" w:rsidR="00300ECA" w:rsidRPr="00BA6FFF" w:rsidRDefault="00300ECA" w:rsidP="005207F6">
            <w:pPr>
              <w:spacing w:line="259" w:lineRule="auto"/>
              <w:jc w:val="both"/>
              <w:rPr>
                <w:rFonts w:ascii="Garamond" w:hAnsi="Garamond"/>
                <w:bCs/>
                <w:iCs/>
                <w:sz w:val="20"/>
                <w:szCs w:val="20"/>
                <w:lang w:val="en-GB"/>
              </w:rPr>
            </w:pPr>
          </w:p>
        </w:tc>
      </w:tr>
      <w:tr w:rsidR="00300ECA" w:rsidRPr="00C16735" w14:paraId="3EEFFB03" w14:textId="77777777" w:rsidTr="005207F6">
        <w:trPr>
          <w:trHeight w:val="419"/>
        </w:trPr>
        <w:tc>
          <w:tcPr>
            <w:tcW w:w="2410" w:type="dxa"/>
          </w:tcPr>
          <w:p w14:paraId="1CB219DD"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Monogamy</w:t>
            </w:r>
          </w:p>
          <w:p w14:paraId="7796E2F0"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Polygamy</w:t>
            </w:r>
          </w:p>
        </w:tc>
        <w:tc>
          <w:tcPr>
            <w:tcW w:w="1570" w:type="dxa"/>
          </w:tcPr>
          <w:p w14:paraId="728CFF1B"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68 (34.0)</w:t>
            </w:r>
          </w:p>
          <w:p w14:paraId="26239AA2"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132(66.0)</w:t>
            </w:r>
          </w:p>
        </w:tc>
      </w:tr>
      <w:tr w:rsidR="00300ECA" w:rsidRPr="00C16735" w14:paraId="4127E0FC" w14:textId="77777777" w:rsidTr="005207F6">
        <w:trPr>
          <w:trHeight w:val="130"/>
        </w:trPr>
        <w:tc>
          <w:tcPr>
            <w:tcW w:w="2410" w:type="dxa"/>
          </w:tcPr>
          <w:p w14:paraId="177D8AD8" w14:textId="77777777" w:rsidR="00300ECA" w:rsidRPr="00BA6FFF" w:rsidRDefault="00300ECA" w:rsidP="005207F6">
            <w:pPr>
              <w:spacing w:line="259" w:lineRule="auto"/>
              <w:jc w:val="both"/>
              <w:rPr>
                <w:rFonts w:ascii="Garamond" w:hAnsi="Garamond"/>
                <w:b/>
                <w:bCs/>
                <w:iCs/>
                <w:sz w:val="20"/>
                <w:szCs w:val="20"/>
                <w:lang w:val="en-GB"/>
              </w:rPr>
            </w:pPr>
            <w:r w:rsidRPr="00BA6FFF">
              <w:rPr>
                <w:rFonts w:ascii="Garamond" w:hAnsi="Garamond"/>
                <w:b/>
                <w:bCs/>
                <w:iCs/>
                <w:sz w:val="20"/>
                <w:szCs w:val="20"/>
                <w:lang w:val="en-GB"/>
              </w:rPr>
              <w:t>Occupation</w:t>
            </w:r>
          </w:p>
        </w:tc>
        <w:tc>
          <w:tcPr>
            <w:tcW w:w="1570" w:type="dxa"/>
          </w:tcPr>
          <w:p w14:paraId="46443166" w14:textId="77777777" w:rsidR="00300ECA" w:rsidRPr="00BA6FFF" w:rsidRDefault="00300ECA" w:rsidP="005207F6">
            <w:pPr>
              <w:spacing w:line="259" w:lineRule="auto"/>
              <w:jc w:val="both"/>
              <w:rPr>
                <w:rFonts w:ascii="Garamond" w:hAnsi="Garamond"/>
                <w:bCs/>
                <w:iCs/>
                <w:sz w:val="20"/>
                <w:szCs w:val="20"/>
                <w:lang w:val="en-GB"/>
              </w:rPr>
            </w:pPr>
          </w:p>
        </w:tc>
      </w:tr>
      <w:tr w:rsidR="00300ECA" w:rsidRPr="00C16735" w14:paraId="34CC7AB9" w14:textId="77777777" w:rsidTr="005207F6">
        <w:trPr>
          <w:trHeight w:val="174"/>
        </w:trPr>
        <w:tc>
          <w:tcPr>
            <w:tcW w:w="2410" w:type="dxa"/>
          </w:tcPr>
          <w:p w14:paraId="31EEEF9A"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Unemployed</w:t>
            </w:r>
          </w:p>
        </w:tc>
        <w:tc>
          <w:tcPr>
            <w:tcW w:w="1570" w:type="dxa"/>
          </w:tcPr>
          <w:p w14:paraId="366AA86F"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20 (10.0)</w:t>
            </w:r>
          </w:p>
        </w:tc>
      </w:tr>
      <w:tr w:rsidR="00300ECA" w:rsidRPr="00C16735" w14:paraId="6C7B26DF" w14:textId="77777777" w:rsidTr="005207F6">
        <w:trPr>
          <w:trHeight w:val="123"/>
        </w:trPr>
        <w:tc>
          <w:tcPr>
            <w:tcW w:w="2410" w:type="dxa"/>
          </w:tcPr>
          <w:p w14:paraId="238CE13A"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Student</w:t>
            </w:r>
          </w:p>
        </w:tc>
        <w:tc>
          <w:tcPr>
            <w:tcW w:w="1570" w:type="dxa"/>
          </w:tcPr>
          <w:p w14:paraId="6EA935A0"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25 (12.5)</w:t>
            </w:r>
          </w:p>
        </w:tc>
      </w:tr>
      <w:tr w:rsidR="00300ECA" w:rsidRPr="00C16735" w14:paraId="0CCC5CC2" w14:textId="77777777" w:rsidTr="005207F6">
        <w:trPr>
          <w:trHeight w:val="63"/>
        </w:trPr>
        <w:tc>
          <w:tcPr>
            <w:tcW w:w="2410" w:type="dxa"/>
          </w:tcPr>
          <w:p w14:paraId="4B8F1A7E"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Farmer</w:t>
            </w:r>
          </w:p>
        </w:tc>
        <w:tc>
          <w:tcPr>
            <w:tcW w:w="1570" w:type="dxa"/>
          </w:tcPr>
          <w:p w14:paraId="4BF839C0"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35 (17.5)</w:t>
            </w:r>
          </w:p>
        </w:tc>
      </w:tr>
      <w:tr w:rsidR="00300ECA" w:rsidRPr="00C16735" w14:paraId="6C3400A6" w14:textId="77777777" w:rsidTr="005207F6">
        <w:trPr>
          <w:trHeight w:val="139"/>
        </w:trPr>
        <w:tc>
          <w:tcPr>
            <w:tcW w:w="2410" w:type="dxa"/>
          </w:tcPr>
          <w:p w14:paraId="170F486F"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Artisan/Traders</w:t>
            </w:r>
          </w:p>
        </w:tc>
        <w:tc>
          <w:tcPr>
            <w:tcW w:w="1570" w:type="dxa"/>
          </w:tcPr>
          <w:p w14:paraId="405A8884"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120 (60.0)</w:t>
            </w:r>
          </w:p>
        </w:tc>
      </w:tr>
      <w:tr w:rsidR="00300ECA" w:rsidRPr="00C16735" w14:paraId="1ECACBD4" w14:textId="77777777" w:rsidTr="005207F6">
        <w:trPr>
          <w:trHeight w:val="77"/>
        </w:trPr>
        <w:tc>
          <w:tcPr>
            <w:tcW w:w="2410" w:type="dxa"/>
          </w:tcPr>
          <w:p w14:paraId="2209D233" w14:textId="77777777" w:rsidR="00300ECA" w:rsidRPr="00BA6FFF" w:rsidRDefault="00300ECA" w:rsidP="005207F6">
            <w:pPr>
              <w:spacing w:line="259" w:lineRule="auto"/>
              <w:jc w:val="both"/>
              <w:rPr>
                <w:rFonts w:ascii="Garamond" w:hAnsi="Garamond"/>
                <w:b/>
                <w:bCs/>
                <w:iCs/>
                <w:sz w:val="20"/>
                <w:szCs w:val="20"/>
                <w:lang w:val="en-GB"/>
              </w:rPr>
            </w:pPr>
            <w:r w:rsidRPr="00BA6FFF">
              <w:rPr>
                <w:rFonts w:ascii="Garamond" w:hAnsi="Garamond"/>
                <w:b/>
                <w:bCs/>
                <w:iCs/>
                <w:sz w:val="20"/>
                <w:szCs w:val="20"/>
                <w:lang w:val="en-GB"/>
              </w:rPr>
              <w:t>Monthly Income (</w:t>
            </w:r>
            <w:r w:rsidRPr="00BA6FFF">
              <w:rPr>
                <w:rFonts w:ascii="Times New Roman" w:hAnsi="Times New Roman"/>
                <w:bCs/>
                <w:iCs/>
                <w:sz w:val="20"/>
                <w:szCs w:val="20"/>
                <w:lang w:val="en-GB"/>
              </w:rPr>
              <w:t>₦</w:t>
            </w:r>
            <w:r w:rsidRPr="00BA6FFF">
              <w:rPr>
                <w:rFonts w:ascii="Garamond" w:hAnsi="Garamond"/>
                <w:bCs/>
                <w:iCs/>
                <w:sz w:val="20"/>
                <w:szCs w:val="20"/>
                <w:lang w:val="en-GB"/>
              </w:rPr>
              <w:t>)</w:t>
            </w:r>
          </w:p>
        </w:tc>
        <w:tc>
          <w:tcPr>
            <w:tcW w:w="1570" w:type="dxa"/>
          </w:tcPr>
          <w:p w14:paraId="6DD1A599" w14:textId="77777777" w:rsidR="00300ECA" w:rsidRPr="00BA6FFF" w:rsidRDefault="00300ECA" w:rsidP="005207F6">
            <w:pPr>
              <w:spacing w:line="259" w:lineRule="auto"/>
              <w:jc w:val="both"/>
              <w:rPr>
                <w:rFonts w:ascii="Garamond" w:hAnsi="Garamond"/>
                <w:bCs/>
                <w:iCs/>
                <w:sz w:val="20"/>
                <w:szCs w:val="20"/>
                <w:lang w:val="en-GB"/>
              </w:rPr>
            </w:pPr>
          </w:p>
        </w:tc>
      </w:tr>
      <w:tr w:rsidR="00300ECA" w:rsidRPr="00C16735" w14:paraId="37705A3A" w14:textId="77777777" w:rsidTr="005207F6">
        <w:trPr>
          <w:trHeight w:val="153"/>
        </w:trPr>
        <w:tc>
          <w:tcPr>
            <w:tcW w:w="2410" w:type="dxa"/>
          </w:tcPr>
          <w:p w14:paraId="64FA5769"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&lt; 20,000</w:t>
            </w:r>
          </w:p>
        </w:tc>
        <w:tc>
          <w:tcPr>
            <w:tcW w:w="1570" w:type="dxa"/>
          </w:tcPr>
          <w:p w14:paraId="72F8375A"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136 (68.0)</w:t>
            </w:r>
          </w:p>
        </w:tc>
      </w:tr>
      <w:tr w:rsidR="00300ECA" w:rsidRPr="00C16735" w14:paraId="37D79CB0" w14:textId="77777777" w:rsidTr="005207F6">
        <w:trPr>
          <w:trHeight w:val="173"/>
        </w:trPr>
        <w:tc>
          <w:tcPr>
            <w:tcW w:w="2410" w:type="dxa"/>
          </w:tcPr>
          <w:p w14:paraId="6C423783"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20,000 - 49,999</w:t>
            </w:r>
          </w:p>
        </w:tc>
        <w:tc>
          <w:tcPr>
            <w:tcW w:w="1570" w:type="dxa"/>
          </w:tcPr>
          <w:p w14:paraId="435891A1"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41 (20.5)</w:t>
            </w:r>
          </w:p>
        </w:tc>
      </w:tr>
      <w:tr w:rsidR="00300ECA" w:rsidRPr="00C16735" w14:paraId="6E04A372" w14:textId="77777777" w:rsidTr="005207F6">
        <w:trPr>
          <w:trHeight w:val="97"/>
        </w:trPr>
        <w:tc>
          <w:tcPr>
            <w:tcW w:w="2410" w:type="dxa"/>
          </w:tcPr>
          <w:p w14:paraId="65A2E58D"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50,000 - 100,000</w:t>
            </w:r>
          </w:p>
        </w:tc>
        <w:tc>
          <w:tcPr>
            <w:tcW w:w="1570" w:type="dxa"/>
          </w:tcPr>
          <w:p w14:paraId="354D355B"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12 (6.0)</w:t>
            </w:r>
          </w:p>
        </w:tc>
      </w:tr>
      <w:tr w:rsidR="00300ECA" w:rsidRPr="00C16735" w14:paraId="70FAE962" w14:textId="77777777" w:rsidTr="005207F6">
        <w:trPr>
          <w:trHeight w:val="291"/>
        </w:trPr>
        <w:tc>
          <w:tcPr>
            <w:tcW w:w="2410" w:type="dxa"/>
          </w:tcPr>
          <w:p w14:paraId="42FF3FE1"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&gt; 100,000</w:t>
            </w:r>
          </w:p>
        </w:tc>
        <w:tc>
          <w:tcPr>
            <w:tcW w:w="1570" w:type="dxa"/>
          </w:tcPr>
          <w:p w14:paraId="55427121" w14:textId="77777777" w:rsidR="00300ECA" w:rsidRPr="00BA6FFF" w:rsidRDefault="00300ECA" w:rsidP="005207F6">
            <w:pPr>
              <w:spacing w:line="259" w:lineRule="auto"/>
              <w:jc w:val="both"/>
              <w:rPr>
                <w:rFonts w:ascii="Garamond" w:hAnsi="Garamond"/>
                <w:bCs/>
                <w:iCs/>
                <w:sz w:val="20"/>
                <w:szCs w:val="20"/>
                <w:lang w:val="en-GB"/>
              </w:rPr>
            </w:pPr>
            <w:r w:rsidRPr="00BA6FFF">
              <w:rPr>
                <w:rFonts w:ascii="Garamond" w:hAnsi="Garamond"/>
                <w:bCs/>
                <w:iCs/>
                <w:sz w:val="20"/>
                <w:szCs w:val="20"/>
                <w:lang w:val="en-GB"/>
              </w:rPr>
              <w:t>11 (5.5)</w:t>
            </w:r>
          </w:p>
        </w:tc>
      </w:tr>
    </w:tbl>
    <w:p w14:paraId="04BC916F" w14:textId="65512243" w:rsidR="00BA6FFF" w:rsidRPr="00C16735" w:rsidRDefault="00300ECA" w:rsidP="00300ECA">
      <w:pPr>
        <w:jc w:val="both"/>
        <w:rPr>
          <w:rFonts w:ascii="Garamond" w:hAnsi="Garamond"/>
          <w:b/>
          <w:bCs/>
          <w:iCs/>
          <w:sz w:val="20"/>
          <w:szCs w:val="20"/>
          <w:lang w:val="en-GB"/>
        </w:rPr>
      </w:pPr>
      <w:r w:rsidRPr="00C064EF">
        <w:rPr>
          <w:rFonts w:ascii="Garamond" w:hAnsi="Garamond"/>
          <w:b/>
          <w:bCs/>
          <w:iCs/>
          <w:sz w:val="20"/>
          <w:szCs w:val="20"/>
          <w:lang w:val="en-GB"/>
        </w:rPr>
        <w:t xml:space="preserve">Table 1: </w:t>
      </w:r>
      <w:r w:rsidRPr="00C064EF">
        <w:rPr>
          <w:rFonts w:ascii="Garamond" w:hAnsi="Garamond"/>
          <w:iCs/>
          <w:sz w:val="20"/>
          <w:szCs w:val="20"/>
          <w:lang w:val="en-GB"/>
        </w:rPr>
        <w:t>Socio-demographic Characteristics of the Respondents (n=200)</w:t>
      </w:r>
    </w:p>
    <w:p w14:paraId="624D7D61" w14:textId="29BCA0C4" w:rsidR="00BA6FFF" w:rsidRPr="00BA6FFF" w:rsidRDefault="00BA6FFF" w:rsidP="00BA6FFF">
      <w:pPr>
        <w:spacing w:line="259" w:lineRule="auto"/>
        <w:jc w:val="both"/>
        <w:rPr>
          <w:rFonts w:ascii="Garamond" w:hAnsi="Garamond"/>
          <w:b/>
          <w:bCs/>
          <w:iCs/>
          <w:sz w:val="20"/>
          <w:szCs w:val="20"/>
          <w:lang w:val="en-GB"/>
        </w:rPr>
      </w:pPr>
      <w:r w:rsidRPr="00BA6FFF">
        <w:rPr>
          <w:rFonts w:ascii="Garamond" w:hAnsi="Garamond"/>
          <w:b/>
          <w:bCs/>
          <w:iCs/>
          <w:sz w:val="20"/>
          <w:szCs w:val="20"/>
          <w:lang w:val="en-GB"/>
        </w:rPr>
        <w:t xml:space="preserve">Minimum Dietary Diversity of the Pregnant Adolescents  </w:t>
      </w:r>
    </w:p>
    <w:p w14:paraId="51CFDD29" w14:textId="6246E578" w:rsidR="00BA6FFF" w:rsidRPr="00BA6FFF" w:rsidRDefault="00BA6FFF" w:rsidP="00BA6FFF">
      <w:pPr>
        <w:spacing w:line="259" w:lineRule="auto"/>
        <w:jc w:val="both"/>
        <w:rPr>
          <w:rFonts w:ascii="Garamond" w:hAnsi="Garamond"/>
          <w:b/>
          <w:bCs/>
          <w:iCs/>
          <w:sz w:val="20"/>
          <w:szCs w:val="20"/>
          <w:lang w:val="en-GB"/>
        </w:rPr>
      </w:pPr>
      <w:r w:rsidRPr="00BA6FFF">
        <w:rPr>
          <w:rFonts w:ascii="Garamond" w:hAnsi="Garamond"/>
          <w:bCs/>
          <w:iCs/>
          <w:sz w:val="20"/>
          <w:szCs w:val="20"/>
          <w:lang w:val="en-GB"/>
        </w:rPr>
        <w:t>Figure 4 below shows the minimum dietary diversity of the pregnant adolescent girls.</w:t>
      </w:r>
      <w:r w:rsidRPr="00BA6FFF">
        <w:rPr>
          <w:rFonts w:ascii="Garamond" w:hAnsi="Garamond"/>
          <w:b/>
          <w:bCs/>
          <w:iCs/>
          <w:sz w:val="20"/>
          <w:szCs w:val="20"/>
          <w:lang w:val="en-GB"/>
        </w:rPr>
        <w:t xml:space="preserve"> </w:t>
      </w:r>
      <w:r w:rsidRPr="00BA6FFF">
        <w:rPr>
          <w:rFonts w:ascii="Garamond" w:hAnsi="Garamond"/>
          <w:bCs/>
          <w:iCs/>
          <w:sz w:val="20"/>
          <w:szCs w:val="20"/>
          <w:lang w:val="en-GB"/>
        </w:rPr>
        <w:t>Among the 200 pregnant adolescents, more than half 107(53.5%) met the minimum dietary diversity threshold (MDD-W ≥5) whereas, 93(46.5%) had low dietary diversity (consuming foods from fewer than five food groups).</w:t>
      </w:r>
    </w:p>
    <w:p w14:paraId="513D11A8" w14:textId="012BF704" w:rsidR="00BA6FFF" w:rsidRPr="00C16735" w:rsidRDefault="00C16735" w:rsidP="007A1526">
      <w:pPr>
        <w:spacing w:line="259" w:lineRule="auto"/>
        <w:jc w:val="both"/>
        <w:rPr>
          <w:rFonts w:ascii="Garamond" w:hAnsi="Garamond"/>
          <w:bCs/>
          <w:iCs/>
          <w:sz w:val="20"/>
          <w:szCs w:val="20"/>
        </w:rPr>
      </w:pPr>
      <w:r w:rsidRPr="00BA6FFF">
        <w:rPr>
          <w:rFonts w:ascii="Garamond" w:eastAsia="Calibri" w:hAnsi="Garamond" w:cs="Times New Roman"/>
          <w:b/>
          <w:noProof/>
          <w:lang w:val="en-GB" w:eastAsia="en-GB"/>
        </w:rPr>
        <w:drawing>
          <wp:anchor distT="0" distB="0" distL="114300" distR="114300" simplePos="0" relativeHeight="251671552" behindDoc="0" locked="0" layoutInCell="1" allowOverlap="1" wp14:anchorId="13689C26" wp14:editId="3C0A982A">
            <wp:simplePos x="0" y="0"/>
            <wp:positionH relativeFrom="column">
              <wp:posOffset>40640</wp:posOffset>
            </wp:positionH>
            <wp:positionV relativeFrom="paragraph">
              <wp:posOffset>149860</wp:posOffset>
            </wp:positionV>
            <wp:extent cx="3060065" cy="1524000"/>
            <wp:effectExtent l="0" t="0" r="13335" b="12700"/>
            <wp:wrapThrough wrapText="bothSides">
              <wp:wrapPolygon edited="0">
                <wp:start x="0" y="0"/>
                <wp:lineTo x="0" y="21600"/>
                <wp:lineTo x="21604" y="21600"/>
                <wp:lineTo x="21604" y="0"/>
                <wp:lineTo x="0" y="0"/>
              </wp:wrapPolygon>
            </wp:wrapThrough>
            <wp:docPr id="73704321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p>
    <w:p w14:paraId="6953EBFA" w14:textId="7E0589AF" w:rsidR="000B2BA8" w:rsidRPr="00300ECA" w:rsidRDefault="000B2BA8" w:rsidP="000B2BA8">
      <w:pPr>
        <w:spacing w:line="259" w:lineRule="auto"/>
        <w:jc w:val="both"/>
        <w:rPr>
          <w:rFonts w:ascii="Garamond" w:hAnsi="Garamond"/>
          <w:bCs/>
          <w:iCs/>
          <w:sz w:val="20"/>
          <w:szCs w:val="20"/>
        </w:rPr>
      </w:pPr>
      <w:r w:rsidRPr="00300ECA">
        <w:rPr>
          <w:rFonts w:ascii="Garamond" w:eastAsia="Calibri" w:hAnsi="Garamond" w:cs="Times New Roman"/>
          <w:b/>
          <w:noProof/>
          <w:sz w:val="20"/>
          <w:szCs w:val="20"/>
          <w:lang w:val="en-GB" w:eastAsia="en-GB"/>
        </w:rPr>
        <w:drawing>
          <wp:anchor distT="0" distB="0" distL="114300" distR="114300" simplePos="0" relativeHeight="251672576" behindDoc="0" locked="0" layoutInCell="1" allowOverlap="1" wp14:anchorId="427D4BB5" wp14:editId="7D7C57C6">
            <wp:simplePos x="0" y="0"/>
            <wp:positionH relativeFrom="margin">
              <wp:posOffset>3240405</wp:posOffset>
            </wp:positionH>
            <wp:positionV relativeFrom="paragraph">
              <wp:posOffset>1976755</wp:posOffset>
            </wp:positionV>
            <wp:extent cx="3060065" cy="1391920"/>
            <wp:effectExtent l="0" t="0" r="13335" b="17780"/>
            <wp:wrapThrough wrapText="bothSides">
              <wp:wrapPolygon edited="0">
                <wp:start x="0" y="0"/>
                <wp:lineTo x="0" y="21679"/>
                <wp:lineTo x="21604" y="21679"/>
                <wp:lineTo x="21604" y="0"/>
                <wp:lineTo x="0" y="0"/>
              </wp:wrapPolygon>
            </wp:wrapThrough>
            <wp:docPr id="1138702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page">
              <wp14:pctWidth>0</wp14:pctWidth>
            </wp14:sizeRelH>
            <wp14:sizeRelV relativeFrom="page">
              <wp14:pctHeight>0</wp14:pctHeight>
            </wp14:sizeRelV>
          </wp:anchor>
        </w:drawing>
      </w:r>
      <w:r w:rsidR="00C16735" w:rsidRPr="00300ECA">
        <w:rPr>
          <w:rFonts w:ascii="Garamond" w:eastAsia="Calibri" w:hAnsi="Garamond" w:cs="Times New Roman"/>
          <w:b/>
          <w:sz w:val="20"/>
          <w:szCs w:val="20"/>
          <w:lang w:val="en-GB"/>
        </w:rPr>
        <w:t xml:space="preserve">Figure 4: </w:t>
      </w:r>
      <w:r w:rsidR="00C16735" w:rsidRPr="00300ECA">
        <w:rPr>
          <w:rFonts w:ascii="Garamond" w:eastAsia="Calibri" w:hAnsi="Garamond" w:cs="Times New Roman"/>
          <w:bCs/>
          <w:sz w:val="20"/>
          <w:szCs w:val="20"/>
          <w:lang w:val="en-GB"/>
        </w:rPr>
        <w:t>Minimum Dietary Diversity of the Pregnant Adolescents</w:t>
      </w:r>
      <w:r w:rsidR="00C16735" w:rsidRPr="00300ECA">
        <w:rPr>
          <w:rFonts w:ascii="Garamond" w:eastAsia="Calibri" w:hAnsi="Garamond" w:cs="Times New Roman"/>
          <w:b/>
          <w:sz w:val="20"/>
          <w:szCs w:val="20"/>
          <w:lang w:val="en-GB"/>
        </w:rPr>
        <w:t xml:space="preserve">  </w:t>
      </w:r>
      <w:r w:rsidRPr="00300ECA">
        <w:rPr>
          <w:rFonts w:ascii="Garamond" w:hAnsi="Garamond"/>
          <w:b/>
          <w:bCs/>
          <w:iCs/>
          <w:sz w:val="20"/>
          <w:szCs w:val="20"/>
          <w:lang w:val="en-GB"/>
        </w:rPr>
        <w:t xml:space="preserve"> </w:t>
      </w:r>
    </w:p>
    <w:p w14:paraId="127C975C" w14:textId="11B8A75B" w:rsidR="000B2BA8" w:rsidRPr="00C16735" w:rsidRDefault="000B2BA8" w:rsidP="000B2BA8">
      <w:pPr>
        <w:jc w:val="both"/>
        <w:rPr>
          <w:rFonts w:ascii="Garamond" w:hAnsi="Garamond"/>
          <w:iCs/>
          <w:sz w:val="20"/>
          <w:szCs w:val="20"/>
          <w:lang w:val="en-GB"/>
        </w:rPr>
      </w:pPr>
      <w:r w:rsidRPr="00C16735">
        <w:rPr>
          <w:rFonts w:ascii="Garamond" w:hAnsi="Garamond"/>
          <w:b/>
          <w:bCs/>
          <w:iCs/>
          <w:sz w:val="20"/>
          <w:szCs w:val="20"/>
          <w:lang w:val="en-GB"/>
        </w:rPr>
        <w:t xml:space="preserve">Figure 5: </w:t>
      </w:r>
      <w:r w:rsidRPr="00C16735">
        <w:rPr>
          <w:rFonts w:ascii="Garamond" w:hAnsi="Garamond"/>
          <w:iCs/>
          <w:sz w:val="20"/>
          <w:szCs w:val="20"/>
          <w:lang w:val="en-GB"/>
        </w:rPr>
        <w:t xml:space="preserve">Nutritional Status of the Respondents </w:t>
      </w:r>
    </w:p>
    <w:p w14:paraId="118B3264" w14:textId="77777777" w:rsidR="00300ECA" w:rsidRDefault="00300ECA" w:rsidP="00C16735">
      <w:pPr>
        <w:jc w:val="both"/>
        <w:rPr>
          <w:rFonts w:ascii="Garamond" w:hAnsi="Garamond"/>
          <w:b/>
          <w:bCs/>
          <w:iCs/>
          <w:sz w:val="20"/>
          <w:szCs w:val="20"/>
          <w:lang w:val="en-GB"/>
        </w:rPr>
      </w:pPr>
    </w:p>
    <w:p w14:paraId="22BD31D5" w14:textId="79F044C5" w:rsidR="000B2BA8" w:rsidRDefault="000B2BA8" w:rsidP="00C16735">
      <w:pPr>
        <w:jc w:val="both"/>
        <w:rPr>
          <w:rFonts w:ascii="Garamond" w:hAnsi="Garamond"/>
          <w:b/>
          <w:bCs/>
          <w:iCs/>
          <w:sz w:val="20"/>
          <w:szCs w:val="20"/>
          <w:lang w:val="en-GB"/>
        </w:rPr>
      </w:pPr>
      <w:r w:rsidRPr="00C16735">
        <w:rPr>
          <w:rFonts w:ascii="Garamond" w:hAnsi="Garamond"/>
          <w:b/>
          <w:bCs/>
          <w:iCs/>
          <w:sz w:val="20"/>
          <w:szCs w:val="20"/>
          <w:lang w:val="en-GB"/>
        </w:rPr>
        <w:t>Nutri</w:t>
      </w:r>
      <w:r w:rsidR="00C16735" w:rsidRPr="00C16735">
        <w:rPr>
          <w:rFonts w:ascii="Garamond" w:hAnsi="Garamond"/>
          <w:b/>
          <w:bCs/>
          <w:iCs/>
          <w:sz w:val="20"/>
          <w:szCs w:val="20"/>
          <w:lang w:val="en-GB"/>
        </w:rPr>
        <w:t xml:space="preserve">tional Status of the Respondents </w:t>
      </w:r>
    </w:p>
    <w:p w14:paraId="470FD4F5" w14:textId="2418E8F1" w:rsidR="00C16735" w:rsidRPr="00300ECA" w:rsidRDefault="00C16735" w:rsidP="00C16735">
      <w:pPr>
        <w:jc w:val="both"/>
        <w:rPr>
          <w:rFonts w:ascii="Garamond" w:hAnsi="Garamond"/>
          <w:b/>
          <w:bCs/>
          <w:iCs/>
          <w:sz w:val="20"/>
          <w:szCs w:val="20"/>
          <w:lang w:val="en-GB"/>
        </w:rPr>
      </w:pPr>
      <w:r w:rsidRPr="00C16735">
        <w:rPr>
          <w:rFonts w:ascii="Garamond" w:hAnsi="Garamond"/>
          <w:bCs/>
          <w:iCs/>
          <w:sz w:val="20"/>
          <w:szCs w:val="20"/>
          <w:lang w:val="en-GB"/>
        </w:rPr>
        <w:t xml:space="preserve">Figure 5 below represents the nutritional status of the pregnant adolescent girls based on mid-upper arm circumference (MUAC). A substantial proportion 149(74.5%) of the pregnant adolescents were classified as undernourished, while 51(25.5%) had normal nutritional status. </w:t>
      </w:r>
    </w:p>
    <w:p w14:paraId="32021410" w14:textId="77777777" w:rsidR="00C16735" w:rsidRPr="00C16735" w:rsidRDefault="00C16735" w:rsidP="00C16735">
      <w:pPr>
        <w:jc w:val="both"/>
        <w:rPr>
          <w:rFonts w:ascii="Garamond" w:hAnsi="Garamond"/>
          <w:b/>
          <w:iCs/>
          <w:sz w:val="20"/>
          <w:szCs w:val="20"/>
          <w:lang w:val="en-GB"/>
        </w:rPr>
      </w:pPr>
      <w:r w:rsidRPr="00C16735">
        <w:rPr>
          <w:rFonts w:ascii="Garamond" w:hAnsi="Garamond"/>
          <w:b/>
          <w:iCs/>
          <w:sz w:val="20"/>
          <w:szCs w:val="20"/>
          <w:lang w:val="en-GB"/>
        </w:rPr>
        <w:t xml:space="preserve">Health Behaviours Related to Supplement Use among Respondents  </w:t>
      </w:r>
    </w:p>
    <w:p w14:paraId="14C885D4" w14:textId="77777777" w:rsidR="00C16735" w:rsidRPr="00C16735" w:rsidRDefault="00C16735" w:rsidP="00C16735">
      <w:pPr>
        <w:jc w:val="both"/>
        <w:rPr>
          <w:rFonts w:ascii="Garamond" w:hAnsi="Garamond"/>
          <w:iCs/>
          <w:sz w:val="20"/>
          <w:szCs w:val="20"/>
          <w:lang w:val="en-GB"/>
        </w:rPr>
      </w:pPr>
      <w:r w:rsidRPr="00C16735">
        <w:rPr>
          <w:rFonts w:ascii="Garamond" w:hAnsi="Garamond"/>
          <w:iCs/>
          <w:sz w:val="20"/>
          <w:szCs w:val="20"/>
          <w:lang w:val="en-GB"/>
        </w:rPr>
        <w:t xml:space="preserve">Table 2 summarizes the health behaviours of the pregnant adolescents related to supplement Majority of the respondents 180(90.0%) reported consuming supplements during pregnancy with more than half 134(67.0%) taking Iron-Folic Acid (IFA) Supplement while a few 46(23.0) consuming multiple micronutrient supplement (MMS). </w:t>
      </w:r>
    </w:p>
    <w:p w14:paraId="5C156FCB" w14:textId="017B2ABE" w:rsidR="00C16735" w:rsidRPr="00C16735" w:rsidRDefault="00C16735" w:rsidP="00C16735">
      <w:pPr>
        <w:jc w:val="both"/>
        <w:rPr>
          <w:rFonts w:ascii="Garamond" w:hAnsi="Garamond"/>
          <w:b/>
          <w:bCs/>
          <w:iCs/>
          <w:sz w:val="20"/>
          <w:szCs w:val="20"/>
          <w:lang w:val="en-GB"/>
        </w:rPr>
      </w:pPr>
    </w:p>
    <w:p w14:paraId="52BB2835" w14:textId="77777777" w:rsidR="00C16735" w:rsidRPr="00C16735" w:rsidRDefault="00C16735" w:rsidP="00C16735">
      <w:pPr>
        <w:jc w:val="both"/>
        <w:rPr>
          <w:rFonts w:ascii="Garamond" w:eastAsia="Calibri" w:hAnsi="Garamond" w:cs="Times New Roman"/>
          <w:b/>
          <w:bCs/>
          <w:lang w:val="en-GB"/>
        </w:rPr>
      </w:pPr>
      <w:r w:rsidRPr="00C16735">
        <w:rPr>
          <w:rFonts w:ascii="Garamond" w:eastAsia="Calibri" w:hAnsi="Garamond" w:cs="Times New Roman"/>
          <w:b/>
          <w:bCs/>
          <w:lang w:val="en-GB"/>
        </w:rPr>
        <w:lastRenderedPageBreak/>
        <w:t xml:space="preserve">Table 2: </w:t>
      </w:r>
      <w:r w:rsidRPr="00C16735">
        <w:rPr>
          <w:rFonts w:ascii="Garamond" w:eastAsia="Calibri" w:hAnsi="Garamond" w:cs="Times New Roman"/>
          <w:lang w:val="en-GB"/>
        </w:rPr>
        <w:t>Health Behaviours Related to Supplement Use among Respondents</w:t>
      </w:r>
      <w:r w:rsidRPr="00C16735">
        <w:rPr>
          <w:rFonts w:ascii="Garamond" w:eastAsia="Calibri" w:hAnsi="Garamond" w:cs="Times New Roman"/>
          <w:b/>
          <w:bCs/>
          <w:lang w:val="en-GB"/>
        </w:rPr>
        <w:t xml:space="preserve">  </w:t>
      </w:r>
    </w:p>
    <w:tbl>
      <w:tblPr>
        <w:tblStyle w:val="TableGrid"/>
        <w:tblW w:w="4450" w:type="dxa"/>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0"/>
        <w:gridCol w:w="1532"/>
        <w:gridCol w:w="1488"/>
      </w:tblGrid>
      <w:tr w:rsidR="00C16735" w:rsidRPr="000B2BA8" w14:paraId="70C1D942" w14:textId="77777777" w:rsidTr="00C16735">
        <w:trPr>
          <w:trHeight w:val="140"/>
        </w:trPr>
        <w:tc>
          <w:tcPr>
            <w:tcW w:w="1430" w:type="dxa"/>
            <w:tcBorders>
              <w:top w:val="single" w:sz="4" w:space="0" w:color="auto"/>
              <w:bottom w:val="single" w:sz="4" w:space="0" w:color="auto"/>
            </w:tcBorders>
          </w:tcPr>
          <w:p w14:paraId="71026A2B" w14:textId="77777777" w:rsidR="00C16735" w:rsidRPr="000B2BA8" w:rsidRDefault="00C16735" w:rsidP="00C16735">
            <w:pPr>
              <w:jc w:val="both"/>
              <w:rPr>
                <w:rFonts w:ascii="Garamond" w:eastAsia="Calibri" w:hAnsi="Garamond" w:cs="Times New Roman"/>
                <w:b/>
                <w:bCs/>
                <w:sz w:val="20"/>
                <w:szCs w:val="20"/>
              </w:rPr>
            </w:pPr>
            <w:r w:rsidRPr="000B2BA8">
              <w:rPr>
                <w:rFonts w:ascii="Garamond" w:eastAsia="Calibri" w:hAnsi="Garamond" w:cs="Times New Roman"/>
                <w:b/>
                <w:bCs/>
                <w:sz w:val="20"/>
                <w:szCs w:val="20"/>
              </w:rPr>
              <w:t>Variables</w:t>
            </w:r>
          </w:p>
        </w:tc>
        <w:tc>
          <w:tcPr>
            <w:tcW w:w="1532" w:type="dxa"/>
            <w:tcBorders>
              <w:top w:val="single" w:sz="4" w:space="0" w:color="auto"/>
              <w:bottom w:val="single" w:sz="4" w:space="0" w:color="auto"/>
            </w:tcBorders>
          </w:tcPr>
          <w:p w14:paraId="04AFE990" w14:textId="77777777" w:rsidR="00C16735" w:rsidRPr="000B2BA8" w:rsidRDefault="00C16735" w:rsidP="00C16735">
            <w:pPr>
              <w:jc w:val="both"/>
              <w:rPr>
                <w:rFonts w:ascii="Garamond" w:eastAsia="Calibri" w:hAnsi="Garamond" w:cs="Times New Roman"/>
                <w:b/>
                <w:bCs/>
                <w:sz w:val="20"/>
                <w:szCs w:val="20"/>
              </w:rPr>
            </w:pPr>
            <w:r w:rsidRPr="000B2BA8">
              <w:rPr>
                <w:rFonts w:ascii="Garamond" w:eastAsia="Calibri" w:hAnsi="Garamond" w:cs="Times New Roman"/>
                <w:b/>
                <w:bCs/>
                <w:sz w:val="20"/>
                <w:szCs w:val="20"/>
              </w:rPr>
              <w:t>Frequency</w:t>
            </w:r>
          </w:p>
        </w:tc>
        <w:tc>
          <w:tcPr>
            <w:tcW w:w="1487" w:type="dxa"/>
            <w:tcBorders>
              <w:top w:val="single" w:sz="4" w:space="0" w:color="auto"/>
              <w:bottom w:val="single" w:sz="4" w:space="0" w:color="auto"/>
            </w:tcBorders>
          </w:tcPr>
          <w:p w14:paraId="6B9FE930" w14:textId="77777777" w:rsidR="00C16735" w:rsidRPr="000B2BA8" w:rsidRDefault="00C16735" w:rsidP="00C16735">
            <w:pPr>
              <w:jc w:val="both"/>
              <w:rPr>
                <w:rFonts w:ascii="Garamond" w:eastAsia="Calibri" w:hAnsi="Garamond" w:cs="Times New Roman"/>
                <w:b/>
                <w:bCs/>
                <w:sz w:val="20"/>
                <w:szCs w:val="20"/>
              </w:rPr>
            </w:pPr>
            <w:r w:rsidRPr="000B2BA8">
              <w:rPr>
                <w:rFonts w:ascii="Garamond" w:eastAsia="Calibri" w:hAnsi="Garamond" w:cs="Times New Roman"/>
                <w:b/>
                <w:bCs/>
                <w:sz w:val="20"/>
                <w:szCs w:val="20"/>
              </w:rPr>
              <w:t>Percentage</w:t>
            </w:r>
          </w:p>
        </w:tc>
      </w:tr>
      <w:tr w:rsidR="00C16735" w:rsidRPr="000B2BA8" w14:paraId="657F61A1" w14:textId="77777777" w:rsidTr="00C16735">
        <w:trPr>
          <w:trHeight w:val="136"/>
        </w:trPr>
        <w:tc>
          <w:tcPr>
            <w:tcW w:w="4450" w:type="dxa"/>
            <w:gridSpan w:val="3"/>
            <w:tcBorders>
              <w:top w:val="single" w:sz="4" w:space="0" w:color="auto"/>
            </w:tcBorders>
          </w:tcPr>
          <w:p w14:paraId="57B8BEDF" w14:textId="77777777" w:rsidR="00C16735" w:rsidRPr="000B2BA8" w:rsidRDefault="00C16735" w:rsidP="00C16735">
            <w:pPr>
              <w:jc w:val="both"/>
              <w:rPr>
                <w:rFonts w:ascii="Garamond" w:eastAsia="Calibri" w:hAnsi="Garamond" w:cs="Times New Roman"/>
                <w:b/>
                <w:bCs/>
                <w:sz w:val="20"/>
                <w:szCs w:val="20"/>
              </w:rPr>
            </w:pPr>
            <w:r w:rsidRPr="000B2BA8">
              <w:rPr>
                <w:rFonts w:ascii="Garamond" w:eastAsia="Calibri" w:hAnsi="Garamond" w:cs="Times New Roman"/>
                <w:b/>
                <w:bCs/>
                <w:sz w:val="20"/>
                <w:szCs w:val="20"/>
              </w:rPr>
              <w:t>Supplement Consumption during pregnancy</w:t>
            </w:r>
          </w:p>
        </w:tc>
      </w:tr>
      <w:tr w:rsidR="00C16735" w:rsidRPr="000B2BA8" w14:paraId="4B9DE0D9" w14:textId="77777777" w:rsidTr="00C16735">
        <w:trPr>
          <w:trHeight w:val="140"/>
        </w:trPr>
        <w:tc>
          <w:tcPr>
            <w:tcW w:w="1430" w:type="dxa"/>
          </w:tcPr>
          <w:p w14:paraId="62D1378D"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Yes</w:t>
            </w:r>
          </w:p>
        </w:tc>
        <w:tc>
          <w:tcPr>
            <w:tcW w:w="1532" w:type="dxa"/>
          </w:tcPr>
          <w:p w14:paraId="0F4D02CE"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180</w:t>
            </w:r>
          </w:p>
        </w:tc>
        <w:tc>
          <w:tcPr>
            <w:tcW w:w="1487" w:type="dxa"/>
          </w:tcPr>
          <w:p w14:paraId="18713F80"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90.0</w:t>
            </w:r>
          </w:p>
        </w:tc>
      </w:tr>
      <w:tr w:rsidR="00C16735" w:rsidRPr="000B2BA8" w14:paraId="045BC113" w14:textId="77777777" w:rsidTr="00C16735">
        <w:trPr>
          <w:trHeight w:val="140"/>
        </w:trPr>
        <w:tc>
          <w:tcPr>
            <w:tcW w:w="1430" w:type="dxa"/>
          </w:tcPr>
          <w:p w14:paraId="02C7CC63"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No</w:t>
            </w:r>
          </w:p>
        </w:tc>
        <w:tc>
          <w:tcPr>
            <w:tcW w:w="1532" w:type="dxa"/>
          </w:tcPr>
          <w:p w14:paraId="45F8A67D"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20</w:t>
            </w:r>
          </w:p>
        </w:tc>
        <w:tc>
          <w:tcPr>
            <w:tcW w:w="1487" w:type="dxa"/>
          </w:tcPr>
          <w:p w14:paraId="6F17EFE9"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10.0</w:t>
            </w:r>
          </w:p>
        </w:tc>
      </w:tr>
      <w:tr w:rsidR="00C16735" w:rsidRPr="000B2BA8" w14:paraId="64C65A4A" w14:textId="77777777" w:rsidTr="00C16735">
        <w:trPr>
          <w:trHeight w:val="136"/>
        </w:trPr>
        <w:tc>
          <w:tcPr>
            <w:tcW w:w="4450" w:type="dxa"/>
            <w:gridSpan w:val="3"/>
          </w:tcPr>
          <w:p w14:paraId="4F0A9A18" w14:textId="77777777" w:rsidR="00C16735" w:rsidRPr="000B2BA8" w:rsidRDefault="00C16735" w:rsidP="00C16735">
            <w:pPr>
              <w:jc w:val="both"/>
              <w:rPr>
                <w:rFonts w:ascii="Garamond" w:eastAsia="Calibri" w:hAnsi="Garamond" w:cs="Times New Roman"/>
                <w:b/>
                <w:bCs/>
                <w:sz w:val="20"/>
                <w:szCs w:val="20"/>
              </w:rPr>
            </w:pPr>
            <w:r w:rsidRPr="000B2BA8">
              <w:rPr>
                <w:rFonts w:ascii="Garamond" w:eastAsia="Calibri" w:hAnsi="Garamond" w:cs="Times New Roman"/>
                <w:b/>
                <w:bCs/>
                <w:sz w:val="20"/>
                <w:szCs w:val="20"/>
              </w:rPr>
              <w:t xml:space="preserve">Type of Supplements Taken </w:t>
            </w:r>
          </w:p>
        </w:tc>
      </w:tr>
      <w:tr w:rsidR="00C16735" w:rsidRPr="000B2BA8" w14:paraId="6E0EAEE4" w14:textId="77777777" w:rsidTr="00C16735">
        <w:trPr>
          <w:trHeight w:val="140"/>
        </w:trPr>
        <w:tc>
          <w:tcPr>
            <w:tcW w:w="1430" w:type="dxa"/>
          </w:tcPr>
          <w:p w14:paraId="2882C557"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None</w:t>
            </w:r>
          </w:p>
        </w:tc>
        <w:tc>
          <w:tcPr>
            <w:tcW w:w="1532" w:type="dxa"/>
          </w:tcPr>
          <w:p w14:paraId="3BD96922"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20</w:t>
            </w:r>
          </w:p>
        </w:tc>
        <w:tc>
          <w:tcPr>
            <w:tcW w:w="1487" w:type="dxa"/>
          </w:tcPr>
          <w:p w14:paraId="1EA2FE9E"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10.0</w:t>
            </w:r>
          </w:p>
        </w:tc>
      </w:tr>
      <w:tr w:rsidR="00C16735" w:rsidRPr="000B2BA8" w14:paraId="5EEF19F2" w14:textId="77777777" w:rsidTr="00C16735">
        <w:trPr>
          <w:trHeight w:val="140"/>
        </w:trPr>
        <w:tc>
          <w:tcPr>
            <w:tcW w:w="1430" w:type="dxa"/>
            <w:tcBorders>
              <w:bottom w:val="nil"/>
            </w:tcBorders>
          </w:tcPr>
          <w:p w14:paraId="44584336"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IFA</w:t>
            </w:r>
          </w:p>
        </w:tc>
        <w:tc>
          <w:tcPr>
            <w:tcW w:w="1532" w:type="dxa"/>
            <w:tcBorders>
              <w:bottom w:val="nil"/>
            </w:tcBorders>
          </w:tcPr>
          <w:p w14:paraId="09173521"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134</w:t>
            </w:r>
          </w:p>
        </w:tc>
        <w:tc>
          <w:tcPr>
            <w:tcW w:w="1487" w:type="dxa"/>
            <w:tcBorders>
              <w:bottom w:val="nil"/>
            </w:tcBorders>
          </w:tcPr>
          <w:p w14:paraId="5A5DE38A"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67.0</w:t>
            </w:r>
          </w:p>
        </w:tc>
      </w:tr>
      <w:tr w:rsidR="00C16735" w:rsidRPr="000B2BA8" w14:paraId="4FD783D2" w14:textId="77777777" w:rsidTr="00C16735">
        <w:trPr>
          <w:trHeight w:val="136"/>
        </w:trPr>
        <w:tc>
          <w:tcPr>
            <w:tcW w:w="1430" w:type="dxa"/>
            <w:tcBorders>
              <w:top w:val="nil"/>
              <w:left w:val="nil"/>
              <w:bottom w:val="single" w:sz="4" w:space="0" w:color="auto"/>
              <w:right w:val="nil"/>
            </w:tcBorders>
          </w:tcPr>
          <w:p w14:paraId="15C33993"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MMS</w:t>
            </w:r>
          </w:p>
        </w:tc>
        <w:tc>
          <w:tcPr>
            <w:tcW w:w="1532" w:type="dxa"/>
            <w:tcBorders>
              <w:top w:val="nil"/>
              <w:left w:val="nil"/>
              <w:bottom w:val="single" w:sz="4" w:space="0" w:color="auto"/>
              <w:right w:val="nil"/>
            </w:tcBorders>
          </w:tcPr>
          <w:p w14:paraId="7D847C03"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46</w:t>
            </w:r>
          </w:p>
        </w:tc>
        <w:tc>
          <w:tcPr>
            <w:tcW w:w="1487" w:type="dxa"/>
            <w:tcBorders>
              <w:top w:val="nil"/>
              <w:left w:val="nil"/>
              <w:bottom w:val="single" w:sz="4" w:space="0" w:color="auto"/>
              <w:right w:val="nil"/>
            </w:tcBorders>
          </w:tcPr>
          <w:p w14:paraId="5E968775" w14:textId="77777777" w:rsidR="00C16735" w:rsidRPr="000B2BA8" w:rsidRDefault="00C16735" w:rsidP="00C16735">
            <w:pPr>
              <w:jc w:val="both"/>
              <w:rPr>
                <w:rFonts w:ascii="Garamond" w:eastAsia="Calibri" w:hAnsi="Garamond" w:cs="Times New Roman"/>
                <w:bCs/>
                <w:sz w:val="20"/>
                <w:szCs w:val="20"/>
              </w:rPr>
            </w:pPr>
            <w:r w:rsidRPr="000B2BA8">
              <w:rPr>
                <w:rFonts w:ascii="Garamond" w:eastAsia="Calibri" w:hAnsi="Garamond" w:cs="Times New Roman"/>
                <w:bCs/>
                <w:sz w:val="20"/>
                <w:szCs w:val="20"/>
              </w:rPr>
              <w:t>23.0</w:t>
            </w:r>
          </w:p>
        </w:tc>
      </w:tr>
    </w:tbl>
    <w:p w14:paraId="19E8F3D8" w14:textId="77777777" w:rsidR="00C16735" w:rsidRPr="00C16735" w:rsidRDefault="00C16735" w:rsidP="00C16735">
      <w:pPr>
        <w:jc w:val="both"/>
        <w:rPr>
          <w:rFonts w:ascii="Garamond" w:eastAsia="Calibri" w:hAnsi="Garamond" w:cs="Times New Roman"/>
          <w:i/>
          <w:sz w:val="16"/>
          <w:szCs w:val="16"/>
          <w:lang w:val="en-GB"/>
        </w:rPr>
      </w:pPr>
      <w:r w:rsidRPr="00C16735">
        <w:rPr>
          <w:rFonts w:ascii="Garamond" w:eastAsia="Calibri" w:hAnsi="Garamond" w:cs="Times New Roman"/>
          <w:i/>
          <w:sz w:val="16"/>
          <w:szCs w:val="16"/>
          <w:lang w:val="en-GB"/>
        </w:rPr>
        <w:t>IFA= Iron-Folic Acid; MMS=Multiple Micronutrient Supplements</w:t>
      </w:r>
    </w:p>
    <w:p w14:paraId="514E443F" w14:textId="77777777" w:rsidR="00C16735" w:rsidRPr="00C16735" w:rsidRDefault="00C16735" w:rsidP="00C16735">
      <w:pPr>
        <w:jc w:val="both"/>
        <w:rPr>
          <w:rFonts w:ascii="Garamond" w:hAnsi="Garamond"/>
          <w:b/>
          <w:bCs/>
          <w:iCs/>
          <w:sz w:val="20"/>
          <w:szCs w:val="20"/>
          <w:lang w:val="en-GB"/>
        </w:rPr>
      </w:pPr>
    </w:p>
    <w:p w14:paraId="10EA2D2A" w14:textId="77777777" w:rsidR="00C16735" w:rsidRPr="00C16735" w:rsidRDefault="00C16735" w:rsidP="00C16735">
      <w:pPr>
        <w:jc w:val="both"/>
        <w:rPr>
          <w:rFonts w:ascii="Garamond" w:hAnsi="Garamond"/>
          <w:b/>
          <w:bCs/>
          <w:iCs/>
          <w:sz w:val="20"/>
          <w:szCs w:val="20"/>
          <w:lang w:val="en-GB"/>
        </w:rPr>
      </w:pPr>
      <w:r w:rsidRPr="00C16735">
        <w:rPr>
          <w:rFonts w:ascii="Garamond" w:hAnsi="Garamond"/>
          <w:b/>
          <w:bCs/>
          <w:iCs/>
          <w:sz w:val="20"/>
          <w:szCs w:val="20"/>
          <w:lang w:val="en-GB"/>
        </w:rPr>
        <w:t xml:space="preserve">Biochemical and Haematological Indicators of the pregnant adolescents </w:t>
      </w:r>
    </w:p>
    <w:p w14:paraId="02D35471" w14:textId="77777777" w:rsidR="00C16735" w:rsidRPr="00C16735" w:rsidRDefault="00C16735" w:rsidP="00C16735">
      <w:pPr>
        <w:jc w:val="both"/>
        <w:rPr>
          <w:rFonts w:ascii="Garamond" w:hAnsi="Garamond"/>
          <w:iCs/>
          <w:sz w:val="20"/>
          <w:szCs w:val="20"/>
          <w:lang w:val="en-GB"/>
        </w:rPr>
      </w:pPr>
      <w:r w:rsidRPr="00C16735">
        <w:rPr>
          <w:rFonts w:ascii="Garamond" w:hAnsi="Garamond"/>
          <w:iCs/>
          <w:sz w:val="20"/>
          <w:szCs w:val="20"/>
          <w:lang w:val="en-GB"/>
        </w:rPr>
        <w:t>Table 3 below summarizes the biochemical and haematological indicators of the pregnant adolescents. While more than half 104(52.0%) of the pregnant adolescents maintained normal packed cell volume (PCV), 87(43.5%) were clustered within the low-normal PCV category.  Regarding micronutrient status, majority of the adolescents 166(83.0%) exhibited adequate serum Vitamin B12 levels while 27(13.5%) had borderline serum Vitamin B12 deficiency.</w:t>
      </w:r>
    </w:p>
    <w:p w14:paraId="005B1EAA" w14:textId="77777777" w:rsidR="00C16735" w:rsidRPr="00C16735" w:rsidRDefault="00C16735" w:rsidP="00C16735">
      <w:pPr>
        <w:jc w:val="both"/>
        <w:rPr>
          <w:rFonts w:ascii="Garamond" w:hAnsi="Garamond"/>
          <w:b/>
          <w:bCs/>
          <w:iCs/>
          <w:sz w:val="20"/>
          <w:szCs w:val="20"/>
          <w:lang w:val="en-GB"/>
        </w:rPr>
      </w:pPr>
    </w:p>
    <w:p w14:paraId="20B63EE0" w14:textId="77777777" w:rsidR="00C16735" w:rsidRPr="00C16735" w:rsidRDefault="00C16735" w:rsidP="00C16735">
      <w:pPr>
        <w:spacing w:line="259" w:lineRule="auto"/>
        <w:jc w:val="both"/>
        <w:rPr>
          <w:rFonts w:ascii="Garamond" w:hAnsi="Garamond"/>
          <w:b/>
          <w:bCs/>
          <w:iCs/>
          <w:sz w:val="20"/>
          <w:szCs w:val="20"/>
          <w:lang w:val="en-GB"/>
        </w:rPr>
      </w:pPr>
      <w:r w:rsidRPr="00C16735">
        <w:rPr>
          <w:rFonts w:ascii="Garamond" w:hAnsi="Garamond"/>
          <w:b/>
          <w:bCs/>
          <w:iCs/>
          <w:sz w:val="20"/>
          <w:szCs w:val="20"/>
          <w:lang w:val="en-GB"/>
        </w:rPr>
        <w:t xml:space="preserve">Table 3: </w:t>
      </w:r>
      <w:r w:rsidRPr="00C16735">
        <w:rPr>
          <w:rFonts w:ascii="Garamond" w:hAnsi="Garamond"/>
          <w:iCs/>
          <w:sz w:val="20"/>
          <w:szCs w:val="20"/>
          <w:lang w:val="en-GB"/>
        </w:rPr>
        <w:t>Biochemical and Haematological Indicators of the pregnant adolescents</w:t>
      </w:r>
      <w:r w:rsidRPr="00C16735">
        <w:rPr>
          <w:rFonts w:ascii="Garamond" w:hAnsi="Garamond"/>
          <w:b/>
          <w:bCs/>
          <w:iCs/>
          <w:sz w:val="20"/>
          <w:szCs w:val="20"/>
          <w:lang w:val="en-GB"/>
        </w:rPr>
        <w:t xml:space="preserve"> </w:t>
      </w:r>
    </w:p>
    <w:tbl>
      <w:tblPr>
        <w:tblStyle w:val="TableGrid"/>
        <w:tblW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97"/>
        <w:gridCol w:w="862"/>
      </w:tblGrid>
      <w:tr w:rsidR="00C16735" w:rsidRPr="00C16735" w14:paraId="1B8886C4" w14:textId="77777777" w:rsidTr="000B2BA8">
        <w:tc>
          <w:tcPr>
            <w:tcW w:w="2977" w:type="dxa"/>
            <w:tcBorders>
              <w:top w:val="single" w:sz="4" w:space="0" w:color="auto"/>
              <w:bottom w:val="single" w:sz="4" w:space="0" w:color="auto"/>
            </w:tcBorders>
          </w:tcPr>
          <w:p w14:paraId="0A96D87E" w14:textId="77777777" w:rsidR="00C16735" w:rsidRPr="00C16735" w:rsidRDefault="00C16735" w:rsidP="00C16735">
            <w:pPr>
              <w:jc w:val="both"/>
              <w:rPr>
                <w:rFonts w:ascii="Garamond" w:hAnsi="Garamond"/>
                <w:b/>
                <w:bCs/>
                <w:iCs/>
                <w:sz w:val="20"/>
                <w:szCs w:val="20"/>
              </w:rPr>
            </w:pPr>
            <w:r w:rsidRPr="00C16735">
              <w:rPr>
                <w:rFonts w:ascii="Garamond" w:hAnsi="Garamond"/>
                <w:b/>
                <w:bCs/>
                <w:iCs/>
                <w:sz w:val="20"/>
                <w:szCs w:val="20"/>
              </w:rPr>
              <w:t>Variables</w:t>
            </w:r>
          </w:p>
        </w:tc>
        <w:tc>
          <w:tcPr>
            <w:tcW w:w="697" w:type="dxa"/>
            <w:tcBorders>
              <w:top w:val="single" w:sz="4" w:space="0" w:color="auto"/>
              <w:bottom w:val="single" w:sz="4" w:space="0" w:color="auto"/>
            </w:tcBorders>
          </w:tcPr>
          <w:p w14:paraId="57FC0754" w14:textId="1A89C284" w:rsidR="00C16735" w:rsidRPr="00C16735" w:rsidRDefault="00C16735" w:rsidP="00C16735">
            <w:pPr>
              <w:jc w:val="both"/>
              <w:rPr>
                <w:rFonts w:ascii="Garamond" w:hAnsi="Garamond"/>
                <w:b/>
                <w:bCs/>
                <w:iCs/>
                <w:sz w:val="20"/>
                <w:szCs w:val="20"/>
              </w:rPr>
            </w:pPr>
            <w:r w:rsidRPr="00C16735">
              <w:rPr>
                <w:rFonts w:ascii="Garamond" w:hAnsi="Garamond"/>
                <w:b/>
                <w:bCs/>
                <w:iCs/>
                <w:sz w:val="20"/>
                <w:szCs w:val="20"/>
              </w:rPr>
              <w:t>Freq</w:t>
            </w:r>
          </w:p>
        </w:tc>
        <w:tc>
          <w:tcPr>
            <w:tcW w:w="862" w:type="dxa"/>
            <w:tcBorders>
              <w:top w:val="single" w:sz="4" w:space="0" w:color="auto"/>
              <w:bottom w:val="single" w:sz="4" w:space="0" w:color="auto"/>
            </w:tcBorders>
          </w:tcPr>
          <w:p w14:paraId="7AB20C23" w14:textId="619FFC08" w:rsidR="00C16735" w:rsidRPr="00C16735" w:rsidRDefault="00C16735" w:rsidP="00C16735">
            <w:pPr>
              <w:jc w:val="both"/>
              <w:rPr>
                <w:rFonts w:ascii="Garamond" w:hAnsi="Garamond"/>
                <w:b/>
                <w:bCs/>
                <w:iCs/>
                <w:sz w:val="20"/>
                <w:szCs w:val="20"/>
              </w:rPr>
            </w:pPr>
            <w:r w:rsidRPr="00C16735">
              <w:rPr>
                <w:rFonts w:ascii="Garamond" w:hAnsi="Garamond"/>
                <w:b/>
                <w:bCs/>
                <w:iCs/>
                <w:sz w:val="20"/>
                <w:szCs w:val="20"/>
              </w:rPr>
              <w:t>Percent</w:t>
            </w:r>
          </w:p>
        </w:tc>
      </w:tr>
      <w:tr w:rsidR="00C16735" w:rsidRPr="00C16735" w14:paraId="1AD3298B" w14:textId="77777777" w:rsidTr="000B2BA8">
        <w:tc>
          <w:tcPr>
            <w:tcW w:w="4536" w:type="dxa"/>
            <w:gridSpan w:val="3"/>
            <w:tcBorders>
              <w:top w:val="single" w:sz="4" w:space="0" w:color="auto"/>
            </w:tcBorders>
          </w:tcPr>
          <w:p w14:paraId="5FA6BDFB" w14:textId="7C0D251D" w:rsidR="00C16735" w:rsidRPr="000B2BA8" w:rsidRDefault="00C16735" w:rsidP="00C16735">
            <w:pPr>
              <w:jc w:val="both"/>
              <w:rPr>
                <w:rFonts w:ascii="Garamond" w:hAnsi="Garamond"/>
                <w:iCs/>
                <w:sz w:val="20"/>
                <w:szCs w:val="20"/>
              </w:rPr>
            </w:pPr>
            <w:r w:rsidRPr="000B2BA8">
              <w:rPr>
                <w:rFonts w:ascii="Garamond" w:hAnsi="Garamond"/>
                <w:iCs/>
                <w:sz w:val="20"/>
                <w:szCs w:val="20"/>
              </w:rPr>
              <w:t>Pack</w:t>
            </w:r>
            <w:r w:rsidR="00300ECA">
              <w:rPr>
                <w:rFonts w:ascii="Garamond" w:hAnsi="Garamond"/>
                <w:iCs/>
                <w:sz w:val="20"/>
                <w:szCs w:val="20"/>
              </w:rPr>
              <w:t>ed</w:t>
            </w:r>
            <w:r w:rsidRPr="000B2BA8">
              <w:rPr>
                <w:rFonts w:ascii="Garamond" w:hAnsi="Garamond"/>
                <w:iCs/>
                <w:sz w:val="20"/>
                <w:szCs w:val="20"/>
              </w:rPr>
              <w:t xml:space="preserve"> Cell Volume (PCV)</w:t>
            </w:r>
          </w:p>
        </w:tc>
      </w:tr>
      <w:tr w:rsidR="00C16735" w:rsidRPr="00C16735" w14:paraId="561EB588" w14:textId="77777777" w:rsidTr="000B2BA8">
        <w:tc>
          <w:tcPr>
            <w:tcW w:w="2977" w:type="dxa"/>
          </w:tcPr>
          <w:p w14:paraId="31ED676E" w14:textId="77777777" w:rsidR="00C16735" w:rsidRPr="000B2BA8" w:rsidRDefault="00C16735" w:rsidP="00C16735">
            <w:pPr>
              <w:jc w:val="both"/>
              <w:rPr>
                <w:rFonts w:ascii="Garamond" w:hAnsi="Garamond"/>
                <w:iCs/>
                <w:sz w:val="20"/>
                <w:szCs w:val="20"/>
              </w:rPr>
            </w:pPr>
            <w:proofErr w:type="spellStart"/>
            <w:r w:rsidRPr="000B2BA8">
              <w:rPr>
                <w:rFonts w:ascii="Garamond" w:hAnsi="Garamond"/>
                <w:iCs/>
                <w:sz w:val="20"/>
                <w:szCs w:val="20"/>
              </w:rPr>
              <w:t>Anaemia</w:t>
            </w:r>
            <w:proofErr w:type="spellEnd"/>
            <w:r w:rsidRPr="000B2BA8">
              <w:rPr>
                <w:rFonts w:ascii="Garamond" w:hAnsi="Garamond"/>
                <w:iCs/>
                <w:sz w:val="20"/>
                <w:szCs w:val="20"/>
              </w:rPr>
              <w:t xml:space="preserve"> (&lt;33%)</w:t>
            </w:r>
          </w:p>
        </w:tc>
        <w:tc>
          <w:tcPr>
            <w:tcW w:w="697" w:type="dxa"/>
          </w:tcPr>
          <w:p w14:paraId="7BA5A7B2"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9</w:t>
            </w:r>
          </w:p>
        </w:tc>
        <w:tc>
          <w:tcPr>
            <w:tcW w:w="862" w:type="dxa"/>
          </w:tcPr>
          <w:p w14:paraId="1D1F5579"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4.5</w:t>
            </w:r>
          </w:p>
        </w:tc>
      </w:tr>
      <w:tr w:rsidR="00C16735" w:rsidRPr="00C16735" w14:paraId="68A6AFC2" w14:textId="77777777" w:rsidTr="000B2BA8">
        <w:tc>
          <w:tcPr>
            <w:tcW w:w="2977" w:type="dxa"/>
          </w:tcPr>
          <w:p w14:paraId="7327138C"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Low normal (33-35%)</w:t>
            </w:r>
          </w:p>
        </w:tc>
        <w:tc>
          <w:tcPr>
            <w:tcW w:w="697" w:type="dxa"/>
          </w:tcPr>
          <w:p w14:paraId="3D25C657"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87</w:t>
            </w:r>
          </w:p>
        </w:tc>
        <w:tc>
          <w:tcPr>
            <w:tcW w:w="862" w:type="dxa"/>
          </w:tcPr>
          <w:p w14:paraId="6D36C168"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43.5</w:t>
            </w:r>
          </w:p>
        </w:tc>
      </w:tr>
      <w:tr w:rsidR="00C16735" w:rsidRPr="00C16735" w14:paraId="02EBA592" w14:textId="77777777" w:rsidTr="000B2BA8">
        <w:tc>
          <w:tcPr>
            <w:tcW w:w="2977" w:type="dxa"/>
          </w:tcPr>
          <w:p w14:paraId="5DB1A4C7"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Normal (≥36%)</w:t>
            </w:r>
          </w:p>
        </w:tc>
        <w:tc>
          <w:tcPr>
            <w:tcW w:w="697" w:type="dxa"/>
          </w:tcPr>
          <w:p w14:paraId="030B5770"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104</w:t>
            </w:r>
          </w:p>
        </w:tc>
        <w:tc>
          <w:tcPr>
            <w:tcW w:w="862" w:type="dxa"/>
          </w:tcPr>
          <w:p w14:paraId="652621CD"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52.0</w:t>
            </w:r>
          </w:p>
        </w:tc>
      </w:tr>
      <w:tr w:rsidR="00C16735" w:rsidRPr="00C16735" w14:paraId="79697482" w14:textId="77777777" w:rsidTr="000B2BA8">
        <w:tc>
          <w:tcPr>
            <w:tcW w:w="4536" w:type="dxa"/>
            <w:gridSpan w:val="3"/>
          </w:tcPr>
          <w:p w14:paraId="253B9254"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Serum Vitamin B</w:t>
            </w:r>
            <w:r w:rsidRPr="000B2BA8">
              <w:rPr>
                <w:rFonts w:ascii="Garamond" w:hAnsi="Garamond"/>
                <w:iCs/>
                <w:sz w:val="20"/>
                <w:szCs w:val="20"/>
                <w:vertAlign w:val="subscript"/>
              </w:rPr>
              <w:t>12</w:t>
            </w:r>
          </w:p>
        </w:tc>
      </w:tr>
      <w:tr w:rsidR="00C16735" w:rsidRPr="00C16735" w14:paraId="0E54C95A" w14:textId="77777777" w:rsidTr="000B2BA8">
        <w:tc>
          <w:tcPr>
            <w:tcW w:w="2977" w:type="dxa"/>
          </w:tcPr>
          <w:p w14:paraId="5DA7A7D2"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Definite deficiency (&lt;200pg/mL)</w:t>
            </w:r>
          </w:p>
        </w:tc>
        <w:tc>
          <w:tcPr>
            <w:tcW w:w="697" w:type="dxa"/>
          </w:tcPr>
          <w:p w14:paraId="03DE023A"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7</w:t>
            </w:r>
          </w:p>
        </w:tc>
        <w:tc>
          <w:tcPr>
            <w:tcW w:w="862" w:type="dxa"/>
          </w:tcPr>
          <w:p w14:paraId="770823DD"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3.5</w:t>
            </w:r>
          </w:p>
        </w:tc>
      </w:tr>
      <w:tr w:rsidR="00C16735" w:rsidRPr="00C16735" w14:paraId="6D1FEB2C" w14:textId="77777777" w:rsidTr="000B2BA8">
        <w:tc>
          <w:tcPr>
            <w:tcW w:w="2977" w:type="dxa"/>
          </w:tcPr>
          <w:p w14:paraId="65BD431B"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Borderline (200-300pg/mL)</w:t>
            </w:r>
          </w:p>
        </w:tc>
        <w:tc>
          <w:tcPr>
            <w:tcW w:w="697" w:type="dxa"/>
          </w:tcPr>
          <w:p w14:paraId="28C4529A"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27</w:t>
            </w:r>
          </w:p>
        </w:tc>
        <w:tc>
          <w:tcPr>
            <w:tcW w:w="862" w:type="dxa"/>
          </w:tcPr>
          <w:p w14:paraId="0EA1B816"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13.5</w:t>
            </w:r>
          </w:p>
        </w:tc>
      </w:tr>
      <w:tr w:rsidR="00C16735" w:rsidRPr="00C16735" w14:paraId="2F8B0B8D" w14:textId="77777777" w:rsidTr="000B2BA8">
        <w:tc>
          <w:tcPr>
            <w:tcW w:w="2977" w:type="dxa"/>
            <w:tcBorders>
              <w:bottom w:val="single" w:sz="4" w:space="0" w:color="auto"/>
            </w:tcBorders>
          </w:tcPr>
          <w:p w14:paraId="7C8DE640"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Adequate (&gt;300pg/mL)</w:t>
            </w:r>
          </w:p>
        </w:tc>
        <w:tc>
          <w:tcPr>
            <w:tcW w:w="697" w:type="dxa"/>
            <w:tcBorders>
              <w:bottom w:val="single" w:sz="4" w:space="0" w:color="auto"/>
            </w:tcBorders>
          </w:tcPr>
          <w:p w14:paraId="6AC71B69"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166</w:t>
            </w:r>
          </w:p>
        </w:tc>
        <w:tc>
          <w:tcPr>
            <w:tcW w:w="862" w:type="dxa"/>
            <w:tcBorders>
              <w:bottom w:val="single" w:sz="4" w:space="0" w:color="auto"/>
            </w:tcBorders>
          </w:tcPr>
          <w:p w14:paraId="73737637" w14:textId="77777777" w:rsidR="00C16735" w:rsidRPr="000B2BA8" w:rsidRDefault="00C16735" w:rsidP="00C16735">
            <w:pPr>
              <w:jc w:val="both"/>
              <w:rPr>
                <w:rFonts w:ascii="Garamond" w:hAnsi="Garamond"/>
                <w:iCs/>
                <w:sz w:val="20"/>
                <w:szCs w:val="20"/>
              </w:rPr>
            </w:pPr>
            <w:r w:rsidRPr="000B2BA8">
              <w:rPr>
                <w:rFonts w:ascii="Garamond" w:hAnsi="Garamond"/>
                <w:iCs/>
                <w:sz w:val="20"/>
                <w:szCs w:val="20"/>
              </w:rPr>
              <w:t>83</w:t>
            </w:r>
          </w:p>
        </w:tc>
      </w:tr>
    </w:tbl>
    <w:p w14:paraId="0446E589" w14:textId="77777777" w:rsidR="00C16735" w:rsidRPr="00C16735" w:rsidRDefault="00C16735" w:rsidP="00C16735">
      <w:pPr>
        <w:spacing w:line="259" w:lineRule="auto"/>
        <w:jc w:val="both"/>
        <w:rPr>
          <w:rFonts w:ascii="Garamond" w:hAnsi="Garamond"/>
          <w:i/>
          <w:iCs/>
          <w:sz w:val="18"/>
          <w:szCs w:val="18"/>
          <w:lang w:val="en-GB"/>
        </w:rPr>
      </w:pPr>
      <w:r w:rsidRPr="00C16735">
        <w:rPr>
          <w:rFonts w:ascii="Garamond" w:hAnsi="Garamond"/>
          <w:iCs/>
          <w:sz w:val="18"/>
          <w:szCs w:val="18"/>
          <w:lang w:val="en-GB"/>
        </w:rPr>
        <w:t xml:space="preserve"> </w:t>
      </w:r>
      <w:proofErr w:type="spellStart"/>
      <w:r w:rsidRPr="00C16735">
        <w:rPr>
          <w:rFonts w:ascii="Garamond" w:hAnsi="Garamond"/>
          <w:i/>
          <w:iCs/>
          <w:sz w:val="18"/>
          <w:szCs w:val="18"/>
          <w:lang w:val="en-GB"/>
        </w:rPr>
        <w:t>pg</w:t>
      </w:r>
      <w:proofErr w:type="spellEnd"/>
      <w:r w:rsidRPr="00C16735">
        <w:rPr>
          <w:rFonts w:ascii="Garamond" w:hAnsi="Garamond"/>
          <w:i/>
          <w:iCs/>
          <w:sz w:val="18"/>
          <w:szCs w:val="18"/>
          <w:lang w:val="en-GB"/>
        </w:rPr>
        <w:t xml:space="preserve">/mL=picograms per millilitre </w:t>
      </w:r>
    </w:p>
    <w:p w14:paraId="0E1AF2CF" w14:textId="77777777" w:rsidR="00C16735" w:rsidRPr="00C16735" w:rsidRDefault="00C16735" w:rsidP="00C16735">
      <w:pPr>
        <w:spacing w:line="259" w:lineRule="auto"/>
        <w:jc w:val="both"/>
        <w:rPr>
          <w:rFonts w:ascii="Garamond" w:hAnsi="Garamond"/>
          <w:b/>
          <w:bCs/>
          <w:iCs/>
          <w:sz w:val="20"/>
          <w:szCs w:val="20"/>
          <w:lang w:val="en-GB"/>
        </w:rPr>
      </w:pPr>
    </w:p>
    <w:p w14:paraId="30AA18C7" w14:textId="77777777" w:rsidR="00C16735" w:rsidRPr="00C16735" w:rsidRDefault="00C16735" w:rsidP="00C16735">
      <w:pPr>
        <w:spacing w:line="259" w:lineRule="auto"/>
        <w:jc w:val="both"/>
        <w:rPr>
          <w:rFonts w:ascii="Garamond" w:hAnsi="Garamond"/>
          <w:b/>
          <w:bCs/>
          <w:iCs/>
          <w:sz w:val="20"/>
          <w:szCs w:val="20"/>
          <w:lang w:val="en-GB"/>
        </w:rPr>
      </w:pPr>
      <w:r w:rsidRPr="00C16735">
        <w:rPr>
          <w:rFonts w:ascii="Garamond" w:hAnsi="Garamond"/>
          <w:b/>
          <w:bCs/>
          <w:iCs/>
          <w:sz w:val="20"/>
          <w:szCs w:val="20"/>
          <w:lang w:val="en-GB"/>
        </w:rPr>
        <w:t>Association between Socio-Demographic Characteristics and Minimum Dietary Diversity of Respondents</w:t>
      </w:r>
    </w:p>
    <w:p w14:paraId="0885469D" w14:textId="77777777" w:rsidR="00C16735" w:rsidRPr="00C16735" w:rsidRDefault="00C16735" w:rsidP="00C16735">
      <w:pPr>
        <w:spacing w:line="259" w:lineRule="auto"/>
        <w:jc w:val="both"/>
        <w:rPr>
          <w:rFonts w:ascii="Garamond" w:hAnsi="Garamond"/>
          <w:b/>
          <w:bCs/>
          <w:iCs/>
          <w:sz w:val="20"/>
          <w:szCs w:val="20"/>
          <w:lang w:val="en-GB"/>
        </w:rPr>
      </w:pPr>
      <w:r w:rsidRPr="00C16735">
        <w:rPr>
          <w:rFonts w:ascii="Garamond" w:hAnsi="Garamond"/>
          <w:bCs/>
          <w:iCs/>
          <w:sz w:val="20"/>
          <w:szCs w:val="20"/>
          <w:lang w:val="en-GB"/>
        </w:rPr>
        <w:t>Table 4 summarizes the associations between socio-demographic characteristics and minimum dietary diversity of the respondents. The analysis revealed significant associations between minimum dietary diversity and several other socio-demographic factors including: place of residence (X</w:t>
      </w:r>
      <w:r w:rsidRPr="00C16735">
        <w:rPr>
          <w:rFonts w:ascii="Garamond" w:hAnsi="Garamond"/>
          <w:bCs/>
          <w:iCs/>
          <w:sz w:val="20"/>
          <w:szCs w:val="20"/>
          <w:vertAlign w:val="superscript"/>
          <w:lang w:val="en-GB"/>
        </w:rPr>
        <w:t xml:space="preserve">2 </w:t>
      </w:r>
      <w:r w:rsidRPr="00C16735">
        <w:rPr>
          <w:rFonts w:ascii="Garamond" w:hAnsi="Garamond"/>
          <w:bCs/>
          <w:iCs/>
          <w:sz w:val="20"/>
          <w:szCs w:val="20"/>
          <w:lang w:val="en-GB"/>
        </w:rPr>
        <w:t>=31.16, p&lt;0.001), religion (X</w:t>
      </w:r>
      <w:r w:rsidRPr="00C16735">
        <w:rPr>
          <w:rFonts w:ascii="Garamond" w:hAnsi="Garamond"/>
          <w:bCs/>
          <w:iCs/>
          <w:sz w:val="20"/>
          <w:szCs w:val="20"/>
          <w:vertAlign w:val="superscript"/>
          <w:lang w:val="en-GB"/>
        </w:rPr>
        <w:t xml:space="preserve">2 </w:t>
      </w:r>
      <w:r w:rsidRPr="00C16735">
        <w:rPr>
          <w:rFonts w:ascii="Garamond" w:hAnsi="Garamond"/>
          <w:bCs/>
          <w:iCs/>
          <w:sz w:val="20"/>
          <w:szCs w:val="20"/>
          <w:lang w:val="en-GB"/>
        </w:rPr>
        <w:t>=15.04, p=0.020), marital status (p=0.038, fisher’s exact test), occupation (X</w:t>
      </w:r>
      <w:r w:rsidRPr="00C16735">
        <w:rPr>
          <w:rFonts w:ascii="Garamond" w:hAnsi="Garamond"/>
          <w:bCs/>
          <w:iCs/>
          <w:sz w:val="20"/>
          <w:szCs w:val="20"/>
          <w:vertAlign w:val="superscript"/>
          <w:lang w:val="en-GB"/>
        </w:rPr>
        <w:t xml:space="preserve">2 </w:t>
      </w:r>
      <w:r w:rsidRPr="00C16735">
        <w:rPr>
          <w:rFonts w:ascii="Garamond" w:hAnsi="Garamond"/>
          <w:bCs/>
          <w:iCs/>
          <w:sz w:val="20"/>
          <w:szCs w:val="20"/>
          <w:lang w:val="en-GB"/>
        </w:rPr>
        <w:t>=24.16, p=&lt;0.001), educational status (X</w:t>
      </w:r>
      <w:r w:rsidRPr="00C16735">
        <w:rPr>
          <w:rFonts w:ascii="Garamond" w:hAnsi="Garamond"/>
          <w:bCs/>
          <w:iCs/>
          <w:sz w:val="20"/>
          <w:szCs w:val="20"/>
          <w:vertAlign w:val="superscript"/>
          <w:lang w:val="en-GB"/>
        </w:rPr>
        <w:t xml:space="preserve">2 </w:t>
      </w:r>
      <w:r w:rsidRPr="00C16735">
        <w:rPr>
          <w:rFonts w:ascii="Garamond" w:hAnsi="Garamond"/>
          <w:bCs/>
          <w:iCs/>
          <w:sz w:val="20"/>
          <w:szCs w:val="20"/>
          <w:lang w:val="en-GB"/>
        </w:rPr>
        <w:t>=28.61, p=&lt;0.001), monthly income (X</w:t>
      </w:r>
      <w:r w:rsidRPr="00C16735">
        <w:rPr>
          <w:rFonts w:ascii="Garamond" w:hAnsi="Garamond"/>
          <w:bCs/>
          <w:iCs/>
          <w:sz w:val="20"/>
          <w:szCs w:val="20"/>
          <w:vertAlign w:val="superscript"/>
          <w:lang w:val="en-GB"/>
        </w:rPr>
        <w:t xml:space="preserve">2 </w:t>
      </w:r>
      <w:r w:rsidRPr="00C16735">
        <w:rPr>
          <w:rFonts w:ascii="Garamond" w:hAnsi="Garamond"/>
          <w:bCs/>
          <w:iCs/>
          <w:sz w:val="20"/>
          <w:szCs w:val="20"/>
          <w:lang w:val="en-GB"/>
        </w:rPr>
        <w:t>=4.10, p=0.043), family type (X</w:t>
      </w:r>
      <w:r w:rsidRPr="00C16735">
        <w:rPr>
          <w:rFonts w:ascii="Garamond" w:hAnsi="Garamond"/>
          <w:bCs/>
          <w:iCs/>
          <w:sz w:val="20"/>
          <w:szCs w:val="20"/>
          <w:vertAlign w:val="superscript"/>
          <w:lang w:val="en-GB"/>
        </w:rPr>
        <w:t>2</w:t>
      </w:r>
      <w:r w:rsidRPr="00C16735">
        <w:rPr>
          <w:rFonts w:ascii="Garamond" w:hAnsi="Garamond"/>
          <w:bCs/>
          <w:iCs/>
          <w:sz w:val="20"/>
          <w:szCs w:val="20"/>
          <w:lang w:val="en-GB"/>
        </w:rPr>
        <w:t>=6.33, p=0.012) and number of children (X</w:t>
      </w:r>
      <w:r w:rsidRPr="00C16735">
        <w:rPr>
          <w:rFonts w:ascii="Garamond" w:hAnsi="Garamond"/>
          <w:bCs/>
          <w:iCs/>
          <w:sz w:val="20"/>
          <w:szCs w:val="20"/>
          <w:vertAlign w:val="superscript"/>
          <w:lang w:val="en-GB"/>
        </w:rPr>
        <w:t>2</w:t>
      </w:r>
      <w:r w:rsidRPr="00C16735">
        <w:rPr>
          <w:rFonts w:ascii="Garamond" w:hAnsi="Garamond"/>
          <w:bCs/>
          <w:iCs/>
          <w:sz w:val="20"/>
          <w:szCs w:val="20"/>
          <w:lang w:val="en-GB"/>
        </w:rPr>
        <w:t>=6.19, p=0.013)</w:t>
      </w:r>
    </w:p>
    <w:p w14:paraId="267BDBF6" w14:textId="77777777" w:rsidR="00300ECA" w:rsidRPr="00C656E4" w:rsidRDefault="00300ECA" w:rsidP="00300ECA">
      <w:pPr>
        <w:spacing w:line="259" w:lineRule="auto"/>
        <w:jc w:val="both"/>
        <w:rPr>
          <w:rFonts w:ascii="Garamond" w:hAnsi="Garamond"/>
          <w:b/>
          <w:bCs/>
          <w:sz w:val="20"/>
          <w:szCs w:val="20"/>
          <w:lang w:val="en-GB"/>
        </w:rPr>
      </w:pPr>
      <w:r w:rsidRPr="00C656E4">
        <w:rPr>
          <w:rFonts w:ascii="Garamond" w:hAnsi="Garamond"/>
          <w:b/>
          <w:bCs/>
          <w:sz w:val="20"/>
          <w:szCs w:val="20"/>
          <w:lang w:val="en-GB"/>
        </w:rPr>
        <w:t>Predictors of Inadequate Dietary Diversity among Study Participants</w:t>
      </w:r>
    </w:p>
    <w:p w14:paraId="78B23EB6" w14:textId="77777777" w:rsidR="00300ECA" w:rsidRDefault="00300ECA" w:rsidP="00300ECA">
      <w:pPr>
        <w:spacing w:line="259" w:lineRule="auto"/>
        <w:jc w:val="both"/>
        <w:rPr>
          <w:rFonts w:ascii="Garamond" w:hAnsi="Garamond"/>
          <w:sz w:val="20"/>
          <w:szCs w:val="20"/>
          <w:lang w:val="en-GB"/>
        </w:rPr>
      </w:pPr>
      <w:r w:rsidRPr="00C656E4">
        <w:rPr>
          <w:rFonts w:ascii="Garamond" w:hAnsi="Garamond"/>
          <w:sz w:val="20"/>
          <w:szCs w:val="20"/>
          <w:lang w:val="en-GB"/>
        </w:rPr>
        <w:t xml:space="preserve">Table 5 below presents the predictors of inadequate dietary diversity among the study participants. Multivariate logistic regression identified two independent predictors: place of residence and family type. Adolescents in </w:t>
      </w:r>
      <w:proofErr w:type="spellStart"/>
      <w:r w:rsidRPr="00C656E4">
        <w:rPr>
          <w:rFonts w:ascii="Garamond" w:hAnsi="Garamond"/>
          <w:sz w:val="20"/>
          <w:szCs w:val="20"/>
          <w:lang w:val="en-GB"/>
        </w:rPr>
        <w:t>Dambam</w:t>
      </w:r>
      <w:proofErr w:type="spellEnd"/>
      <w:r w:rsidRPr="00C656E4">
        <w:rPr>
          <w:rFonts w:ascii="Garamond" w:hAnsi="Garamond"/>
          <w:sz w:val="20"/>
          <w:szCs w:val="20"/>
          <w:lang w:val="en-GB"/>
        </w:rPr>
        <w:t xml:space="preserve"> had 1.7-fold higher odds of inadequate dietary diversity compared to adolescents in </w:t>
      </w:r>
      <w:proofErr w:type="spellStart"/>
      <w:r w:rsidRPr="00C656E4">
        <w:rPr>
          <w:rFonts w:ascii="Garamond" w:hAnsi="Garamond"/>
          <w:sz w:val="20"/>
          <w:szCs w:val="20"/>
          <w:lang w:val="en-GB"/>
        </w:rPr>
        <w:t>Alkaleri</w:t>
      </w:r>
      <w:proofErr w:type="spellEnd"/>
      <w:r w:rsidRPr="00C656E4">
        <w:rPr>
          <w:rFonts w:ascii="Garamond" w:hAnsi="Garamond"/>
          <w:sz w:val="20"/>
          <w:szCs w:val="20"/>
          <w:lang w:val="en-GB"/>
        </w:rPr>
        <w:t xml:space="preserve"> (AOR=1.7, 95% CI: 1.2-2.6, p=0.035). Similarly, those in polygamous households had 1.8 higher odds of inadequate dietary diversity compared to monogamous households (AOR=1.8, 95% CI: 1.3-2.5, p=0.036).</w:t>
      </w:r>
    </w:p>
    <w:p w14:paraId="6271A312" w14:textId="7827A206" w:rsidR="00C064EF" w:rsidRPr="00C16735" w:rsidRDefault="00C064EF" w:rsidP="007A1526">
      <w:pPr>
        <w:spacing w:line="259" w:lineRule="auto"/>
        <w:jc w:val="both"/>
        <w:rPr>
          <w:rFonts w:ascii="Garamond" w:hAnsi="Garamond"/>
          <w:bCs/>
          <w:iCs/>
          <w:sz w:val="20"/>
          <w:szCs w:val="20"/>
        </w:rPr>
      </w:pPr>
    </w:p>
    <w:p w14:paraId="10A83D68" w14:textId="10400171" w:rsidR="00C064EF" w:rsidRPr="00C16735" w:rsidRDefault="00C064EF" w:rsidP="007A1526">
      <w:pPr>
        <w:spacing w:line="259" w:lineRule="auto"/>
        <w:jc w:val="both"/>
        <w:rPr>
          <w:rFonts w:ascii="Garamond" w:hAnsi="Garamond"/>
          <w:bCs/>
          <w:iCs/>
          <w:sz w:val="20"/>
          <w:szCs w:val="20"/>
        </w:rPr>
      </w:pPr>
    </w:p>
    <w:p w14:paraId="757C06D1" w14:textId="25F6A65F" w:rsidR="00C064EF" w:rsidRPr="00C16735" w:rsidRDefault="00C064EF" w:rsidP="007A1526">
      <w:pPr>
        <w:spacing w:line="259" w:lineRule="auto"/>
        <w:jc w:val="both"/>
        <w:rPr>
          <w:rFonts w:ascii="Garamond" w:hAnsi="Garamond"/>
          <w:bCs/>
          <w:iCs/>
          <w:sz w:val="20"/>
          <w:szCs w:val="20"/>
        </w:rPr>
      </w:pPr>
    </w:p>
    <w:p w14:paraId="537D2DE5" w14:textId="77777777" w:rsidR="00C064EF" w:rsidRDefault="00C064EF" w:rsidP="007A1526">
      <w:pPr>
        <w:spacing w:line="259" w:lineRule="auto"/>
        <w:jc w:val="both"/>
        <w:rPr>
          <w:rFonts w:ascii="Garamond" w:hAnsi="Garamond"/>
          <w:bCs/>
          <w:iCs/>
          <w:sz w:val="20"/>
          <w:szCs w:val="20"/>
        </w:rPr>
      </w:pPr>
    </w:p>
    <w:p w14:paraId="6DB82811" w14:textId="77777777" w:rsidR="00C16735" w:rsidRDefault="00C16735" w:rsidP="007A1526">
      <w:pPr>
        <w:spacing w:line="259" w:lineRule="auto"/>
        <w:jc w:val="both"/>
        <w:rPr>
          <w:rFonts w:ascii="Garamond" w:hAnsi="Garamond"/>
          <w:bCs/>
          <w:iCs/>
          <w:sz w:val="20"/>
          <w:szCs w:val="20"/>
        </w:rPr>
      </w:pPr>
    </w:p>
    <w:p w14:paraId="3257F706" w14:textId="77777777" w:rsidR="00C16735" w:rsidRDefault="00C16735" w:rsidP="007A1526">
      <w:pPr>
        <w:spacing w:line="259" w:lineRule="auto"/>
        <w:jc w:val="both"/>
        <w:rPr>
          <w:rFonts w:ascii="Garamond" w:hAnsi="Garamond"/>
          <w:bCs/>
          <w:iCs/>
          <w:sz w:val="20"/>
          <w:szCs w:val="20"/>
        </w:rPr>
      </w:pPr>
    </w:p>
    <w:p w14:paraId="63514A79" w14:textId="77777777" w:rsidR="00C16735" w:rsidRDefault="00C16735" w:rsidP="007A1526">
      <w:pPr>
        <w:spacing w:line="259" w:lineRule="auto"/>
        <w:jc w:val="both"/>
        <w:rPr>
          <w:rFonts w:ascii="Garamond" w:hAnsi="Garamond"/>
          <w:bCs/>
          <w:iCs/>
          <w:sz w:val="20"/>
          <w:szCs w:val="20"/>
        </w:rPr>
        <w:sectPr w:rsidR="00C16735" w:rsidSect="003D02D5">
          <w:type w:val="continuous"/>
          <w:pgSz w:w="12240" w:h="15840"/>
          <w:pgMar w:top="1440" w:right="1440" w:bottom="1440" w:left="1440" w:header="720" w:footer="720" w:gutter="0"/>
          <w:cols w:num="2" w:space="720"/>
          <w:titlePg/>
          <w:docGrid w:linePitch="360"/>
        </w:sectPr>
      </w:pPr>
    </w:p>
    <w:p w14:paraId="024AAC0D" w14:textId="41560C87" w:rsidR="00C16735" w:rsidRPr="00C16735" w:rsidRDefault="00C16735" w:rsidP="00C16735">
      <w:pPr>
        <w:spacing w:line="259" w:lineRule="auto"/>
        <w:jc w:val="both"/>
        <w:rPr>
          <w:rFonts w:ascii="Garamond" w:hAnsi="Garamond"/>
          <w:b/>
          <w:bCs/>
          <w:iCs/>
          <w:sz w:val="20"/>
          <w:szCs w:val="20"/>
          <w:lang w:val="en-GB"/>
        </w:rPr>
      </w:pPr>
      <w:r w:rsidRPr="00C16735">
        <w:rPr>
          <w:rFonts w:ascii="Garamond" w:hAnsi="Garamond"/>
          <w:b/>
          <w:bCs/>
          <w:iCs/>
          <w:sz w:val="20"/>
          <w:szCs w:val="20"/>
          <w:lang w:val="en-GB"/>
        </w:rPr>
        <w:lastRenderedPageBreak/>
        <w:t xml:space="preserve">Table 4: </w:t>
      </w:r>
      <w:r w:rsidRPr="00C16735">
        <w:rPr>
          <w:rFonts w:ascii="Garamond" w:hAnsi="Garamond"/>
          <w:iCs/>
          <w:sz w:val="20"/>
          <w:szCs w:val="20"/>
          <w:lang w:val="en-GB"/>
        </w:rPr>
        <w:t>Association between Socio-demographic Characteristics and Minimum Dietary Diversity of Respondents</w:t>
      </w:r>
    </w:p>
    <w:tbl>
      <w:tblPr>
        <w:tblStyle w:val="PlainTable2"/>
        <w:tblW w:w="10348" w:type="dxa"/>
        <w:tblBorders>
          <w:top w:val="none" w:sz="0" w:space="0" w:color="auto"/>
          <w:bottom w:val="none" w:sz="0" w:space="0" w:color="auto"/>
        </w:tblBorders>
        <w:tblLayout w:type="fixed"/>
        <w:tblLook w:val="0620" w:firstRow="1" w:lastRow="0" w:firstColumn="0" w:lastColumn="0" w:noHBand="1" w:noVBand="1"/>
      </w:tblPr>
      <w:tblGrid>
        <w:gridCol w:w="1985"/>
        <w:gridCol w:w="1843"/>
        <w:gridCol w:w="192"/>
        <w:gridCol w:w="1509"/>
        <w:gridCol w:w="1589"/>
        <w:gridCol w:w="1529"/>
        <w:gridCol w:w="1701"/>
      </w:tblGrid>
      <w:tr w:rsidR="00C656E4" w:rsidRPr="00300ECA" w14:paraId="51B1A8A9" w14:textId="77777777" w:rsidTr="00300ECA">
        <w:trPr>
          <w:cnfStyle w:val="100000000000" w:firstRow="1" w:lastRow="0" w:firstColumn="0" w:lastColumn="0" w:oddVBand="0" w:evenVBand="0" w:oddHBand="0" w:evenHBand="0" w:firstRowFirstColumn="0" w:firstRowLastColumn="0" w:lastRowFirstColumn="0" w:lastRowLastColumn="0"/>
          <w:trHeight w:val="20"/>
        </w:trPr>
        <w:tc>
          <w:tcPr>
            <w:tcW w:w="1985" w:type="dxa"/>
            <w:vMerge w:val="restart"/>
            <w:tcBorders>
              <w:top w:val="single" w:sz="4" w:space="0" w:color="auto"/>
              <w:bottom w:val="none" w:sz="0" w:space="0" w:color="auto"/>
            </w:tcBorders>
          </w:tcPr>
          <w:p w14:paraId="5650367A" w14:textId="107E7778" w:rsidR="00C656E4" w:rsidRPr="00300ECA" w:rsidRDefault="00C656E4" w:rsidP="00300ECA">
            <w:pPr>
              <w:rPr>
                <w:rFonts w:ascii="Garamond" w:hAnsi="Garamond"/>
                <w:b w:val="0"/>
                <w:bCs w:val="0"/>
                <w:iCs/>
                <w:sz w:val="19"/>
                <w:szCs w:val="19"/>
                <w:lang w:val="en-GB"/>
              </w:rPr>
            </w:pPr>
            <w:r w:rsidRPr="00300ECA">
              <w:rPr>
                <w:rFonts w:ascii="Garamond" w:hAnsi="Garamond"/>
                <w:iCs/>
                <w:sz w:val="19"/>
                <w:szCs w:val="19"/>
                <w:lang w:val="en-GB"/>
              </w:rPr>
              <w:t>Variables</w:t>
            </w:r>
          </w:p>
        </w:tc>
        <w:tc>
          <w:tcPr>
            <w:tcW w:w="8363" w:type="dxa"/>
            <w:gridSpan w:val="6"/>
            <w:tcBorders>
              <w:top w:val="single" w:sz="4" w:space="0" w:color="auto"/>
              <w:bottom w:val="single" w:sz="4" w:space="0" w:color="auto"/>
            </w:tcBorders>
          </w:tcPr>
          <w:p w14:paraId="189971DB" w14:textId="6DD69D5A" w:rsidR="00C656E4" w:rsidRPr="00300ECA" w:rsidRDefault="00C656E4" w:rsidP="00300ECA">
            <w:pPr>
              <w:jc w:val="center"/>
              <w:rPr>
                <w:rFonts w:ascii="Garamond" w:hAnsi="Garamond"/>
                <w:b w:val="0"/>
                <w:bCs w:val="0"/>
                <w:iCs/>
                <w:sz w:val="19"/>
                <w:szCs w:val="19"/>
                <w:lang w:val="en-GB"/>
              </w:rPr>
            </w:pPr>
            <w:r w:rsidRPr="00300ECA">
              <w:rPr>
                <w:rFonts w:ascii="Garamond" w:hAnsi="Garamond"/>
                <w:iCs/>
                <w:sz w:val="19"/>
                <w:szCs w:val="19"/>
                <w:lang w:val="en-GB"/>
              </w:rPr>
              <w:t>Minimum Dietary Diversity</w:t>
            </w:r>
          </w:p>
        </w:tc>
      </w:tr>
      <w:tr w:rsidR="00C656E4" w:rsidRPr="00300ECA" w14:paraId="0EF2227D" w14:textId="77777777" w:rsidTr="00300ECA">
        <w:trPr>
          <w:trHeight w:val="20"/>
        </w:trPr>
        <w:tc>
          <w:tcPr>
            <w:tcW w:w="1985" w:type="dxa"/>
            <w:vMerge/>
            <w:tcBorders>
              <w:bottom w:val="single" w:sz="4" w:space="0" w:color="auto"/>
            </w:tcBorders>
          </w:tcPr>
          <w:p w14:paraId="0C8CBD4F" w14:textId="4F01BB62" w:rsidR="00C656E4" w:rsidRPr="00300ECA" w:rsidRDefault="00C656E4" w:rsidP="00300ECA">
            <w:pPr>
              <w:rPr>
                <w:rFonts w:ascii="Garamond" w:hAnsi="Garamond"/>
                <w:b/>
                <w:bCs/>
                <w:iCs/>
                <w:sz w:val="19"/>
                <w:szCs w:val="19"/>
                <w:lang w:val="en-GB"/>
              </w:rPr>
            </w:pPr>
          </w:p>
        </w:tc>
        <w:tc>
          <w:tcPr>
            <w:tcW w:w="1843" w:type="dxa"/>
            <w:tcBorders>
              <w:top w:val="single" w:sz="4" w:space="0" w:color="auto"/>
              <w:bottom w:val="single" w:sz="4" w:space="0" w:color="auto"/>
            </w:tcBorders>
          </w:tcPr>
          <w:p w14:paraId="0E472A09" w14:textId="77777777" w:rsidR="00C656E4" w:rsidRPr="00300ECA" w:rsidRDefault="00C656E4" w:rsidP="00300ECA">
            <w:pPr>
              <w:rPr>
                <w:rFonts w:ascii="Garamond" w:hAnsi="Garamond"/>
                <w:b/>
                <w:bCs/>
                <w:iCs/>
                <w:sz w:val="19"/>
                <w:szCs w:val="19"/>
                <w:lang w:val="en-GB"/>
              </w:rPr>
            </w:pPr>
            <w:r w:rsidRPr="00300ECA">
              <w:rPr>
                <w:rFonts w:ascii="Garamond" w:hAnsi="Garamond"/>
                <w:b/>
                <w:bCs/>
                <w:iCs/>
                <w:sz w:val="19"/>
                <w:szCs w:val="19"/>
                <w:lang w:val="en-GB"/>
              </w:rPr>
              <w:t xml:space="preserve">Low DD </w:t>
            </w:r>
          </w:p>
          <w:p w14:paraId="5B2466CC" w14:textId="77777777" w:rsidR="00C656E4" w:rsidRPr="00300ECA" w:rsidRDefault="00C656E4" w:rsidP="00300ECA">
            <w:pPr>
              <w:rPr>
                <w:rFonts w:ascii="Garamond" w:hAnsi="Garamond"/>
                <w:b/>
                <w:bCs/>
                <w:iCs/>
                <w:sz w:val="19"/>
                <w:szCs w:val="19"/>
                <w:lang w:val="en-GB"/>
              </w:rPr>
            </w:pPr>
            <w:r w:rsidRPr="00300ECA">
              <w:rPr>
                <w:rFonts w:ascii="Garamond" w:hAnsi="Garamond"/>
                <w:b/>
                <w:bCs/>
                <w:iCs/>
                <w:sz w:val="19"/>
                <w:szCs w:val="19"/>
                <w:lang w:val="en-GB"/>
              </w:rPr>
              <w:t xml:space="preserve">Frequency </w:t>
            </w:r>
            <w:proofErr w:type="gramStart"/>
            <w:r w:rsidRPr="00300ECA">
              <w:rPr>
                <w:rFonts w:ascii="Garamond" w:hAnsi="Garamond"/>
                <w:b/>
                <w:bCs/>
                <w:iCs/>
                <w:sz w:val="19"/>
                <w:szCs w:val="19"/>
                <w:lang w:val="en-GB"/>
              </w:rPr>
              <w:t xml:space="preserve">   (</w:t>
            </w:r>
            <w:proofErr w:type="gramEnd"/>
            <w:r w:rsidRPr="00300ECA">
              <w:rPr>
                <w:rFonts w:ascii="Garamond" w:hAnsi="Garamond"/>
                <w:b/>
                <w:bCs/>
                <w:iCs/>
                <w:sz w:val="19"/>
                <w:szCs w:val="19"/>
                <w:lang w:val="en-GB"/>
              </w:rPr>
              <w:t>%)</w:t>
            </w:r>
          </w:p>
        </w:tc>
        <w:tc>
          <w:tcPr>
            <w:tcW w:w="1701" w:type="dxa"/>
            <w:gridSpan w:val="2"/>
            <w:tcBorders>
              <w:top w:val="single" w:sz="4" w:space="0" w:color="auto"/>
              <w:bottom w:val="single" w:sz="4" w:space="0" w:color="auto"/>
            </w:tcBorders>
          </w:tcPr>
          <w:p w14:paraId="1E887D8C" w14:textId="77777777" w:rsidR="00C656E4" w:rsidRPr="00300ECA" w:rsidRDefault="00C656E4" w:rsidP="00300ECA">
            <w:pPr>
              <w:rPr>
                <w:rFonts w:ascii="Garamond" w:hAnsi="Garamond"/>
                <w:b/>
                <w:bCs/>
                <w:iCs/>
                <w:sz w:val="19"/>
                <w:szCs w:val="19"/>
                <w:lang w:val="en-GB"/>
              </w:rPr>
            </w:pPr>
            <w:r w:rsidRPr="00300ECA">
              <w:rPr>
                <w:rFonts w:ascii="Garamond" w:hAnsi="Garamond"/>
                <w:b/>
                <w:bCs/>
                <w:iCs/>
                <w:sz w:val="19"/>
                <w:szCs w:val="19"/>
                <w:lang w:val="en-GB"/>
              </w:rPr>
              <w:t>Adequate DD</w:t>
            </w:r>
          </w:p>
          <w:p w14:paraId="75452ABD" w14:textId="77777777" w:rsidR="00C656E4" w:rsidRPr="00300ECA" w:rsidRDefault="00C656E4" w:rsidP="00300ECA">
            <w:pPr>
              <w:rPr>
                <w:rFonts w:ascii="Garamond" w:hAnsi="Garamond"/>
                <w:b/>
                <w:bCs/>
                <w:iCs/>
                <w:sz w:val="19"/>
                <w:szCs w:val="19"/>
                <w:lang w:val="en-GB"/>
              </w:rPr>
            </w:pPr>
            <w:r w:rsidRPr="00300ECA">
              <w:rPr>
                <w:rFonts w:ascii="Garamond" w:hAnsi="Garamond"/>
                <w:b/>
                <w:bCs/>
                <w:iCs/>
                <w:sz w:val="19"/>
                <w:szCs w:val="19"/>
                <w:lang w:val="en-GB"/>
              </w:rPr>
              <w:t>Frequency (%)</w:t>
            </w:r>
          </w:p>
        </w:tc>
        <w:tc>
          <w:tcPr>
            <w:tcW w:w="1589" w:type="dxa"/>
            <w:tcBorders>
              <w:top w:val="single" w:sz="4" w:space="0" w:color="auto"/>
              <w:bottom w:val="single" w:sz="4" w:space="0" w:color="auto"/>
            </w:tcBorders>
          </w:tcPr>
          <w:p w14:paraId="79858E6A" w14:textId="77777777" w:rsidR="00C656E4" w:rsidRPr="00300ECA" w:rsidRDefault="00C656E4" w:rsidP="00300ECA">
            <w:pPr>
              <w:rPr>
                <w:rFonts w:ascii="Garamond" w:hAnsi="Garamond"/>
                <w:b/>
                <w:bCs/>
                <w:iCs/>
                <w:sz w:val="19"/>
                <w:szCs w:val="19"/>
                <w:lang w:val="en-GB"/>
              </w:rPr>
            </w:pPr>
            <w:r w:rsidRPr="00300ECA">
              <w:rPr>
                <w:rFonts w:ascii="Garamond" w:hAnsi="Garamond"/>
                <w:b/>
                <w:bCs/>
                <w:iCs/>
                <w:sz w:val="19"/>
                <w:szCs w:val="19"/>
                <w:lang w:val="en-GB"/>
              </w:rPr>
              <w:t>Total</w:t>
            </w:r>
          </w:p>
          <w:p w14:paraId="13B57F28" w14:textId="77777777" w:rsidR="00C656E4" w:rsidRPr="00300ECA" w:rsidRDefault="00C656E4" w:rsidP="00300ECA">
            <w:pPr>
              <w:rPr>
                <w:rFonts w:ascii="Garamond" w:hAnsi="Garamond"/>
                <w:b/>
                <w:bCs/>
                <w:iCs/>
                <w:sz w:val="19"/>
                <w:szCs w:val="19"/>
                <w:lang w:val="en-GB"/>
              </w:rPr>
            </w:pPr>
            <w:r w:rsidRPr="00300ECA">
              <w:rPr>
                <w:rFonts w:ascii="Garamond" w:hAnsi="Garamond"/>
                <w:b/>
                <w:bCs/>
                <w:iCs/>
                <w:sz w:val="19"/>
                <w:szCs w:val="19"/>
                <w:lang w:val="en-GB"/>
              </w:rPr>
              <w:t>Frequency (%)</w:t>
            </w:r>
          </w:p>
        </w:tc>
        <w:tc>
          <w:tcPr>
            <w:tcW w:w="1529" w:type="dxa"/>
            <w:tcBorders>
              <w:top w:val="single" w:sz="4" w:space="0" w:color="auto"/>
              <w:bottom w:val="single" w:sz="4" w:space="0" w:color="auto"/>
            </w:tcBorders>
          </w:tcPr>
          <w:p w14:paraId="34DBE4BE" w14:textId="77777777" w:rsidR="00C656E4" w:rsidRPr="00300ECA" w:rsidRDefault="00C656E4" w:rsidP="00300ECA">
            <w:pPr>
              <w:rPr>
                <w:rFonts w:ascii="Garamond" w:hAnsi="Garamond"/>
                <w:b/>
                <w:bCs/>
                <w:iCs/>
                <w:sz w:val="19"/>
                <w:szCs w:val="19"/>
                <w:lang w:val="en-GB"/>
              </w:rPr>
            </w:pPr>
            <w:r w:rsidRPr="00300ECA">
              <w:rPr>
                <w:rFonts w:ascii="Garamond" w:hAnsi="Garamond"/>
                <w:b/>
                <w:bCs/>
                <w:iCs/>
                <w:sz w:val="19"/>
                <w:szCs w:val="19"/>
                <w:lang w:val="en-GB"/>
              </w:rPr>
              <w:t>X</w:t>
            </w:r>
            <w:r w:rsidRPr="00300ECA">
              <w:rPr>
                <w:rFonts w:ascii="Garamond" w:hAnsi="Garamond"/>
                <w:b/>
                <w:bCs/>
                <w:iCs/>
                <w:sz w:val="19"/>
                <w:szCs w:val="19"/>
                <w:vertAlign w:val="superscript"/>
                <w:lang w:val="en-GB"/>
              </w:rPr>
              <w:t>2</w:t>
            </w:r>
            <w:r w:rsidRPr="00300ECA">
              <w:rPr>
                <w:rFonts w:ascii="Garamond" w:hAnsi="Garamond"/>
                <w:b/>
                <w:bCs/>
                <w:iCs/>
                <w:sz w:val="19"/>
                <w:szCs w:val="19"/>
                <w:lang w:val="en-GB"/>
              </w:rPr>
              <w:t>(</w:t>
            </w:r>
            <w:proofErr w:type="spellStart"/>
            <w:r w:rsidRPr="00300ECA">
              <w:rPr>
                <w:rFonts w:ascii="Garamond" w:hAnsi="Garamond"/>
                <w:b/>
                <w:bCs/>
                <w:iCs/>
                <w:sz w:val="19"/>
                <w:szCs w:val="19"/>
                <w:lang w:val="en-GB"/>
              </w:rPr>
              <w:t>df</w:t>
            </w:r>
            <w:proofErr w:type="spellEnd"/>
            <w:r w:rsidRPr="00300ECA">
              <w:rPr>
                <w:rFonts w:ascii="Garamond" w:hAnsi="Garamond"/>
                <w:b/>
                <w:bCs/>
                <w:iCs/>
                <w:sz w:val="19"/>
                <w:szCs w:val="19"/>
                <w:lang w:val="en-GB"/>
              </w:rPr>
              <w:t>)</w:t>
            </w:r>
          </w:p>
        </w:tc>
        <w:tc>
          <w:tcPr>
            <w:tcW w:w="1701" w:type="dxa"/>
            <w:tcBorders>
              <w:top w:val="single" w:sz="4" w:space="0" w:color="auto"/>
              <w:bottom w:val="single" w:sz="4" w:space="0" w:color="auto"/>
            </w:tcBorders>
          </w:tcPr>
          <w:p w14:paraId="72E3243D" w14:textId="77777777" w:rsidR="00C656E4" w:rsidRPr="00300ECA" w:rsidRDefault="00C656E4" w:rsidP="00300ECA">
            <w:pPr>
              <w:rPr>
                <w:rFonts w:ascii="Garamond" w:hAnsi="Garamond"/>
                <w:b/>
                <w:bCs/>
                <w:iCs/>
                <w:sz w:val="19"/>
                <w:szCs w:val="19"/>
                <w:lang w:val="en-GB"/>
              </w:rPr>
            </w:pPr>
            <w:r w:rsidRPr="00300ECA">
              <w:rPr>
                <w:rFonts w:ascii="Garamond" w:hAnsi="Garamond"/>
                <w:b/>
                <w:bCs/>
                <w:iCs/>
                <w:sz w:val="19"/>
                <w:szCs w:val="19"/>
                <w:lang w:val="en-GB"/>
              </w:rPr>
              <w:t xml:space="preserve">   P-value</w:t>
            </w:r>
          </w:p>
        </w:tc>
      </w:tr>
      <w:tr w:rsidR="00C16735" w:rsidRPr="00300ECA" w14:paraId="2EBE25E6" w14:textId="77777777" w:rsidTr="00300ECA">
        <w:trPr>
          <w:trHeight w:val="20"/>
        </w:trPr>
        <w:tc>
          <w:tcPr>
            <w:tcW w:w="7118" w:type="dxa"/>
            <w:gridSpan w:val="5"/>
            <w:tcBorders>
              <w:top w:val="single" w:sz="4" w:space="0" w:color="auto"/>
            </w:tcBorders>
          </w:tcPr>
          <w:p w14:paraId="7A21BF4B"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Age</w:t>
            </w:r>
          </w:p>
        </w:tc>
        <w:tc>
          <w:tcPr>
            <w:tcW w:w="1529" w:type="dxa"/>
            <w:tcBorders>
              <w:top w:val="single" w:sz="4" w:space="0" w:color="auto"/>
            </w:tcBorders>
          </w:tcPr>
          <w:p w14:paraId="7BB48EB0"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 xml:space="preserve"> 5.66 (1)</w:t>
            </w:r>
          </w:p>
        </w:tc>
        <w:tc>
          <w:tcPr>
            <w:tcW w:w="1701" w:type="dxa"/>
            <w:tcBorders>
              <w:top w:val="single" w:sz="4" w:space="0" w:color="auto"/>
            </w:tcBorders>
          </w:tcPr>
          <w:p w14:paraId="58D2EC40"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0.230</w:t>
            </w:r>
          </w:p>
        </w:tc>
      </w:tr>
      <w:tr w:rsidR="00C16735" w:rsidRPr="00300ECA" w14:paraId="741320AC" w14:textId="77777777" w:rsidTr="00300ECA">
        <w:trPr>
          <w:trHeight w:val="20"/>
        </w:trPr>
        <w:tc>
          <w:tcPr>
            <w:tcW w:w="1985" w:type="dxa"/>
          </w:tcPr>
          <w:p w14:paraId="4FC0A971"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14 – 17 years</w:t>
            </w:r>
          </w:p>
        </w:tc>
        <w:tc>
          <w:tcPr>
            <w:tcW w:w="2035" w:type="dxa"/>
            <w:gridSpan w:val="2"/>
          </w:tcPr>
          <w:p w14:paraId="2D31396E"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37(18.5)</w:t>
            </w:r>
          </w:p>
        </w:tc>
        <w:tc>
          <w:tcPr>
            <w:tcW w:w="1509" w:type="dxa"/>
          </w:tcPr>
          <w:p w14:paraId="54750195"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61(30.5)</w:t>
            </w:r>
          </w:p>
        </w:tc>
        <w:tc>
          <w:tcPr>
            <w:tcW w:w="1589" w:type="dxa"/>
          </w:tcPr>
          <w:p w14:paraId="27CA9C0E"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98(49.0)</w:t>
            </w:r>
          </w:p>
        </w:tc>
        <w:tc>
          <w:tcPr>
            <w:tcW w:w="1529" w:type="dxa"/>
            <w:vMerge w:val="restart"/>
          </w:tcPr>
          <w:p w14:paraId="22D18048" w14:textId="77777777" w:rsidR="00C16735" w:rsidRPr="00300ECA" w:rsidRDefault="00C16735" w:rsidP="00300ECA">
            <w:pPr>
              <w:rPr>
                <w:rFonts w:ascii="Garamond" w:hAnsi="Garamond"/>
                <w:bCs/>
                <w:iCs/>
                <w:sz w:val="19"/>
                <w:szCs w:val="19"/>
                <w:lang w:val="en-GB"/>
              </w:rPr>
            </w:pPr>
          </w:p>
        </w:tc>
        <w:tc>
          <w:tcPr>
            <w:tcW w:w="1701" w:type="dxa"/>
          </w:tcPr>
          <w:p w14:paraId="5A3310AA" w14:textId="77777777" w:rsidR="00C16735" w:rsidRPr="00300ECA" w:rsidRDefault="00C16735" w:rsidP="00300ECA">
            <w:pPr>
              <w:rPr>
                <w:rFonts w:ascii="Garamond" w:hAnsi="Garamond"/>
                <w:bCs/>
                <w:iCs/>
                <w:sz w:val="19"/>
                <w:szCs w:val="19"/>
                <w:lang w:val="en-GB"/>
              </w:rPr>
            </w:pPr>
          </w:p>
        </w:tc>
      </w:tr>
      <w:tr w:rsidR="00C16735" w:rsidRPr="00300ECA" w14:paraId="6E013ADC" w14:textId="77777777" w:rsidTr="00300ECA">
        <w:trPr>
          <w:trHeight w:val="20"/>
        </w:trPr>
        <w:tc>
          <w:tcPr>
            <w:tcW w:w="1985" w:type="dxa"/>
          </w:tcPr>
          <w:p w14:paraId="1CD95B4D"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18 - 19 years</w:t>
            </w:r>
          </w:p>
        </w:tc>
        <w:tc>
          <w:tcPr>
            <w:tcW w:w="2035" w:type="dxa"/>
            <w:gridSpan w:val="2"/>
          </w:tcPr>
          <w:p w14:paraId="59905357"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57(28.5)</w:t>
            </w:r>
          </w:p>
        </w:tc>
        <w:tc>
          <w:tcPr>
            <w:tcW w:w="1509" w:type="dxa"/>
          </w:tcPr>
          <w:p w14:paraId="10DA1D8E"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45(22.5)</w:t>
            </w:r>
          </w:p>
        </w:tc>
        <w:tc>
          <w:tcPr>
            <w:tcW w:w="1589" w:type="dxa"/>
          </w:tcPr>
          <w:p w14:paraId="1AAC881C"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102(51.0)</w:t>
            </w:r>
          </w:p>
        </w:tc>
        <w:tc>
          <w:tcPr>
            <w:tcW w:w="1529" w:type="dxa"/>
            <w:vMerge/>
          </w:tcPr>
          <w:p w14:paraId="67EE6480" w14:textId="77777777" w:rsidR="00C16735" w:rsidRPr="00300ECA" w:rsidRDefault="00C16735" w:rsidP="00300ECA">
            <w:pPr>
              <w:rPr>
                <w:rFonts w:ascii="Garamond" w:hAnsi="Garamond"/>
                <w:bCs/>
                <w:iCs/>
                <w:sz w:val="19"/>
                <w:szCs w:val="19"/>
                <w:lang w:val="en-GB"/>
              </w:rPr>
            </w:pPr>
          </w:p>
        </w:tc>
        <w:tc>
          <w:tcPr>
            <w:tcW w:w="1701" w:type="dxa"/>
          </w:tcPr>
          <w:p w14:paraId="3F926388" w14:textId="77777777" w:rsidR="00C16735" w:rsidRPr="00300ECA" w:rsidRDefault="00C16735" w:rsidP="00300ECA">
            <w:pPr>
              <w:rPr>
                <w:rFonts w:ascii="Garamond" w:hAnsi="Garamond"/>
                <w:bCs/>
                <w:iCs/>
                <w:sz w:val="19"/>
                <w:szCs w:val="19"/>
                <w:lang w:val="en-GB"/>
              </w:rPr>
            </w:pPr>
          </w:p>
        </w:tc>
      </w:tr>
      <w:tr w:rsidR="00C16735" w:rsidRPr="00300ECA" w14:paraId="226CD675" w14:textId="77777777" w:rsidTr="00300ECA">
        <w:trPr>
          <w:trHeight w:val="20"/>
        </w:trPr>
        <w:tc>
          <w:tcPr>
            <w:tcW w:w="7118" w:type="dxa"/>
            <w:gridSpan w:val="5"/>
          </w:tcPr>
          <w:p w14:paraId="403BFDB0"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Number of Children</w:t>
            </w:r>
          </w:p>
        </w:tc>
        <w:tc>
          <w:tcPr>
            <w:tcW w:w="1529" w:type="dxa"/>
          </w:tcPr>
          <w:p w14:paraId="588014D7"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6.19 (1)</w:t>
            </w:r>
          </w:p>
        </w:tc>
        <w:tc>
          <w:tcPr>
            <w:tcW w:w="1701" w:type="dxa"/>
          </w:tcPr>
          <w:p w14:paraId="44AC5605"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0.013*</w:t>
            </w:r>
          </w:p>
        </w:tc>
      </w:tr>
      <w:tr w:rsidR="00C16735" w:rsidRPr="00300ECA" w14:paraId="0CE0E3DB" w14:textId="77777777" w:rsidTr="00300ECA">
        <w:trPr>
          <w:trHeight w:val="20"/>
        </w:trPr>
        <w:tc>
          <w:tcPr>
            <w:tcW w:w="1985" w:type="dxa"/>
          </w:tcPr>
          <w:p w14:paraId="446C1BC6"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None</w:t>
            </w:r>
          </w:p>
        </w:tc>
        <w:tc>
          <w:tcPr>
            <w:tcW w:w="2035" w:type="dxa"/>
            <w:gridSpan w:val="2"/>
          </w:tcPr>
          <w:p w14:paraId="02724989"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53(26.5)</w:t>
            </w:r>
          </w:p>
        </w:tc>
        <w:tc>
          <w:tcPr>
            <w:tcW w:w="1509" w:type="dxa"/>
          </w:tcPr>
          <w:p w14:paraId="757BAEA2"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77(38.5)</w:t>
            </w:r>
          </w:p>
        </w:tc>
        <w:tc>
          <w:tcPr>
            <w:tcW w:w="1589" w:type="dxa"/>
          </w:tcPr>
          <w:p w14:paraId="24E780F4"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130(65.0)</w:t>
            </w:r>
          </w:p>
        </w:tc>
        <w:tc>
          <w:tcPr>
            <w:tcW w:w="1529" w:type="dxa"/>
            <w:vMerge w:val="restart"/>
          </w:tcPr>
          <w:p w14:paraId="604AE409" w14:textId="77777777" w:rsidR="00C16735" w:rsidRPr="00300ECA" w:rsidRDefault="00C16735" w:rsidP="00300ECA">
            <w:pPr>
              <w:rPr>
                <w:rFonts w:ascii="Garamond" w:hAnsi="Garamond"/>
                <w:bCs/>
                <w:iCs/>
                <w:sz w:val="19"/>
                <w:szCs w:val="19"/>
                <w:lang w:val="en-GB"/>
              </w:rPr>
            </w:pPr>
          </w:p>
        </w:tc>
        <w:tc>
          <w:tcPr>
            <w:tcW w:w="1701" w:type="dxa"/>
          </w:tcPr>
          <w:p w14:paraId="341B0D7A" w14:textId="77777777" w:rsidR="00C16735" w:rsidRPr="00300ECA" w:rsidRDefault="00C16735" w:rsidP="00300ECA">
            <w:pPr>
              <w:rPr>
                <w:rFonts w:ascii="Garamond" w:hAnsi="Garamond"/>
                <w:bCs/>
                <w:iCs/>
                <w:sz w:val="19"/>
                <w:szCs w:val="19"/>
                <w:lang w:val="en-GB"/>
              </w:rPr>
            </w:pPr>
          </w:p>
        </w:tc>
      </w:tr>
      <w:tr w:rsidR="00C16735" w:rsidRPr="00300ECA" w14:paraId="74A3E996" w14:textId="77777777" w:rsidTr="00300ECA">
        <w:trPr>
          <w:trHeight w:val="20"/>
        </w:trPr>
        <w:tc>
          <w:tcPr>
            <w:tcW w:w="1985" w:type="dxa"/>
          </w:tcPr>
          <w:p w14:paraId="2A91F691"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w:t>
            </w:r>
          </w:p>
        </w:tc>
        <w:tc>
          <w:tcPr>
            <w:tcW w:w="2035" w:type="dxa"/>
            <w:gridSpan w:val="2"/>
          </w:tcPr>
          <w:p w14:paraId="3CACE062"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40(20)</w:t>
            </w:r>
          </w:p>
        </w:tc>
        <w:tc>
          <w:tcPr>
            <w:tcW w:w="1509" w:type="dxa"/>
          </w:tcPr>
          <w:p w14:paraId="4F28E2EC"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30(15)</w:t>
            </w:r>
          </w:p>
        </w:tc>
        <w:tc>
          <w:tcPr>
            <w:tcW w:w="1589" w:type="dxa"/>
          </w:tcPr>
          <w:p w14:paraId="6E9650F9"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70(35.0)</w:t>
            </w:r>
          </w:p>
        </w:tc>
        <w:tc>
          <w:tcPr>
            <w:tcW w:w="1529" w:type="dxa"/>
            <w:vMerge/>
          </w:tcPr>
          <w:p w14:paraId="17AD471D" w14:textId="77777777" w:rsidR="00C16735" w:rsidRPr="00300ECA" w:rsidRDefault="00C16735" w:rsidP="00300ECA">
            <w:pPr>
              <w:rPr>
                <w:rFonts w:ascii="Garamond" w:hAnsi="Garamond"/>
                <w:bCs/>
                <w:iCs/>
                <w:sz w:val="19"/>
                <w:szCs w:val="19"/>
                <w:lang w:val="en-GB"/>
              </w:rPr>
            </w:pPr>
          </w:p>
        </w:tc>
        <w:tc>
          <w:tcPr>
            <w:tcW w:w="1701" w:type="dxa"/>
          </w:tcPr>
          <w:p w14:paraId="6D8DD150" w14:textId="77777777" w:rsidR="00C16735" w:rsidRPr="00300ECA" w:rsidRDefault="00C16735" w:rsidP="00300ECA">
            <w:pPr>
              <w:rPr>
                <w:rFonts w:ascii="Garamond" w:hAnsi="Garamond"/>
                <w:bCs/>
                <w:iCs/>
                <w:sz w:val="19"/>
                <w:szCs w:val="19"/>
                <w:lang w:val="en-GB"/>
              </w:rPr>
            </w:pPr>
          </w:p>
        </w:tc>
      </w:tr>
      <w:tr w:rsidR="00C16735" w:rsidRPr="00300ECA" w14:paraId="3C536ABE" w14:textId="77777777" w:rsidTr="00300ECA">
        <w:trPr>
          <w:trHeight w:val="20"/>
        </w:trPr>
        <w:tc>
          <w:tcPr>
            <w:tcW w:w="5529" w:type="dxa"/>
            <w:gridSpan w:val="4"/>
          </w:tcPr>
          <w:p w14:paraId="4F4525B0"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 xml:space="preserve">Place of Residence </w:t>
            </w:r>
          </w:p>
        </w:tc>
        <w:tc>
          <w:tcPr>
            <w:tcW w:w="1589" w:type="dxa"/>
          </w:tcPr>
          <w:p w14:paraId="2AC3B711" w14:textId="77777777" w:rsidR="00C16735" w:rsidRPr="00300ECA" w:rsidRDefault="00C16735" w:rsidP="00300ECA">
            <w:pPr>
              <w:rPr>
                <w:rFonts w:ascii="Garamond" w:hAnsi="Garamond"/>
                <w:b/>
                <w:bCs/>
                <w:iCs/>
                <w:sz w:val="19"/>
                <w:szCs w:val="19"/>
                <w:lang w:val="en-GB"/>
              </w:rPr>
            </w:pPr>
          </w:p>
        </w:tc>
        <w:tc>
          <w:tcPr>
            <w:tcW w:w="1529" w:type="dxa"/>
          </w:tcPr>
          <w:p w14:paraId="3152D0C2"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31.16 (1)</w:t>
            </w:r>
          </w:p>
        </w:tc>
        <w:tc>
          <w:tcPr>
            <w:tcW w:w="1701" w:type="dxa"/>
          </w:tcPr>
          <w:p w14:paraId="511F6430"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&lt;0.001*</w:t>
            </w:r>
          </w:p>
        </w:tc>
      </w:tr>
      <w:tr w:rsidR="00C16735" w:rsidRPr="00300ECA" w14:paraId="4C0305D6" w14:textId="77777777" w:rsidTr="00300ECA">
        <w:trPr>
          <w:trHeight w:val="20"/>
        </w:trPr>
        <w:tc>
          <w:tcPr>
            <w:tcW w:w="1985" w:type="dxa"/>
          </w:tcPr>
          <w:p w14:paraId="6732C4AD" w14:textId="77777777" w:rsidR="00C16735" w:rsidRPr="00300ECA" w:rsidRDefault="00C16735" w:rsidP="00300ECA">
            <w:pPr>
              <w:rPr>
                <w:rFonts w:ascii="Garamond" w:hAnsi="Garamond"/>
                <w:bCs/>
                <w:iCs/>
                <w:sz w:val="19"/>
                <w:szCs w:val="19"/>
                <w:lang w:val="en-GB"/>
              </w:rPr>
            </w:pPr>
            <w:proofErr w:type="spellStart"/>
            <w:r w:rsidRPr="00300ECA">
              <w:rPr>
                <w:rFonts w:ascii="Garamond" w:hAnsi="Garamond"/>
                <w:bCs/>
                <w:iCs/>
                <w:sz w:val="19"/>
                <w:szCs w:val="19"/>
                <w:lang w:val="en-GB"/>
              </w:rPr>
              <w:t>Alkaleri</w:t>
            </w:r>
            <w:proofErr w:type="spellEnd"/>
          </w:p>
          <w:p w14:paraId="21B00FE5" w14:textId="77777777" w:rsidR="00C16735" w:rsidRPr="00300ECA" w:rsidRDefault="00C16735" w:rsidP="00300ECA">
            <w:pPr>
              <w:rPr>
                <w:rFonts w:ascii="Garamond" w:hAnsi="Garamond"/>
                <w:bCs/>
                <w:iCs/>
                <w:sz w:val="19"/>
                <w:szCs w:val="19"/>
                <w:lang w:val="en-GB"/>
              </w:rPr>
            </w:pPr>
            <w:proofErr w:type="spellStart"/>
            <w:r w:rsidRPr="00300ECA">
              <w:rPr>
                <w:rFonts w:ascii="Garamond" w:hAnsi="Garamond"/>
                <w:bCs/>
                <w:iCs/>
                <w:sz w:val="19"/>
                <w:szCs w:val="19"/>
                <w:lang w:val="en-GB"/>
              </w:rPr>
              <w:t>Dambam</w:t>
            </w:r>
            <w:proofErr w:type="spellEnd"/>
            <w:r w:rsidRPr="00300ECA">
              <w:rPr>
                <w:rFonts w:ascii="Garamond" w:hAnsi="Garamond"/>
                <w:bCs/>
                <w:iCs/>
                <w:sz w:val="19"/>
                <w:szCs w:val="19"/>
                <w:lang w:val="en-GB"/>
              </w:rPr>
              <w:t xml:space="preserve">                                     </w:t>
            </w:r>
          </w:p>
        </w:tc>
        <w:tc>
          <w:tcPr>
            <w:tcW w:w="2035" w:type="dxa"/>
            <w:gridSpan w:val="2"/>
          </w:tcPr>
          <w:p w14:paraId="7A5E7F02"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65(32.5)</w:t>
            </w:r>
          </w:p>
          <w:p w14:paraId="163B601F"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28(14.0)</w:t>
            </w:r>
          </w:p>
        </w:tc>
        <w:tc>
          <w:tcPr>
            <w:tcW w:w="1509" w:type="dxa"/>
          </w:tcPr>
          <w:p w14:paraId="7EE34A6B"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35(17.5)</w:t>
            </w:r>
          </w:p>
          <w:p w14:paraId="70AADDCF"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72(36.0)</w:t>
            </w:r>
          </w:p>
        </w:tc>
        <w:tc>
          <w:tcPr>
            <w:tcW w:w="1589" w:type="dxa"/>
          </w:tcPr>
          <w:p w14:paraId="660C409D"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100(50.0)</w:t>
            </w:r>
          </w:p>
          <w:p w14:paraId="7F17AEF5"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100(50.0)</w:t>
            </w:r>
          </w:p>
        </w:tc>
        <w:tc>
          <w:tcPr>
            <w:tcW w:w="1529" w:type="dxa"/>
          </w:tcPr>
          <w:p w14:paraId="4A9FEABC" w14:textId="77777777" w:rsidR="00C16735" w:rsidRPr="00300ECA" w:rsidRDefault="00C16735" w:rsidP="00300ECA">
            <w:pPr>
              <w:rPr>
                <w:rFonts w:ascii="Garamond" w:hAnsi="Garamond"/>
                <w:bCs/>
                <w:iCs/>
                <w:sz w:val="19"/>
                <w:szCs w:val="19"/>
                <w:lang w:val="en-GB"/>
              </w:rPr>
            </w:pPr>
          </w:p>
        </w:tc>
        <w:tc>
          <w:tcPr>
            <w:tcW w:w="1701" w:type="dxa"/>
          </w:tcPr>
          <w:p w14:paraId="73FD0057" w14:textId="77777777" w:rsidR="00C16735" w:rsidRPr="00300ECA" w:rsidRDefault="00C16735" w:rsidP="00300ECA">
            <w:pPr>
              <w:rPr>
                <w:rFonts w:ascii="Garamond" w:hAnsi="Garamond"/>
                <w:bCs/>
                <w:iCs/>
                <w:sz w:val="19"/>
                <w:szCs w:val="19"/>
                <w:lang w:val="en-GB"/>
              </w:rPr>
            </w:pPr>
          </w:p>
        </w:tc>
      </w:tr>
      <w:tr w:rsidR="00C16735" w:rsidRPr="00300ECA" w14:paraId="4127E257" w14:textId="77777777" w:rsidTr="00300ECA">
        <w:trPr>
          <w:trHeight w:val="20"/>
        </w:trPr>
        <w:tc>
          <w:tcPr>
            <w:tcW w:w="5529" w:type="dxa"/>
            <w:gridSpan w:val="4"/>
          </w:tcPr>
          <w:p w14:paraId="2B03C2E0"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 xml:space="preserve">Religion </w:t>
            </w:r>
          </w:p>
        </w:tc>
        <w:tc>
          <w:tcPr>
            <w:tcW w:w="1589" w:type="dxa"/>
          </w:tcPr>
          <w:p w14:paraId="4A57E6F0" w14:textId="77777777" w:rsidR="00C16735" w:rsidRPr="00300ECA" w:rsidRDefault="00C16735" w:rsidP="00300ECA">
            <w:pPr>
              <w:rPr>
                <w:rFonts w:ascii="Garamond" w:hAnsi="Garamond"/>
                <w:b/>
                <w:bCs/>
                <w:iCs/>
                <w:sz w:val="19"/>
                <w:szCs w:val="19"/>
                <w:lang w:val="en-GB"/>
              </w:rPr>
            </w:pPr>
          </w:p>
        </w:tc>
        <w:tc>
          <w:tcPr>
            <w:tcW w:w="1529" w:type="dxa"/>
          </w:tcPr>
          <w:p w14:paraId="29435DAE"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15.04 (1)</w:t>
            </w:r>
          </w:p>
        </w:tc>
        <w:tc>
          <w:tcPr>
            <w:tcW w:w="1701" w:type="dxa"/>
          </w:tcPr>
          <w:p w14:paraId="186DA38C"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0.020*</w:t>
            </w:r>
          </w:p>
        </w:tc>
      </w:tr>
      <w:tr w:rsidR="00C16735" w:rsidRPr="00300ECA" w14:paraId="209DCBCF" w14:textId="77777777" w:rsidTr="00300ECA">
        <w:trPr>
          <w:trHeight w:val="20"/>
        </w:trPr>
        <w:tc>
          <w:tcPr>
            <w:tcW w:w="1985" w:type="dxa"/>
          </w:tcPr>
          <w:p w14:paraId="3222EB17"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Islam</w:t>
            </w:r>
          </w:p>
        </w:tc>
        <w:tc>
          <w:tcPr>
            <w:tcW w:w="2035" w:type="dxa"/>
            <w:gridSpan w:val="2"/>
          </w:tcPr>
          <w:p w14:paraId="00A18FC6"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59(29.5)</w:t>
            </w:r>
          </w:p>
        </w:tc>
        <w:tc>
          <w:tcPr>
            <w:tcW w:w="1509" w:type="dxa"/>
          </w:tcPr>
          <w:p w14:paraId="51155E2B"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53(26.5)</w:t>
            </w:r>
          </w:p>
        </w:tc>
        <w:tc>
          <w:tcPr>
            <w:tcW w:w="1589" w:type="dxa"/>
          </w:tcPr>
          <w:p w14:paraId="3BCA7D27"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112(56.0)</w:t>
            </w:r>
          </w:p>
        </w:tc>
        <w:tc>
          <w:tcPr>
            <w:tcW w:w="1529" w:type="dxa"/>
            <w:vMerge w:val="restart"/>
          </w:tcPr>
          <w:p w14:paraId="623004D4" w14:textId="77777777" w:rsidR="00C16735" w:rsidRPr="00300ECA" w:rsidRDefault="00C16735" w:rsidP="00300ECA">
            <w:pPr>
              <w:rPr>
                <w:rFonts w:ascii="Garamond" w:hAnsi="Garamond"/>
                <w:bCs/>
                <w:iCs/>
                <w:sz w:val="19"/>
                <w:szCs w:val="19"/>
                <w:lang w:val="en-GB"/>
              </w:rPr>
            </w:pPr>
          </w:p>
        </w:tc>
        <w:tc>
          <w:tcPr>
            <w:tcW w:w="1701" w:type="dxa"/>
          </w:tcPr>
          <w:p w14:paraId="673613AD" w14:textId="77777777" w:rsidR="00C16735" w:rsidRPr="00300ECA" w:rsidRDefault="00C16735" w:rsidP="00300ECA">
            <w:pPr>
              <w:rPr>
                <w:rFonts w:ascii="Garamond" w:hAnsi="Garamond"/>
                <w:bCs/>
                <w:iCs/>
                <w:sz w:val="19"/>
                <w:szCs w:val="19"/>
                <w:lang w:val="en-GB"/>
              </w:rPr>
            </w:pPr>
          </w:p>
        </w:tc>
      </w:tr>
      <w:tr w:rsidR="00C16735" w:rsidRPr="00300ECA" w14:paraId="161647EF" w14:textId="77777777" w:rsidTr="00300ECA">
        <w:trPr>
          <w:trHeight w:val="20"/>
        </w:trPr>
        <w:tc>
          <w:tcPr>
            <w:tcW w:w="1985" w:type="dxa"/>
          </w:tcPr>
          <w:p w14:paraId="60A0969E"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 xml:space="preserve">Christianity </w:t>
            </w:r>
          </w:p>
        </w:tc>
        <w:tc>
          <w:tcPr>
            <w:tcW w:w="2035" w:type="dxa"/>
            <w:gridSpan w:val="2"/>
          </w:tcPr>
          <w:p w14:paraId="0BBF241D"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36(18.0)</w:t>
            </w:r>
          </w:p>
        </w:tc>
        <w:tc>
          <w:tcPr>
            <w:tcW w:w="1509" w:type="dxa"/>
          </w:tcPr>
          <w:p w14:paraId="3ED9118D"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52(26.0)</w:t>
            </w:r>
          </w:p>
        </w:tc>
        <w:tc>
          <w:tcPr>
            <w:tcW w:w="1589" w:type="dxa"/>
          </w:tcPr>
          <w:p w14:paraId="28831DB9"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88(44.0)</w:t>
            </w:r>
          </w:p>
        </w:tc>
        <w:tc>
          <w:tcPr>
            <w:tcW w:w="1529" w:type="dxa"/>
            <w:vMerge/>
          </w:tcPr>
          <w:p w14:paraId="49181155" w14:textId="77777777" w:rsidR="00C16735" w:rsidRPr="00300ECA" w:rsidRDefault="00C16735" w:rsidP="00300ECA">
            <w:pPr>
              <w:rPr>
                <w:rFonts w:ascii="Garamond" w:hAnsi="Garamond"/>
                <w:bCs/>
                <w:iCs/>
                <w:sz w:val="19"/>
                <w:szCs w:val="19"/>
                <w:lang w:val="en-GB"/>
              </w:rPr>
            </w:pPr>
          </w:p>
        </w:tc>
        <w:tc>
          <w:tcPr>
            <w:tcW w:w="1701" w:type="dxa"/>
          </w:tcPr>
          <w:p w14:paraId="3B5DBC87" w14:textId="77777777" w:rsidR="00C16735" w:rsidRPr="00300ECA" w:rsidRDefault="00C16735" w:rsidP="00300ECA">
            <w:pPr>
              <w:rPr>
                <w:rFonts w:ascii="Garamond" w:hAnsi="Garamond"/>
                <w:bCs/>
                <w:iCs/>
                <w:sz w:val="19"/>
                <w:szCs w:val="19"/>
                <w:lang w:val="en-GB"/>
              </w:rPr>
            </w:pPr>
          </w:p>
        </w:tc>
      </w:tr>
      <w:tr w:rsidR="00300ECA" w:rsidRPr="00300ECA" w14:paraId="446C94C6" w14:textId="77777777" w:rsidTr="00300ECA">
        <w:trPr>
          <w:trHeight w:val="245"/>
        </w:trPr>
        <w:tc>
          <w:tcPr>
            <w:tcW w:w="5529" w:type="dxa"/>
            <w:gridSpan w:val="4"/>
          </w:tcPr>
          <w:p w14:paraId="73F3BABA" w14:textId="77777777" w:rsidR="00300ECA" w:rsidRPr="00300ECA" w:rsidRDefault="00300ECA" w:rsidP="00300ECA">
            <w:pPr>
              <w:rPr>
                <w:rFonts w:ascii="Garamond" w:hAnsi="Garamond"/>
                <w:b/>
                <w:bCs/>
                <w:iCs/>
                <w:sz w:val="19"/>
                <w:szCs w:val="19"/>
                <w:vertAlign w:val="superscript"/>
                <w:lang w:val="en-GB"/>
              </w:rPr>
            </w:pPr>
            <w:r w:rsidRPr="00300ECA">
              <w:rPr>
                <w:rFonts w:ascii="Garamond" w:hAnsi="Garamond"/>
                <w:b/>
                <w:bCs/>
                <w:iCs/>
                <w:sz w:val="19"/>
                <w:szCs w:val="19"/>
                <w:lang w:val="en-GB"/>
              </w:rPr>
              <w:t xml:space="preserve">Marital </w:t>
            </w:r>
            <w:proofErr w:type="spellStart"/>
            <w:r w:rsidRPr="00300ECA">
              <w:rPr>
                <w:rFonts w:ascii="Garamond" w:hAnsi="Garamond"/>
                <w:b/>
                <w:bCs/>
                <w:iCs/>
                <w:sz w:val="19"/>
                <w:szCs w:val="19"/>
                <w:lang w:val="en-GB"/>
              </w:rPr>
              <w:t>Status</w:t>
            </w:r>
            <w:r w:rsidRPr="00300ECA">
              <w:rPr>
                <w:rFonts w:ascii="Garamond" w:hAnsi="Garamond"/>
                <w:b/>
                <w:bCs/>
                <w:iCs/>
                <w:sz w:val="19"/>
                <w:szCs w:val="19"/>
                <w:vertAlign w:val="superscript"/>
                <w:lang w:val="en-GB"/>
              </w:rPr>
              <w:t>a</w:t>
            </w:r>
            <w:proofErr w:type="spellEnd"/>
          </w:p>
        </w:tc>
        <w:tc>
          <w:tcPr>
            <w:tcW w:w="1589" w:type="dxa"/>
          </w:tcPr>
          <w:p w14:paraId="684F5C7E" w14:textId="77777777" w:rsidR="00300ECA" w:rsidRPr="00300ECA" w:rsidRDefault="00300ECA" w:rsidP="00300ECA">
            <w:pPr>
              <w:rPr>
                <w:rFonts w:ascii="Garamond" w:hAnsi="Garamond"/>
                <w:b/>
                <w:bCs/>
                <w:iCs/>
                <w:sz w:val="19"/>
                <w:szCs w:val="19"/>
                <w:lang w:val="en-GB"/>
              </w:rPr>
            </w:pPr>
          </w:p>
        </w:tc>
        <w:tc>
          <w:tcPr>
            <w:tcW w:w="1529" w:type="dxa"/>
          </w:tcPr>
          <w:p w14:paraId="479C2F68" w14:textId="77777777" w:rsidR="00300ECA" w:rsidRPr="00300ECA" w:rsidRDefault="00300ECA" w:rsidP="00300ECA">
            <w:pPr>
              <w:rPr>
                <w:rFonts w:ascii="Garamond" w:hAnsi="Garamond"/>
                <w:bCs/>
                <w:iCs/>
                <w:sz w:val="19"/>
                <w:szCs w:val="19"/>
                <w:lang w:val="en-GB"/>
              </w:rPr>
            </w:pPr>
            <w:r w:rsidRPr="00300ECA">
              <w:rPr>
                <w:rFonts w:ascii="Garamond" w:hAnsi="Garamond"/>
                <w:bCs/>
                <w:iCs/>
                <w:sz w:val="19"/>
                <w:szCs w:val="19"/>
                <w:lang w:val="en-GB"/>
              </w:rPr>
              <w:t>18.77 (1)</w:t>
            </w:r>
          </w:p>
        </w:tc>
        <w:tc>
          <w:tcPr>
            <w:tcW w:w="1701" w:type="dxa"/>
            <w:vMerge w:val="restart"/>
          </w:tcPr>
          <w:p w14:paraId="4DD37642" w14:textId="77777777" w:rsidR="00300ECA" w:rsidRPr="00300ECA" w:rsidRDefault="00300ECA" w:rsidP="00300ECA">
            <w:pPr>
              <w:rPr>
                <w:rFonts w:ascii="Garamond" w:hAnsi="Garamond"/>
                <w:b/>
                <w:bCs/>
                <w:iCs/>
                <w:sz w:val="19"/>
                <w:szCs w:val="19"/>
                <w:lang w:val="en-GB"/>
              </w:rPr>
            </w:pPr>
            <w:r w:rsidRPr="00300ECA">
              <w:rPr>
                <w:rFonts w:ascii="Garamond" w:hAnsi="Garamond"/>
                <w:b/>
                <w:bCs/>
                <w:iCs/>
                <w:sz w:val="19"/>
                <w:szCs w:val="19"/>
                <w:lang w:val="en-GB"/>
              </w:rPr>
              <w:t>0.038*(fishers exact test)</w:t>
            </w:r>
          </w:p>
        </w:tc>
      </w:tr>
      <w:tr w:rsidR="00300ECA" w:rsidRPr="00300ECA" w14:paraId="4CACF5C7" w14:textId="77777777" w:rsidTr="00300ECA">
        <w:trPr>
          <w:trHeight w:val="20"/>
        </w:trPr>
        <w:tc>
          <w:tcPr>
            <w:tcW w:w="1985" w:type="dxa"/>
          </w:tcPr>
          <w:p w14:paraId="14943EC2" w14:textId="77777777" w:rsidR="00300ECA" w:rsidRPr="00300ECA" w:rsidRDefault="00300ECA" w:rsidP="00300ECA">
            <w:pPr>
              <w:rPr>
                <w:rFonts w:ascii="Garamond" w:hAnsi="Garamond"/>
                <w:bCs/>
                <w:iCs/>
                <w:sz w:val="19"/>
                <w:szCs w:val="19"/>
                <w:lang w:val="en-GB"/>
              </w:rPr>
            </w:pPr>
            <w:r w:rsidRPr="00300ECA">
              <w:rPr>
                <w:rFonts w:ascii="Garamond" w:hAnsi="Garamond"/>
                <w:bCs/>
                <w:iCs/>
                <w:sz w:val="19"/>
                <w:szCs w:val="19"/>
                <w:lang w:val="en-GB"/>
              </w:rPr>
              <w:t xml:space="preserve">Single </w:t>
            </w:r>
          </w:p>
        </w:tc>
        <w:tc>
          <w:tcPr>
            <w:tcW w:w="2035" w:type="dxa"/>
            <w:gridSpan w:val="2"/>
          </w:tcPr>
          <w:p w14:paraId="16384F41" w14:textId="77777777" w:rsidR="00300ECA" w:rsidRPr="00300ECA" w:rsidRDefault="00300ECA" w:rsidP="00300ECA">
            <w:pPr>
              <w:rPr>
                <w:rFonts w:ascii="Garamond" w:hAnsi="Garamond"/>
                <w:bCs/>
                <w:iCs/>
                <w:sz w:val="19"/>
                <w:szCs w:val="19"/>
                <w:lang w:val="en-GB"/>
              </w:rPr>
            </w:pPr>
            <w:r w:rsidRPr="00300ECA">
              <w:rPr>
                <w:rFonts w:ascii="Garamond" w:hAnsi="Garamond"/>
                <w:bCs/>
                <w:iCs/>
                <w:sz w:val="19"/>
                <w:szCs w:val="19"/>
                <w:lang w:val="en-GB"/>
              </w:rPr>
              <w:t>2(1.0)</w:t>
            </w:r>
          </w:p>
        </w:tc>
        <w:tc>
          <w:tcPr>
            <w:tcW w:w="1509" w:type="dxa"/>
          </w:tcPr>
          <w:p w14:paraId="09451BA0" w14:textId="77777777" w:rsidR="00300ECA" w:rsidRPr="00300ECA" w:rsidRDefault="00300ECA" w:rsidP="00300ECA">
            <w:pPr>
              <w:rPr>
                <w:rFonts w:ascii="Garamond" w:hAnsi="Garamond"/>
                <w:bCs/>
                <w:iCs/>
                <w:sz w:val="19"/>
                <w:szCs w:val="19"/>
                <w:lang w:val="en-GB"/>
              </w:rPr>
            </w:pPr>
            <w:r w:rsidRPr="00300ECA">
              <w:rPr>
                <w:rFonts w:ascii="Garamond" w:hAnsi="Garamond"/>
                <w:bCs/>
                <w:iCs/>
                <w:sz w:val="19"/>
                <w:szCs w:val="19"/>
                <w:lang w:val="en-GB"/>
              </w:rPr>
              <w:t>18(9.0)</w:t>
            </w:r>
          </w:p>
        </w:tc>
        <w:tc>
          <w:tcPr>
            <w:tcW w:w="1589" w:type="dxa"/>
          </w:tcPr>
          <w:p w14:paraId="3B4186A4" w14:textId="77777777" w:rsidR="00300ECA" w:rsidRPr="00300ECA" w:rsidRDefault="00300ECA" w:rsidP="00300ECA">
            <w:pPr>
              <w:rPr>
                <w:rFonts w:ascii="Garamond" w:hAnsi="Garamond"/>
                <w:bCs/>
                <w:iCs/>
                <w:sz w:val="19"/>
                <w:szCs w:val="19"/>
                <w:lang w:val="en-GB"/>
              </w:rPr>
            </w:pPr>
            <w:r w:rsidRPr="00300ECA">
              <w:rPr>
                <w:rFonts w:ascii="Garamond" w:hAnsi="Garamond"/>
                <w:bCs/>
                <w:iCs/>
                <w:sz w:val="19"/>
                <w:szCs w:val="19"/>
                <w:lang w:val="en-GB"/>
              </w:rPr>
              <w:t>20(10.0)</w:t>
            </w:r>
          </w:p>
        </w:tc>
        <w:tc>
          <w:tcPr>
            <w:tcW w:w="1529" w:type="dxa"/>
            <w:vMerge w:val="restart"/>
          </w:tcPr>
          <w:p w14:paraId="5BD72049" w14:textId="77777777" w:rsidR="00300ECA" w:rsidRPr="00300ECA" w:rsidRDefault="00300ECA" w:rsidP="00300ECA">
            <w:pPr>
              <w:rPr>
                <w:rFonts w:ascii="Garamond" w:hAnsi="Garamond"/>
                <w:bCs/>
                <w:iCs/>
                <w:sz w:val="19"/>
                <w:szCs w:val="19"/>
                <w:lang w:val="en-GB"/>
              </w:rPr>
            </w:pPr>
          </w:p>
        </w:tc>
        <w:tc>
          <w:tcPr>
            <w:tcW w:w="1701" w:type="dxa"/>
            <w:vMerge/>
          </w:tcPr>
          <w:p w14:paraId="66FE8122" w14:textId="77777777" w:rsidR="00300ECA" w:rsidRPr="00300ECA" w:rsidRDefault="00300ECA" w:rsidP="00300ECA">
            <w:pPr>
              <w:rPr>
                <w:rFonts w:ascii="Garamond" w:hAnsi="Garamond"/>
                <w:bCs/>
                <w:iCs/>
                <w:sz w:val="19"/>
                <w:szCs w:val="19"/>
                <w:lang w:val="en-GB"/>
              </w:rPr>
            </w:pPr>
          </w:p>
        </w:tc>
      </w:tr>
      <w:tr w:rsidR="00300ECA" w:rsidRPr="00300ECA" w14:paraId="094EA90B" w14:textId="77777777" w:rsidTr="00300ECA">
        <w:trPr>
          <w:trHeight w:val="20"/>
        </w:trPr>
        <w:tc>
          <w:tcPr>
            <w:tcW w:w="1985" w:type="dxa"/>
          </w:tcPr>
          <w:p w14:paraId="225DB9DF" w14:textId="77777777" w:rsidR="00300ECA" w:rsidRPr="00300ECA" w:rsidRDefault="00300ECA" w:rsidP="00300ECA">
            <w:pPr>
              <w:rPr>
                <w:rFonts w:ascii="Garamond" w:hAnsi="Garamond"/>
                <w:bCs/>
                <w:iCs/>
                <w:sz w:val="19"/>
                <w:szCs w:val="19"/>
                <w:lang w:val="en-GB"/>
              </w:rPr>
            </w:pPr>
            <w:r w:rsidRPr="00300ECA">
              <w:rPr>
                <w:rFonts w:ascii="Garamond" w:hAnsi="Garamond"/>
                <w:bCs/>
                <w:iCs/>
                <w:sz w:val="19"/>
                <w:szCs w:val="19"/>
                <w:lang w:val="en-GB"/>
              </w:rPr>
              <w:t xml:space="preserve">Married </w:t>
            </w:r>
          </w:p>
        </w:tc>
        <w:tc>
          <w:tcPr>
            <w:tcW w:w="2035" w:type="dxa"/>
            <w:gridSpan w:val="2"/>
          </w:tcPr>
          <w:p w14:paraId="00B06D0B" w14:textId="77777777" w:rsidR="00300ECA" w:rsidRPr="00300ECA" w:rsidRDefault="00300ECA" w:rsidP="00300ECA">
            <w:pPr>
              <w:rPr>
                <w:rFonts w:ascii="Garamond" w:hAnsi="Garamond"/>
                <w:bCs/>
                <w:iCs/>
                <w:sz w:val="19"/>
                <w:szCs w:val="19"/>
                <w:lang w:val="en-GB"/>
              </w:rPr>
            </w:pPr>
            <w:r w:rsidRPr="00300ECA">
              <w:rPr>
                <w:rFonts w:ascii="Garamond" w:hAnsi="Garamond"/>
                <w:bCs/>
                <w:iCs/>
                <w:sz w:val="19"/>
                <w:szCs w:val="19"/>
                <w:lang w:val="en-GB"/>
              </w:rPr>
              <w:t>75(37.5)</w:t>
            </w:r>
          </w:p>
        </w:tc>
        <w:tc>
          <w:tcPr>
            <w:tcW w:w="1509" w:type="dxa"/>
          </w:tcPr>
          <w:p w14:paraId="0B53E7FC" w14:textId="77777777" w:rsidR="00300ECA" w:rsidRPr="00300ECA" w:rsidRDefault="00300ECA" w:rsidP="00300ECA">
            <w:pPr>
              <w:rPr>
                <w:rFonts w:ascii="Garamond" w:hAnsi="Garamond"/>
                <w:bCs/>
                <w:iCs/>
                <w:sz w:val="19"/>
                <w:szCs w:val="19"/>
                <w:lang w:val="en-GB"/>
              </w:rPr>
            </w:pPr>
            <w:r w:rsidRPr="00300ECA">
              <w:rPr>
                <w:rFonts w:ascii="Garamond" w:hAnsi="Garamond"/>
                <w:bCs/>
                <w:iCs/>
                <w:sz w:val="19"/>
                <w:szCs w:val="19"/>
                <w:lang w:val="en-GB"/>
              </w:rPr>
              <w:t>105(52.5)</w:t>
            </w:r>
          </w:p>
        </w:tc>
        <w:tc>
          <w:tcPr>
            <w:tcW w:w="1589" w:type="dxa"/>
          </w:tcPr>
          <w:p w14:paraId="2CF76FBD" w14:textId="77777777" w:rsidR="00300ECA" w:rsidRPr="00300ECA" w:rsidRDefault="00300ECA" w:rsidP="00300ECA">
            <w:pPr>
              <w:rPr>
                <w:rFonts w:ascii="Garamond" w:hAnsi="Garamond"/>
                <w:bCs/>
                <w:iCs/>
                <w:sz w:val="19"/>
                <w:szCs w:val="19"/>
                <w:lang w:val="en-GB"/>
              </w:rPr>
            </w:pPr>
            <w:r w:rsidRPr="00300ECA">
              <w:rPr>
                <w:rFonts w:ascii="Garamond" w:hAnsi="Garamond"/>
                <w:bCs/>
                <w:iCs/>
                <w:sz w:val="19"/>
                <w:szCs w:val="19"/>
                <w:lang w:val="en-GB"/>
              </w:rPr>
              <w:t>180(90.0)</w:t>
            </w:r>
          </w:p>
        </w:tc>
        <w:tc>
          <w:tcPr>
            <w:tcW w:w="1529" w:type="dxa"/>
            <w:vMerge/>
          </w:tcPr>
          <w:p w14:paraId="2B8665B0" w14:textId="77777777" w:rsidR="00300ECA" w:rsidRPr="00300ECA" w:rsidRDefault="00300ECA" w:rsidP="00300ECA">
            <w:pPr>
              <w:rPr>
                <w:rFonts w:ascii="Garamond" w:hAnsi="Garamond"/>
                <w:bCs/>
                <w:iCs/>
                <w:sz w:val="19"/>
                <w:szCs w:val="19"/>
                <w:lang w:val="en-GB"/>
              </w:rPr>
            </w:pPr>
          </w:p>
        </w:tc>
        <w:tc>
          <w:tcPr>
            <w:tcW w:w="1701" w:type="dxa"/>
            <w:vMerge/>
          </w:tcPr>
          <w:p w14:paraId="5DF7DFB9" w14:textId="77777777" w:rsidR="00300ECA" w:rsidRPr="00300ECA" w:rsidRDefault="00300ECA" w:rsidP="00300ECA">
            <w:pPr>
              <w:rPr>
                <w:rFonts w:ascii="Garamond" w:hAnsi="Garamond"/>
                <w:bCs/>
                <w:iCs/>
                <w:sz w:val="19"/>
                <w:szCs w:val="19"/>
                <w:lang w:val="en-GB"/>
              </w:rPr>
            </w:pPr>
          </w:p>
        </w:tc>
      </w:tr>
      <w:tr w:rsidR="00C16735" w:rsidRPr="00300ECA" w14:paraId="21404C8D" w14:textId="77777777" w:rsidTr="00300ECA">
        <w:trPr>
          <w:trHeight w:val="20"/>
        </w:trPr>
        <w:tc>
          <w:tcPr>
            <w:tcW w:w="1985" w:type="dxa"/>
          </w:tcPr>
          <w:p w14:paraId="29B7CB49"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Educational Status</w:t>
            </w:r>
          </w:p>
        </w:tc>
        <w:tc>
          <w:tcPr>
            <w:tcW w:w="2035" w:type="dxa"/>
            <w:gridSpan w:val="2"/>
          </w:tcPr>
          <w:p w14:paraId="0AFE8385" w14:textId="77777777" w:rsidR="00C16735" w:rsidRPr="00300ECA" w:rsidRDefault="00C16735" w:rsidP="00300ECA">
            <w:pPr>
              <w:rPr>
                <w:rFonts w:ascii="Garamond" w:hAnsi="Garamond"/>
                <w:b/>
                <w:bCs/>
                <w:iCs/>
                <w:sz w:val="19"/>
                <w:szCs w:val="19"/>
                <w:lang w:val="en-GB"/>
              </w:rPr>
            </w:pPr>
          </w:p>
        </w:tc>
        <w:tc>
          <w:tcPr>
            <w:tcW w:w="1509" w:type="dxa"/>
          </w:tcPr>
          <w:p w14:paraId="61082A2E" w14:textId="77777777" w:rsidR="00C16735" w:rsidRPr="00300ECA" w:rsidRDefault="00C16735" w:rsidP="00300ECA">
            <w:pPr>
              <w:rPr>
                <w:rFonts w:ascii="Garamond" w:hAnsi="Garamond"/>
                <w:b/>
                <w:bCs/>
                <w:iCs/>
                <w:sz w:val="19"/>
                <w:szCs w:val="19"/>
                <w:lang w:val="en-GB"/>
              </w:rPr>
            </w:pPr>
          </w:p>
        </w:tc>
        <w:tc>
          <w:tcPr>
            <w:tcW w:w="1589" w:type="dxa"/>
          </w:tcPr>
          <w:p w14:paraId="11470EA4" w14:textId="77777777" w:rsidR="00C16735" w:rsidRPr="00300ECA" w:rsidRDefault="00C16735" w:rsidP="00300ECA">
            <w:pPr>
              <w:rPr>
                <w:rFonts w:ascii="Garamond" w:hAnsi="Garamond"/>
                <w:b/>
                <w:bCs/>
                <w:iCs/>
                <w:sz w:val="19"/>
                <w:szCs w:val="19"/>
                <w:lang w:val="en-GB"/>
              </w:rPr>
            </w:pPr>
          </w:p>
        </w:tc>
        <w:tc>
          <w:tcPr>
            <w:tcW w:w="1529" w:type="dxa"/>
          </w:tcPr>
          <w:p w14:paraId="6E095A94"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28.61 (1)</w:t>
            </w:r>
          </w:p>
        </w:tc>
        <w:tc>
          <w:tcPr>
            <w:tcW w:w="1701" w:type="dxa"/>
          </w:tcPr>
          <w:p w14:paraId="77E4D806"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&lt;0.001*</w:t>
            </w:r>
          </w:p>
        </w:tc>
      </w:tr>
      <w:tr w:rsidR="00C16735" w:rsidRPr="00300ECA" w14:paraId="06DA25E8" w14:textId="77777777" w:rsidTr="00300ECA">
        <w:trPr>
          <w:trHeight w:val="20"/>
        </w:trPr>
        <w:tc>
          <w:tcPr>
            <w:tcW w:w="1985" w:type="dxa"/>
          </w:tcPr>
          <w:p w14:paraId="3AC58621" w14:textId="77777777" w:rsidR="00C16735" w:rsidRPr="00300ECA" w:rsidRDefault="00C16735" w:rsidP="00300ECA">
            <w:pPr>
              <w:rPr>
                <w:rFonts w:ascii="Garamond" w:hAnsi="Garamond"/>
                <w:b/>
                <w:bCs/>
                <w:iCs/>
                <w:sz w:val="19"/>
                <w:szCs w:val="19"/>
                <w:lang w:val="en-GB"/>
              </w:rPr>
            </w:pPr>
            <w:r w:rsidRPr="00300ECA">
              <w:rPr>
                <w:rFonts w:ascii="Garamond" w:hAnsi="Garamond"/>
                <w:bCs/>
                <w:iCs/>
                <w:sz w:val="19"/>
                <w:szCs w:val="19"/>
                <w:lang w:val="en-GB"/>
              </w:rPr>
              <w:t xml:space="preserve">≥Secondary </w:t>
            </w:r>
          </w:p>
        </w:tc>
        <w:tc>
          <w:tcPr>
            <w:tcW w:w="2035" w:type="dxa"/>
            <w:gridSpan w:val="2"/>
          </w:tcPr>
          <w:p w14:paraId="46B76FB6" w14:textId="77777777" w:rsidR="00C16735" w:rsidRPr="00300ECA" w:rsidRDefault="00C16735" w:rsidP="00300ECA">
            <w:pPr>
              <w:rPr>
                <w:rFonts w:ascii="Garamond" w:hAnsi="Garamond"/>
                <w:b/>
                <w:bCs/>
                <w:iCs/>
                <w:sz w:val="19"/>
                <w:szCs w:val="19"/>
                <w:lang w:val="en-GB"/>
              </w:rPr>
            </w:pPr>
            <w:r w:rsidRPr="00300ECA">
              <w:rPr>
                <w:rFonts w:ascii="Garamond" w:hAnsi="Garamond"/>
                <w:bCs/>
                <w:iCs/>
                <w:sz w:val="19"/>
                <w:szCs w:val="19"/>
                <w:lang w:val="en-GB"/>
              </w:rPr>
              <w:t>36(18.0)</w:t>
            </w:r>
          </w:p>
        </w:tc>
        <w:tc>
          <w:tcPr>
            <w:tcW w:w="1509" w:type="dxa"/>
          </w:tcPr>
          <w:p w14:paraId="06457D26" w14:textId="77777777" w:rsidR="00C16735" w:rsidRPr="00300ECA" w:rsidRDefault="00C16735" w:rsidP="00300ECA">
            <w:pPr>
              <w:rPr>
                <w:rFonts w:ascii="Garamond" w:hAnsi="Garamond"/>
                <w:b/>
                <w:bCs/>
                <w:iCs/>
                <w:sz w:val="19"/>
                <w:szCs w:val="19"/>
                <w:lang w:val="en-GB"/>
              </w:rPr>
            </w:pPr>
            <w:r w:rsidRPr="00300ECA">
              <w:rPr>
                <w:rFonts w:ascii="Garamond" w:hAnsi="Garamond"/>
                <w:bCs/>
                <w:iCs/>
                <w:sz w:val="19"/>
                <w:szCs w:val="19"/>
                <w:lang w:val="en-GB"/>
              </w:rPr>
              <w:t>64(32.0)</w:t>
            </w:r>
          </w:p>
        </w:tc>
        <w:tc>
          <w:tcPr>
            <w:tcW w:w="1589" w:type="dxa"/>
          </w:tcPr>
          <w:p w14:paraId="32DEE117" w14:textId="77777777" w:rsidR="00C16735" w:rsidRPr="00300ECA" w:rsidRDefault="00C16735" w:rsidP="00300ECA">
            <w:pPr>
              <w:rPr>
                <w:rFonts w:ascii="Garamond" w:hAnsi="Garamond"/>
                <w:b/>
                <w:bCs/>
                <w:iCs/>
                <w:sz w:val="19"/>
                <w:szCs w:val="19"/>
                <w:lang w:val="en-GB"/>
              </w:rPr>
            </w:pPr>
            <w:r w:rsidRPr="00300ECA">
              <w:rPr>
                <w:rFonts w:ascii="Garamond" w:hAnsi="Garamond"/>
                <w:bCs/>
                <w:iCs/>
                <w:sz w:val="19"/>
                <w:szCs w:val="19"/>
                <w:lang w:val="en-GB"/>
              </w:rPr>
              <w:t>100(50.0)</w:t>
            </w:r>
          </w:p>
        </w:tc>
        <w:tc>
          <w:tcPr>
            <w:tcW w:w="1529" w:type="dxa"/>
          </w:tcPr>
          <w:p w14:paraId="2B6DF15E" w14:textId="77777777" w:rsidR="00C16735" w:rsidRPr="00300ECA" w:rsidRDefault="00C16735" w:rsidP="00300ECA">
            <w:pPr>
              <w:rPr>
                <w:rFonts w:ascii="Garamond" w:hAnsi="Garamond"/>
                <w:bCs/>
                <w:iCs/>
                <w:sz w:val="19"/>
                <w:szCs w:val="19"/>
                <w:lang w:val="en-GB"/>
              </w:rPr>
            </w:pPr>
          </w:p>
        </w:tc>
        <w:tc>
          <w:tcPr>
            <w:tcW w:w="1701" w:type="dxa"/>
          </w:tcPr>
          <w:p w14:paraId="33D17DF6" w14:textId="77777777" w:rsidR="00C16735" w:rsidRPr="00300ECA" w:rsidRDefault="00C16735" w:rsidP="00300ECA">
            <w:pPr>
              <w:rPr>
                <w:rFonts w:ascii="Garamond" w:hAnsi="Garamond"/>
                <w:bCs/>
                <w:iCs/>
                <w:sz w:val="19"/>
                <w:szCs w:val="19"/>
                <w:lang w:val="en-GB"/>
              </w:rPr>
            </w:pPr>
          </w:p>
        </w:tc>
      </w:tr>
      <w:tr w:rsidR="00C16735" w:rsidRPr="00300ECA" w14:paraId="208D5A48" w14:textId="77777777" w:rsidTr="00300ECA">
        <w:trPr>
          <w:trHeight w:val="20"/>
        </w:trPr>
        <w:tc>
          <w:tcPr>
            <w:tcW w:w="1985" w:type="dxa"/>
          </w:tcPr>
          <w:p w14:paraId="79ECD918" w14:textId="77777777" w:rsidR="00C16735" w:rsidRPr="00300ECA" w:rsidRDefault="00C16735" w:rsidP="00300ECA">
            <w:pPr>
              <w:rPr>
                <w:rFonts w:ascii="Garamond" w:hAnsi="Garamond"/>
                <w:b/>
                <w:bCs/>
                <w:iCs/>
                <w:sz w:val="19"/>
                <w:szCs w:val="19"/>
                <w:lang w:val="en-GB"/>
              </w:rPr>
            </w:pPr>
            <w:r w:rsidRPr="00300ECA">
              <w:rPr>
                <w:rFonts w:ascii="Garamond" w:hAnsi="Garamond"/>
                <w:bCs/>
                <w:iCs/>
                <w:sz w:val="19"/>
                <w:szCs w:val="19"/>
                <w:lang w:val="en-GB"/>
              </w:rPr>
              <w:t xml:space="preserve">≤Primary  </w:t>
            </w:r>
          </w:p>
        </w:tc>
        <w:tc>
          <w:tcPr>
            <w:tcW w:w="2035" w:type="dxa"/>
            <w:gridSpan w:val="2"/>
          </w:tcPr>
          <w:p w14:paraId="0E51672E" w14:textId="77777777" w:rsidR="00C16735" w:rsidRPr="00300ECA" w:rsidRDefault="00C16735" w:rsidP="00300ECA">
            <w:pPr>
              <w:rPr>
                <w:rFonts w:ascii="Garamond" w:hAnsi="Garamond"/>
                <w:b/>
                <w:bCs/>
                <w:iCs/>
                <w:sz w:val="19"/>
                <w:szCs w:val="19"/>
                <w:lang w:val="en-GB"/>
              </w:rPr>
            </w:pPr>
            <w:r w:rsidRPr="00300ECA">
              <w:rPr>
                <w:rFonts w:ascii="Garamond" w:hAnsi="Garamond"/>
                <w:bCs/>
                <w:iCs/>
                <w:sz w:val="19"/>
                <w:szCs w:val="19"/>
                <w:lang w:val="en-GB"/>
              </w:rPr>
              <w:t>70(35.0)</w:t>
            </w:r>
          </w:p>
        </w:tc>
        <w:tc>
          <w:tcPr>
            <w:tcW w:w="1509" w:type="dxa"/>
          </w:tcPr>
          <w:p w14:paraId="63F0141E" w14:textId="77777777" w:rsidR="00C16735" w:rsidRPr="00300ECA" w:rsidRDefault="00C16735" w:rsidP="00300ECA">
            <w:pPr>
              <w:rPr>
                <w:rFonts w:ascii="Garamond" w:hAnsi="Garamond"/>
                <w:b/>
                <w:bCs/>
                <w:iCs/>
                <w:sz w:val="19"/>
                <w:szCs w:val="19"/>
                <w:lang w:val="en-GB"/>
              </w:rPr>
            </w:pPr>
            <w:r w:rsidRPr="00300ECA">
              <w:rPr>
                <w:rFonts w:ascii="Garamond" w:hAnsi="Garamond"/>
                <w:bCs/>
                <w:iCs/>
                <w:sz w:val="19"/>
                <w:szCs w:val="19"/>
                <w:lang w:val="en-GB"/>
              </w:rPr>
              <w:t>30(15.0)</w:t>
            </w:r>
          </w:p>
        </w:tc>
        <w:tc>
          <w:tcPr>
            <w:tcW w:w="1589" w:type="dxa"/>
          </w:tcPr>
          <w:p w14:paraId="0C40BCE3" w14:textId="77777777" w:rsidR="00C16735" w:rsidRPr="00300ECA" w:rsidRDefault="00C16735" w:rsidP="00300ECA">
            <w:pPr>
              <w:rPr>
                <w:rFonts w:ascii="Garamond" w:hAnsi="Garamond"/>
                <w:b/>
                <w:bCs/>
                <w:iCs/>
                <w:sz w:val="19"/>
                <w:szCs w:val="19"/>
                <w:lang w:val="en-GB"/>
              </w:rPr>
            </w:pPr>
            <w:r w:rsidRPr="00300ECA">
              <w:rPr>
                <w:rFonts w:ascii="Garamond" w:hAnsi="Garamond"/>
                <w:bCs/>
                <w:iCs/>
                <w:sz w:val="19"/>
                <w:szCs w:val="19"/>
                <w:lang w:val="en-GB"/>
              </w:rPr>
              <w:t>100(50.0)</w:t>
            </w:r>
          </w:p>
        </w:tc>
        <w:tc>
          <w:tcPr>
            <w:tcW w:w="1529" w:type="dxa"/>
          </w:tcPr>
          <w:p w14:paraId="2A9AF8DA" w14:textId="77777777" w:rsidR="00C16735" w:rsidRPr="00300ECA" w:rsidRDefault="00C16735" w:rsidP="00300ECA">
            <w:pPr>
              <w:rPr>
                <w:rFonts w:ascii="Garamond" w:hAnsi="Garamond"/>
                <w:bCs/>
                <w:iCs/>
                <w:sz w:val="19"/>
                <w:szCs w:val="19"/>
                <w:lang w:val="en-GB"/>
              </w:rPr>
            </w:pPr>
          </w:p>
        </w:tc>
        <w:tc>
          <w:tcPr>
            <w:tcW w:w="1701" w:type="dxa"/>
          </w:tcPr>
          <w:p w14:paraId="1649995E" w14:textId="77777777" w:rsidR="00C16735" w:rsidRPr="00300ECA" w:rsidRDefault="00C16735" w:rsidP="00300ECA">
            <w:pPr>
              <w:rPr>
                <w:rFonts w:ascii="Garamond" w:hAnsi="Garamond"/>
                <w:b/>
                <w:bCs/>
                <w:iCs/>
                <w:sz w:val="19"/>
                <w:szCs w:val="19"/>
                <w:lang w:val="en-GB"/>
              </w:rPr>
            </w:pPr>
          </w:p>
        </w:tc>
      </w:tr>
      <w:tr w:rsidR="00C16735" w:rsidRPr="00300ECA" w14:paraId="33663146" w14:textId="77777777" w:rsidTr="00300ECA">
        <w:trPr>
          <w:trHeight w:val="20"/>
        </w:trPr>
        <w:tc>
          <w:tcPr>
            <w:tcW w:w="1985" w:type="dxa"/>
          </w:tcPr>
          <w:p w14:paraId="69CD394C" w14:textId="77777777" w:rsidR="00C16735" w:rsidRPr="00300ECA" w:rsidRDefault="00C16735" w:rsidP="00300ECA">
            <w:pPr>
              <w:rPr>
                <w:rFonts w:ascii="Garamond" w:hAnsi="Garamond"/>
                <w:bCs/>
                <w:iCs/>
                <w:sz w:val="19"/>
                <w:szCs w:val="19"/>
                <w:lang w:val="en-GB"/>
              </w:rPr>
            </w:pPr>
            <w:r w:rsidRPr="00300ECA">
              <w:rPr>
                <w:rFonts w:ascii="Garamond" w:hAnsi="Garamond"/>
                <w:b/>
                <w:bCs/>
                <w:iCs/>
                <w:sz w:val="19"/>
                <w:szCs w:val="19"/>
                <w:lang w:val="en-GB"/>
              </w:rPr>
              <w:t>Occupation</w:t>
            </w:r>
          </w:p>
        </w:tc>
        <w:tc>
          <w:tcPr>
            <w:tcW w:w="2035" w:type="dxa"/>
            <w:gridSpan w:val="2"/>
          </w:tcPr>
          <w:p w14:paraId="011BFAD8" w14:textId="77777777" w:rsidR="00C16735" w:rsidRPr="00300ECA" w:rsidRDefault="00C16735" w:rsidP="00300ECA">
            <w:pPr>
              <w:rPr>
                <w:rFonts w:ascii="Garamond" w:hAnsi="Garamond"/>
                <w:bCs/>
                <w:iCs/>
                <w:sz w:val="19"/>
                <w:szCs w:val="19"/>
                <w:lang w:val="en-GB"/>
              </w:rPr>
            </w:pPr>
          </w:p>
        </w:tc>
        <w:tc>
          <w:tcPr>
            <w:tcW w:w="1509" w:type="dxa"/>
          </w:tcPr>
          <w:p w14:paraId="2972E8F7" w14:textId="77777777" w:rsidR="00C16735" w:rsidRPr="00300ECA" w:rsidRDefault="00C16735" w:rsidP="00300ECA">
            <w:pPr>
              <w:rPr>
                <w:rFonts w:ascii="Garamond" w:hAnsi="Garamond"/>
                <w:bCs/>
                <w:iCs/>
                <w:sz w:val="19"/>
                <w:szCs w:val="19"/>
                <w:lang w:val="en-GB"/>
              </w:rPr>
            </w:pPr>
          </w:p>
        </w:tc>
        <w:tc>
          <w:tcPr>
            <w:tcW w:w="1589" w:type="dxa"/>
          </w:tcPr>
          <w:p w14:paraId="386023EC" w14:textId="77777777" w:rsidR="00C16735" w:rsidRPr="00300ECA" w:rsidRDefault="00C16735" w:rsidP="00300ECA">
            <w:pPr>
              <w:rPr>
                <w:rFonts w:ascii="Garamond" w:hAnsi="Garamond"/>
                <w:bCs/>
                <w:iCs/>
                <w:sz w:val="19"/>
                <w:szCs w:val="19"/>
                <w:lang w:val="en-GB"/>
              </w:rPr>
            </w:pPr>
          </w:p>
        </w:tc>
        <w:tc>
          <w:tcPr>
            <w:tcW w:w="1529" w:type="dxa"/>
          </w:tcPr>
          <w:p w14:paraId="5B4EF20E"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24.16 (1)</w:t>
            </w:r>
          </w:p>
        </w:tc>
        <w:tc>
          <w:tcPr>
            <w:tcW w:w="1701" w:type="dxa"/>
          </w:tcPr>
          <w:p w14:paraId="7EA8F905"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&lt;0.001*</w:t>
            </w:r>
          </w:p>
        </w:tc>
      </w:tr>
      <w:tr w:rsidR="00C16735" w:rsidRPr="00300ECA" w14:paraId="3D340BD1" w14:textId="77777777" w:rsidTr="00300ECA">
        <w:trPr>
          <w:trHeight w:val="20"/>
        </w:trPr>
        <w:tc>
          <w:tcPr>
            <w:tcW w:w="1985" w:type="dxa"/>
          </w:tcPr>
          <w:p w14:paraId="727D1907"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Unemployed</w:t>
            </w:r>
          </w:p>
        </w:tc>
        <w:tc>
          <w:tcPr>
            <w:tcW w:w="2035" w:type="dxa"/>
            <w:gridSpan w:val="2"/>
          </w:tcPr>
          <w:p w14:paraId="44361023"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30(15.0)</w:t>
            </w:r>
          </w:p>
        </w:tc>
        <w:tc>
          <w:tcPr>
            <w:tcW w:w="1509" w:type="dxa"/>
          </w:tcPr>
          <w:p w14:paraId="6915EC73"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40(20.0)</w:t>
            </w:r>
          </w:p>
        </w:tc>
        <w:tc>
          <w:tcPr>
            <w:tcW w:w="1589" w:type="dxa"/>
          </w:tcPr>
          <w:p w14:paraId="091CDA89"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70(35.0)</w:t>
            </w:r>
          </w:p>
        </w:tc>
        <w:tc>
          <w:tcPr>
            <w:tcW w:w="1529" w:type="dxa"/>
          </w:tcPr>
          <w:p w14:paraId="32F87CAE" w14:textId="77777777" w:rsidR="00C16735" w:rsidRPr="00300ECA" w:rsidRDefault="00C16735" w:rsidP="00300ECA">
            <w:pPr>
              <w:rPr>
                <w:rFonts w:ascii="Garamond" w:hAnsi="Garamond"/>
                <w:bCs/>
                <w:iCs/>
                <w:sz w:val="19"/>
                <w:szCs w:val="19"/>
                <w:lang w:val="en-GB"/>
              </w:rPr>
            </w:pPr>
          </w:p>
        </w:tc>
        <w:tc>
          <w:tcPr>
            <w:tcW w:w="1701" w:type="dxa"/>
          </w:tcPr>
          <w:p w14:paraId="01D400EC" w14:textId="77777777" w:rsidR="00C16735" w:rsidRPr="00300ECA" w:rsidRDefault="00C16735" w:rsidP="00300ECA">
            <w:pPr>
              <w:rPr>
                <w:rFonts w:ascii="Garamond" w:hAnsi="Garamond"/>
                <w:b/>
                <w:bCs/>
                <w:iCs/>
                <w:sz w:val="19"/>
                <w:szCs w:val="19"/>
                <w:lang w:val="en-GB"/>
              </w:rPr>
            </w:pPr>
          </w:p>
        </w:tc>
      </w:tr>
      <w:tr w:rsidR="00C16735" w:rsidRPr="00300ECA" w14:paraId="6B3152F2" w14:textId="77777777" w:rsidTr="00300ECA">
        <w:trPr>
          <w:trHeight w:val="20"/>
        </w:trPr>
        <w:tc>
          <w:tcPr>
            <w:tcW w:w="1985" w:type="dxa"/>
          </w:tcPr>
          <w:p w14:paraId="10B61F9B"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Employed</w:t>
            </w:r>
          </w:p>
        </w:tc>
        <w:tc>
          <w:tcPr>
            <w:tcW w:w="2035" w:type="dxa"/>
            <w:gridSpan w:val="2"/>
          </w:tcPr>
          <w:p w14:paraId="35E73D26"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50(25.0)</w:t>
            </w:r>
          </w:p>
        </w:tc>
        <w:tc>
          <w:tcPr>
            <w:tcW w:w="1509" w:type="dxa"/>
          </w:tcPr>
          <w:p w14:paraId="0321AB5B"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80(40.0)</w:t>
            </w:r>
          </w:p>
        </w:tc>
        <w:tc>
          <w:tcPr>
            <w:tcW w:w="1589" w:type="dxa"/>
          </w:tcPr>
          <w:p w14:paraId="3DB77FA6"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130(65.0)</w:t>
            </w:r>
          </w:p>
        </w:tc>
        <w:tc>
          <w:tcPr>
            <w:tcW w:w="1529" w:type="dxa"/>
          </w:tcPr>
          <w:p w14:paraId="43A8E8FC" w14:textId="77777777" w:rsidR="00C16735" w:rsidRPr="00300ECA" w:rsidRDefault="00C16735" w:rsidP="00300ECA">
            <w:pPr>
              <w:rPr>
                <w:rFonts w:ascii="Garamond" w:hAnsi="Garamond"/>
                <w:bCs/>
                <w:iCs/>
                <w:sz w:val="19"/>
                <w:szCs w:val="19"/>
                <w:lang w:val="en-GB"/>
              </w:rPr>
            </w:pPr>
          </w:p>
        </w:tc>
        <w:tc>
          <w:tcPr>
            <w:tcW w:w="1701" w:type="dxa"/>
          </w:tcPr>
          <w:p w14:paraId="41FEE8AF" w14:textId="77777777" w:rsidR="00C16735" w:rsidRPr="00300ECA" w:rsidRDefault="00C16735" w:rsidP="00300ECA">
            <w:pPr>
              <w:rPr>
                <w:rFonts w:ascii="Garamond" w:hAnsi="Garamond"/>
                <w:b/>
                <w:bCs/>
                <w:iCs/>
                <w:sz w:val="19"/>
                <w:szCs w:val="19"/>
                <w:lang w:val="en-GB"/>
              </w:rPr>
            </w:pPr>
          </w:p>
        </w:tc>
      </w:tr>
      <w:tr w:rsidR="00C16735" w:rsidRPr="00300ECA" w14:paraId="35AD51C6" w14:textId="77777777" w:rsidTr="00300ECA">
        <w:trPr>
          <w:trHeight w:val="20"/>
        </w:trPr>
        <w:tc>
          <w:tcPr>
            <w:tcW w:w="1985" w:type="dxa"/>
          </w:tcPr>
          <w:p w14:paraId="5E47F1CB"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Family Type</w:t>
            </w:r>
          </w:p>
        </w:tc>
        <w:tc>
          <w:tcPr>
            <w:tcW w:w="2035" w:type="dxa"/>
            <w:gridSpan w:val="2"/>
          </w:tcPr>
          <w:p w14:paraId="0913D789" w14:textId="77777777" w:rsidR="00C16735" w:rsidRPr="00300ECA" w:rsidRDefault="00C16735" w:rsidP="00300ECA">
            <w:pPr>
              <w:rPr>
                <w:rFonts w:ascii="Garamond" w:hAnsi="Garamond"/>
                <w:bCs/>
                <w:iCs/>
                <w:sz w:val="19"/>
                <w:szCs w:val="19"/>
                <w:lang w:val="en-GB"/>
              </w:rPr>
            </w:pPr>
          </w:p>
        </w:tc>
        <w:tc>
          <w:tcPr>
            <w:tcW w:w="1509" w:type="dxa"/>
          </w:tcPr>
          <w:p w14:paraId="59404DA1" w14:textId="77777777" w:rsidR="00C16735" w:rsidRPr="00300ECA" w:rsidRDefault="00C16735" w:rsidP="00300ECA">
            <w:pPr>
              <w:rPr>
                <w:rFonts w:ascii="Garamond" w:hAnsi="Garamond"/>
                <w:bCs/>
                <w:iCs/>
                <w:sz w:val="19"/>
                <w:szCs w:val="19"/>
                <w:lang w:val="en-GB"/>
              </w:rPr>
            </w:pPr>
          </w:p>
        </w:tc>
        <w:tc>
          <w:tcPr>
            <w:tcW w:w="1589" w:type="dxa"/>
          </w:tcPr>
          <w:p w14:paraId="12EEEF6F" w14:textId="77777777" w:rsidR="00C16735" w:rsidRPr="00300ECA" w:rsidRDefault="00C16735" w:rsidP="00300ECA">
            <w:pPr>
              <w:rPr>
                <w:rFonts w:ascii="Garamond" w:hAnsi="Garamond"/>
                <w:bCs/>
                <w:iCs/>
                <w:sz w:val="19"/>
                <w:szCs w:val="19"/>
                <w:lang w:val="en-GB"/>
              </w:rPr>
            </w:pPr>
          </w:p>
        </w:tc>
        <w:tc>
          <w:tcPr>
            <w:tcW w:w="1529" w:type="dxa"/>
          </w:tcPr>
          <w:p w14:paraId="736435E9"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6.33 (1)</w:t>
            </w:r>
          </w:p>
        </w:tc>
        <w:tc>
          <w:tcPr>
            <w:tcW w:w="1701" w:type="dxa"/>
          </w:tcPr>
          <w:p w14:paraId="66751B83"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0.012*</w:t>
            </w:r>
          </w:p>
        </w:tc>
      </w:tr>
      <w:tr w:rsidR="00C16735" w:rsidRPr="00300ECA" w14:paraId="4C1F6CE5" w14:textId="77777777" w:rsidTr="00300ECA">
        <w:trPr>
          <w:trHeight w:val="20"/>
        </w:trPr>
        <w:tc>
          <w:tcPr>
            <w:tcW w:w="1985" w:type="dxa"/>
          </w:tcPr>
          <w:p w14:paraId="5526E2F5"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Monogamy</w:t>
            </w:r>
          </w:p>
        </w:tc>
        <w:tc>
          <w:tcPr>
            <w:tcW w:w="2035" w:type="dxa"/>
            <w:gridSpan w:val="2"/>
          </w:tcPr>
          <w:p w14:paraId="4FDDBC86"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20(10.0)</w:t>
            </w:r>
          </w:p>
        </w:tc>
        <w:tc>
          <w:tcPr>
            <w:tcW w:w="1509" w:type="dxa"/>
          </w:tcPr>
          <w:p w14:paraId="089653A0"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48(24.0)</w:t>
            </w:r>
          </w:p>
        </w:tc>
        <w:tc>
          <w:tcPr>
            <w:tcW w:w="1589" w:type="dxa"/>
          </w:tcPr>
          <w:p w14:paraId="0A12C6AB"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68 (34.0)</w:t>
            </w:r>
          </w:p>
        </w:tc>
        <w:tc>
          <w:tcPr>
            <w:tcW w:w="1529" w:type="dxa"/>
          </w:tcPr>
          <w:p w14:paraId="0D5C41AD" w14:textId="77777777" w:rsidR="00C16735" w:rsidRPr="00300ECA" w:rsidRDefault="00C16735" w:rsidP="00300ECA">
            <w:pPr>
              <w:rPr>
                <w:rFonts w:ascii="Garamond" w:hAnsi="Garamond"/>
                <w:bCs/>
                <w:iCs/>
                <w:sz w:val="19"/>
                <w:szCs w:val="19"/>
                <w:lang w:val="en-GB"/>
              </w:rPr>
            </w:pPr>
          </w:p>
        </w:tc>
        <w:tc>
          <w:tcPr>
            <w:tcW w:w="1701" w:type="dxa"/>
          </w:tcPr>
          <w:p w14:paraId="27503C20" w14:textId="77777777" w:rsidR="00C16735" w:rsidRPr="00300ECA" w:rsidRDefault="00C16735" w:rsidP="00300ECA">
            <w:pPr>
              <w:rPr>
                <w:rFonts w:ascii="Garamond" w:hAnsi="Garamond"/>
                <w:b/>
                <w:bCs/>
                <w:iCs/>
                <w:sz w:val="19"/>
                <w:szCs w:val="19"/>
                <w:lang w:val="en-GB"/>
              </w:rPr>
            </w:pPr>
          </w:p>
        </w:tc>
      </w:tr>
      <w:tr w:rsidR="00C16735" w:rsidRPr="00300ECA" w14:paraId="344C00DD" w14:textId="77777777" w:rsidTr="00300ECA">
        <w:trPr>
          <w:trHeight w:val="20"/>
        </w:trPr>
        <w:tc>
          <w:tcPr>
            <w:tcW w:w="1985" w:type="dxa"/>
          </w:tcPr>
          <w:p w14:paraId="6CA15BCA"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Polygamy</w:t>
            </w:r>
          </w:p>
        </w:tc>
        <w:tc>
          <w:tcPr>
            <w:tcW w:w="2035" w:type="dxa"/>
            <w:gridSpan w:val="2"/>
          </w:tcPr>
          <w:p w14:paraId="054B42FB"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70(35.0)</w:t>
            </w:r>
          </w:p>
        </w:tc>
        <w:tc>
          <w:tcPr>
            <w:tcW w:w="1509" w:type="dxa"/>
          </w:tcPr>
          <w:p w14:paraId="33554E8F"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62(31.0)</w:t>
            </w:r>
          </w:p>
        </w:tc>
        <w:tc>
          <w:tcPr>
            <w:tcW w:w="1589" w:type="dxa"/>
          </w:tcPr>
          <w:p w14:paraId="6AB38057"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132 (66.0)</w:t>
            </w:r>
          </w:p>
        </w:tc>
        <w:tc>
          <w:tcPr>
            <w:tcW w:w="1529" w:type="dxa"/>
          </w:tcPr>
          <w:p w14:paraId="034F72E2" w14:textId="77777777" w:rsidR="00C16735" w:rsidRPr="00300ECA" w:rsidRDefault="00C16735" w:rsidP="00300ECA">
            <w:pPr>
              <w:rPr>
                <w:rFonts w:ascii="Garamond" w:hAnsi="Garamond"/>
                <w:bCs/>
                <w:iCs/>
                <w:sz w:val="19"/>
                <w:szCs w:val="19"/>
                <w:lang w:val="en-GB"/>
              </w:rPr>
            </w:pPr>
          </w:p>
        </w:tc>
        <w:tc>
          <w:tcPr>
            <w:tcW w:w="1701" w:type="dxa"/>
          </w:tcPr>
          <w:p w14:paraId="19F70373" w14:textId="77777777" w:rsidR="00C16735" w:rsidRPr="00300ECA" w:rsidRDefault="00C16735" w:rsidP="00300ECA">
            <w:pPr>
              <w:rPr>
                <w:rFonts w:ascii="Garamond" w:hAnsi="Garamond"/>
                <w:b/>
                <w:bCs/>
                <w:iCs/>
                <w:sz w:val="19"/>
                <w:szCs w:val="19"/>
                <w:lang w:val="en-GB"/>
              </w:rPr>
            </w:pPr>
          </w:p>
        </w:tc>
      </w:tr>
      <w:tr w:rsidR="00C16735" w:rsidRPr="00300ECA" w14:paraId="2460E883" w14:textId="77777777" w:rsidTr="00300ECA">
        <w:trPr>
          <w:trHeight w:val="20"/>
        </w:trPr>
        <w:tc>
          <w:tcPr>
            <w:tcW w:w="1985" w:type="dxa"/>
          </w:tcPr>
          <w:p w14:paraId="62C9DD99" w14:textId="77777777" w:rsidR="00C16735" w:rsidRPr="00300ECA" w:rsidRDefault="00C16735" w:rsidP="00300ECA">
            <w:pPr>
              <w:rPr>
                <w:rFonts w:ascii="Garamond" w:hAnsi="Garamond"/>
                <w:bCs/>
                <w:iCs/>
                <w:sz w:val="19"/>
                <w:szCs w:val="19"/>
                <w:lang w:val="en-GB"/>
              </w:rPr>
            </w:pPr>
            <w:r w:rsidRPr="00300ECA">
              <w:rPr>
                <w:rFonts w:ascii="Garamond" w:hAnsi="Garamond"/>
                <w:b/>
                <w:bCs/>
                <w:iCs/>
                <w:sz w:val="19"/>
                <w:szCs w:val="19"/>
                <w:lang w:val="en-GB"/>
              </w:rPr>
              <w:t>Monthly income (</w:t>
            </w:r>
            <w:r w:rsidRPr="00300ECA">
              <w:rPr>
                <w:rFonts w:ascii="Times New Roman" w:hAnsi="Times New Roman" w:cs="Times New Roman"/>
                <w:bCs/>
                <w:iCs/>
                <w:sz w:val="19"/>
                <w:szCs w:val="19"/>
                <w:lang w:val="en-GB"/>
              </w:rPr>
              <w:t>₦</w:t>
            </w:r>
            <w:r w:rsidRPr="00300ECA">
              <w:rPr>
                <w:rFonts w:ascii="Garamond" w:hAnsi="Garamond"/>
                <w:bCs/>
                <w:iCs/>
                <w:sz w:val="19"/>
                <w:szCs w:val="19"/>
                <w:lang w:val="en-GB"/>
              </w:rPr>
              <w:t>)</w:t>
            </w:r>
          </w:p>
        </w:tc>
        <w:tc>
          <w:tcPr>
            <w:tcW w:w="2035" w:type="dxa"/>
            <w:gridSpan w:val="2"/>
          </w:tcPr>
          <w:p w14:paraId="75472313" w14:textId="77777777" w:rsidR="00C16735" w:rsidRPr="00300ECA" w:rsidRDefault="00C16735" w:rsidP="00300ECA">
            <w:pPr>
              <w:rPr>
                <w:rFonts w:ascii="Garamond" w:hAnsi="Garamond"/>
                <w:bCs/>
                <w:iCs/>
                <w:sz w:val="19"/>
                <w:szCs w:val="19"/>
                <w:lang w:val="en-GB"/>
              </w:rPr>
            </w:pPr>
          </w:p>
        </w:tc>
        <w:tc>
          <w:tcPr>
            <w:tcW w:w="1509" w:type="dxa"/>
          </w:tcPr>
          <w:p w14:paraId="451990B4" w14:textId="77777777" w:rsidR="00C16735" w:rsidRPr="00300ECA" w:rsidRDefault="00C16735" w:rsidP="00300ECA">
            <w:pPr>
              <w:rPr>
                <w:rFonts w:ascii="Garamond" w:hAnsi="Garamond"/>
                <w:bCs/>
                <w:iCs/>
                <w:sz w:val="19"/>
                <w:szCs w:val="19"/>
                <w:lang w:val="en-GB"/>
              </w:rPr>
            </w:pPr>
          </w:p>
        </w:tc>
        <w:tc>
          <w:tcPr>
            <w:tcW w:w="1589" w:type="dxa"/>
          </w:tcPr>
          <w:p w14:paraId="00D12C86" w14:textId="77777777" w:rsidR="00C16735" w:rsidRPr="00300ECA" w:rsidRDefault="00C16735" w:rsidP="00300ECA">
            <w:pPr>
              <w:rPr>
                <w:rFonts w:ascii="Garamond" w:hAnsi="Garamond"/>
                <w:bCs/>
                <w:iCs/>
                <w:sz w:val="19"/>
                <w:szCs w:val="19"/>
                <w:lang w:val="en-GB"/>
              </w:rPr>
            </w:pPr>
          </w:p>
        </w:tc>
        <w:tc>
          <w:tcPr>
            <w:tcW w:w="1529" w:type="dxa"/>
          </w:tcPr>
          <w:p w14:paraId="73A5D011"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4.10 (1)</w:t>
            </w:r>
          </w:p>
        </w:tc>
        <w:tc>
          <w:tcPr>
            <w:tcW w:w="1701" w:type="dxa"/>
          </w:tcPr>
          <w:p w14:paraId="3B2C0FA4" w14:textId="77777777" w:rsidR="00C16735" w:rsidRPr="00300ECA" w:rsidRDefault="00C16735" w:rsidP="00300ECA">
            <w:pPr>
              <w:rPr>
                <w:rFonts w:ascii="Garamond" w:hAnsi="Garamond"/>
                <w:b/>
                <w:bCs/>
                <w:iCs/>
                <w:sz w:val="19"/>
                <w:szCs w:val="19"/>
                <w:lang w:val="en-GB"/>
              </w:rPr>
            </w:pPr>
            <w:r w:rsidRPr="00300ECA">
              <w:rPr>
                <w:rFonts w:ascii="Garamond" w:hAnsi="Garamond"/>
                <w:b/>
                <w:bCs/>
                <w:iCs/>
                <w:sz w:val="19"/>
                <w:szCs w:val="19"/>
                <w:lang w:val="en-GB"/>
              </w:rPr>
              <w:t>0.043*</w:t>
            </w:r>
          </w:p>
        </w:tc>
      </w:tr>
      <w:tr w:rsidR="00C16735" w:rsidRPr="00300ECA" w14:paraId="3E408EF4" w14:textId="77777777" w:rsidTr="00300ECA">
        <w:trPr>
          <w:trHeight w:val="20"/>
        </w:trPr>
        <w:tc>
          <w:tcPr>
            <w:tcW w:w="1985" w:type="dxa"/>
          </w:tcPr>
          <w:p w14:paraId="34C4AC94"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&lt; 50,000</w:t>
            </w:r>
          </w:p>
        </w:tc>
        <w:tc>
          <w:tcPr>
            <w:tcW w:w="2035" w:type="dxa"/>
            <w:gridSpan w:val="2"/>
          </w:tcPr>
          <w:p w14:paraId="781D6C13"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60(30.0)</w:t>
            </w:r>
          </w:p>
        </w:tc>
        <w:tc>
          <w:tcPr>
            <w:tcW w:w="1509" w:type="dxa"/>
          </w:tcPr>
          <w:p w14:paraId="1BC80B97"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30(15.0)</w:t>
            </w:r>
          </w:p>
        </w:tc>
        <w:tc>
          <w:tcPr>
            <w:tcW w:w="1589" w:type="dxa"/>
          </w:tcPr>
          <w:p w14:paraId="64716EE7"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90(45.0)</w:t>
            </w:r>
          </w:p>
        </w:tc>
        <w:tc>
          <w:tcPr>
            <w:tcW w:w="1529" w:type="dxa"/>
          </w:tcPr>
          <w:p w14:paraId="6EB885F5" w14:textId="77777777" w:rsidR="00C16735" w:rsidRPr="00300ECA" w:rsidRDefault="00C16735" w:rsidP="00300ECA">
            <w:pPr>
              <w:rPr>
                <w:rFonts w:ascii="Garamond" w:hAnsi="Garamond"/>
                <w:b/>
                <w:bCs/>
                <w:iCs/>
                <w:sz w:val="19"/>
                <w:szCs w:val="19"/>
                <w:lang w:val="en-GB"/>
              </w:rPr>
            </w:pPr>
          </w:p>
        </w:tc>
        <w:tc>
          <w:tcPr>
            <w:tcW w:w="1701" w:type="dxa"/>
          </w:tcPr>
          <w:p w14:paraId="37F7F361" w14:textId="77777777" w:rsidR="00C16735" w:rsidRPr="00300ECA" w:rsidRDefault="00C16735" w:rsidP="00300ECA">
            <w:pPr>
              <w:rPr>
                <w:rFonts w:ascii="Garamond" w:hAnsi="Garamond"/>
                <w:b/>
                <w:bCs/>
                <w:iCs/>
                <w:sz w:val="19"/>
                <w:szCs w:val="19"/>
                <w:lang w:val="en-GB"/>
              </w:rPr>
            </w:pPr>
          </w:p>
        </w:tc>
      </w:tr>
      <w:tr w:rsidR="00C16735" w:rsidRPr="00300ECA" w14:paraId="038FC6E3" w14:textId="77777777" w:rsidTr="00300ECA">
        <w:trPr>
          <w:trHeight w:val="20"/>
        </w:trPr>
        <w:tc>
          <w:tcPr>
            <w:tcW w:w="1985" w:type="dxa"/>
            <w:tcBorders>
              <w:bottom w:val="single" w:sz="4" w:space="0" w:color="auto"/>
            </w:tcBorders>
          </w:tcPr>
          <w:p w14:paraId="4DB901C1"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≥50,000</w:t>
            </w:r>
          </w:p>
        </w:tc>
        <w:tc>
          <w:tcPr>
            <w:tcW w:w="2035" w:type="dxa"/>
            <w:gridSpan w:val="2"/>
            <w:tcBorders>
              <w:bottom w:val="single" w:sz="4" w:space="0" w:color="auto"/>
            </w:tcBorders>
          </w:tcPr>
          <w:p w14:paraId="4D851E28"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50(25.0)</w:t>
            </w:r>
          </w:p>
        </w:tc>
        <w:tc>
          <w:tcPr>
            <w:tcW w:w="1509" w:type="dxa"/>
            <w:tcBorders>
              <w:bottom w:val="single" w:sz="4" w:space="0" w:color="auto"/>
            </w:tcBorders>
          </w:tcPr>
          <w:p w14:paraId="06E2C498"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60(30.0)</w:t>
            </w:r>
          </w:p>
        </w:tc>
        <w:tc>
          <w:tcPr>
            <w:tcW w:w="1589" w:type="dxa"/>
            <w:tcBorders>
              <w:bottom w:val="single" w:sz="4" w:space="0" w:color="auto"/>
            </w:tcBorders>
          </w:tcPr>
          <w:p w14:paraId="449CA973" w14:textId="77777777" w:rsidR="00C16735" w:rsidRPr="00300ECA" w:rsidRDefault="00C16735" w:rsidP="00300ECA">
            <w:pPr>
              <w:rPr>
                <w:rFonts w:ascii="Garamond" w:hAnsi="Garamond"/>
                <w:bCs/>
                <w:iCs/>
                <w:sz w:val="19"/>
                <w:szCs w:val="19"/>
                <w:lang w:val="en-GB"/>
              </w:rPr>
            </w:pPr>
            <w:r w:rsidRPr="00300ECA">
              <w:rPr>
                <w:rFonts w:ascii="Garamond" w:hAnsi="Garamond"/>
                <w:bCs/>
                <w:iCs/>
                <w:sz w:val="19"/>
                <w:szCs w:val="19"/>
                <w:lang w:val="en-GB"/>
              </w:rPr>
              <w:t>110(55.0)</w:t>
            </w:r>
          </w:p>
        </w:tc>
        <w:tc>
          <w:tcPr>
            <w:tcW w:w="1529" w:type="dxa"/>
            <w:tcBorders>
              <w:bottom w:val="single" w:sz="4" w:space="0" w:color="auto"/>
            </w:tcBorders>
          </w:tcPr>
          <w:p w14:paraId="491D7D63" w14:textId="77777777" w:rsidR="00C16735" w:rsidRPr="00300ECA" w:rsidRDefault="00C16735" w:rsidP="00300ECA">
            <w:pPr>
              <w:rPr>
                <w:rFonts w:ascii="Garamond" w:hAnsi="Garamond"/>
                <w:b/>
                <w:bCs/>
                <w:iCs/>
                <w:sz w:val="19"/>
                <w:szCs w:val="19"/>
                <w:lang w:val="en-GB"/>
              </w:rPr>
            </w:pPr>
          </w:p>
        </w:tc>
        <w:tc>
          <w:tcPr>
            <w:tcW w:w="1701" w:type="dxa"/>
            <w:tcBorders>
              <w:bottom w:val="single" w:sz="4" w:space="0" w:color="auto"/>
            </w:tcBorders>
          </w:tcPr>
          <w:p w14:paraId="0B602C4A" w14:textId="77777777" w:rsidR="00C16735" w:rsidRPr="00300ECA" w:rsidRDefault="00C16735" w:rsidP="00300ECA">
            <w:pPr>
              <w:rPr>
                <w:rFonts w:ascii="Garamond" w:hAnsi="Garamond"/>
                <w:b/>
                <w:bCs/>
                <w:iCs/>
                <w:sz w:val="19"/>
                <w:szCs w:val="19"/>
                <w:lang w:val="en-GB"/>
              </w:rPr>
            </w:pPr>
          </w:p>
        </w:tc>
      </w:tr>
    </w:tbl>
    <w:p w14:paraId="1FDE2CD2" w14:textId="691CBDDB" w:rsidR="00C16735" w:rsidRPr="00300ECA" w:rsidRDefault="00C16735" w:rsidP="00C16735">
      <w:pPr>
        <w:spacing w:line="259" w:lineRule="auto"/>
        <w:jc w:val="both"/>
        <w:rPr>
          <w:rFonts w:ascii="Garamond" w:hAnsi="Garamond"/>
          <w:i/>
          <w:iCs/>
          <w:sz w:val="16"/>
          <w:szCs w:val="16"/>
          <w:lang w:val="en-GB"/>
        </w:rPr>
      </w:pPr>
      <w:r w:rsidRPr="00300ECA">
        <w:rPr>
          <w:rFonts w:ascii="Garamond" w:hAnsi="Garamond"/>
          <w:i/>
          <w:iCs/>
          <w:sz w:val="16"/>
          <w:szCs w:val="16"/>
          <w:lang w:val="en-GB"/>
        </w:rPr>
        <w:t>*p&lt;0.05, X</w:t>
      </w:r>
      <w:r w:rsidRPr="00300ECA">
        <w:rPr>
          <w:rFonts w:ascii="Garamond" w:hAnsi="Garamond"/>
          <w:i/>
          <w:iCs/>
          <w:sz w:val="16"/>
          <w:szCs w:val="16"/>
          <w:vertAlign w:val="superscript"/>
          <w:lang w:val="en-GB"/>
        </w:rPr>
        <w:t>2</w:t>
      </w:r>
      <w:r w:rsidRPr="00300ECA">
        <w:rPr>
          <w:rFonts w:ascii="Garamond" w:hAnsi="Garamond"/>
          <w:i/>
          <w:iCs/>
          <w:sz w:val="16"/>
          <w:szCs w:val="16"/>
          <w:lang w:val="en-GB"/>
        </w:rPr>
        <w:t>=</w:t>
      </w:r>
      <w:r w:rsidRPr="00300ECA">
        <w:rPr>
          <w:rFonts w:ascii="Garamond" w:hAnsi="Garamond"/>
          <w:i/>
          <w:iCs/>
          <w:sz w:val="16"/>
          <w:szCs w:val="16"/>
          <w:vertAlign w:val="superscript"/>
          <w:lang w:val="en-GB"/>
        </w:rPr>
        <w:t xml:space="preserve"> </w:t>
      </w:r>
      <w:r w:rsidRPr="00300ECA">
        <w:rPr>
          <w:rFonts w:ascii="Garamond" w:hAnsi="Garamond"/>
          <w:i/>
          <w:iCs/>
          <w:sz w:val="16"/>
          <w:szCs w:val="16"/>
          <w:lang w:val="en-GB"/>
        </w:rPr>
        <w:t xml:space="preserve">Chi Square, </w:t>
      </w:r>
      <w:proofErr w:type="spellStart"/>
      <w:r w:rsidRPr="00300ECA">
        <w:rPr>
          <w:rFonts w:ascii="Garamond" w:hAnsi="Garamond"/>
          <w:i/>
          <w:iCs/>
          <w:sz w:val="16"/>
          <w:szCs w:val="16"/>
          <w:lang w:val="en-GB"/>
        </w:rPr>
        <w:t>df</w:t>
      </w:r>
      <w:proofErr w:type="spellEnd"/>
      <w:r w:rsidRPr="00300ECA">
        <w:rPr>
          <w:rFonts w:ascii="Garamond" w:hAnsi="Garamond"/>
          <w:i/>
          <w:iCs/>
          <w:sz w:val="16"/>
          <w:szCs w:val="16"/>
          <w:lang w:val="en-GB"/>
        </w:rPr>
        <w:t xml:space="preserve">=degree of freedom, </w:t>
      </w:r>
      <w:r w:rsidRPr="00300ECA">
        <w:rPr>
          <w:rFonts w:ascii="Garamond" w:hAnsi="Garamond"/>
          <w:i/>
          <w:iCs/>
          <w:sz w:val="16"/>
          <w:szCs w:val="16"/>
          <w:vertAlign w:val="superscript"/>
          <w:lang w:val="en-GB"/>
        </w:rPr>
        <w:t>a</w:t>
      </w:r>
      <w:r w:rsidRPr="00300ECA">
        <w:rPr>
          <w:rFonts w:ascii="Garamond" w:hAnsi="Garamond"/>
          <w:i/>
          <w:iCs/>
          <w:sz w:val="16"/>
          <w:szCs w:val="16"/>
          <w:lang w:val="en-GB"/>
        </w:rPr>
        <w:t xml:space="preserve"> P-value calculated using Fishers Exact Test due to small cell frequency</w:t>
      </w:r>
    </w:p>
    <w:p w14:paraId="62164283" w14:textId="77777777" w:rsidR="00300ECA" w:rsidRDefault="00300ECA" w:rsidP="0092475B">
      <w:pPr>
        <w:spacing w:line="259" w:lineRule="auto"/>
        <w:jc w:val="both"/>
        <w:rPr>
          <w:rFonts w:ascii="Garamond" w:hAnsi="Garamond"/>
          <w:b/>
          <w:sz w:val="20"/>
          <w:szCs w:val="20"/>
          <w:lang w:val="en-GB"/>
        </w:rPr>
      </w:pPr>
    </w:p>
    <w:p w14:paraId="3C5D3936" w14:textId="0CA2F178" w:rsidR="0092475B" w:rsidRPr="0092475B" w:rsidRDefault="0092475B" w:rsidP="0092475B">
      <w:pPr>
        <w:spacing w:line="259" w:lineRule="auto"/>
        <w:jc w:val="both"/>
        <w:rPr>
          <w:rFonts w:ascii="Garamond" w:hAnsi="Garamond"/>
          <w:b/>
          <w:sz w:val="20"/>
          <w:szCs w:val="20"/>
          <w:lang w:val="en-GB"/>
        </w:rPr>
      </w:pPr>
      <w:r w:rsidRPr="0092475B">
        <w:rPr>
          <w:rFonts w:ascii="Garamond" w:hAnsi="Garamond"/>
          <w:b/>
          <w:sz w:val="20"/>
          <w:szCs w:val="20"/>
          <w:lang w:val="en-GB"/>
        </w:rPr>
        <w:t>Table 5: Predictors of Inadequate Dietary Diversity among Study Participants</w:t>
      </w:r>
    </w:p>
    <w:tbl>
      <w:tblPr>
        <w:tblStyle w:val="TableGrid2"/>
        <w:tblW w:w="50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7"/>
        <w:gridCol w:w="1555"/>
        <w:gridCol w:w="2312"/>
        <w:gridCol w:w="945"/>
        <w:gridCol w:w="1794"/>
        <w:gridCol w:w="945"/>
      </w:tblGrid>
      <w:tr w:rsidR="0092475B" w:rsidRPr="0092475B" w14:paraId="3C9E1DF1" w14:textId="77777777" w:rsidTr="00F50B84">
        <w:trPr>
          <w:trHeight w:val="20"/>
        </w:trPr>
        <w:tc>
          <w:tcPr>
            <w:tcW w:w="1042" w:type="pct"/>
            <w:tcBorders>
              <w:top w:val="single" w:sz="4" w:space="0" w:color="auto"/>
              <w:bottom w:val="single" w:sz="4" w:space="0" w:color="auto"/>
            </w:tcBorders>
          </w:tcPr>
          <w:p w14:paraId="5F689752" w14:textId="77777777" w:rsidR="0092475B" w:rsidRPr="0092475B" w:rsidRDefault="0092475B" w:rsidP="00300ECA">
            <w:pPr>
              <w:rPr>
                <w:rFonts w:ascii="Garamond" w:hAnsi="Garamond"/>
                <w:b/>
                <w:bCs/>
                <w:sz w:val="20"/>
                <w:szCs w:val="20"/>
                <w:lang w:val="en-GB"/>
              </w:rPr>
            </w:pPr>
            <w:r w:rsidRPr="0092475B">
              <w:rPr>
                <w:rFonts w:ascii="Garamond" w:hAnsi="Garamond"/>
                <w:b/>
                <w:bCs/>
                <w:sz w:val="20"/>
                <w:szCs w:val="20"/>
                <w:lang w:val="en-GB"/>
              </w:rPr>
              <w:t>Variables</w:t>
            </w:r>
          </w:p>
        </w:tc>
        <w:tc>
          <w:tcPr>
            <w:tcW w:w="815" w:type="pct"/>
            <w:tcBorders>
              <w:top w:val="single" w:sz="4" w:space="0" w:color="auto"/>
              <w:bottom w:val="single" w:sz="4" w:space="0" w:color="auto"/>
            </w:tcBorders>
          </w:tcPr>
          <w:p w14:paraId="4A82024D" w14:textId="77777777" w:rsidR="0092475B" w:rsidRPr="0092475B" w:rsidRDefault="0092475B" w:rsidP="00300ECA">
            <w:pPr>
              <w:rPr>
                <w:rFonts w:ascii="Garamond" w:hAnsi="Garamond"/>
                <w:b/>
                <w:bCs/>
                <w:sz w:val="20"/>
                <w:szCs w:val="20"/>
                <w:lang w:val="en-GB"/>
              </w:rPr>
            </w:pPr>
            <w:r w:rsidRPr="0092475B">
              <w:rPr>
                <w:rFonts w:ascii="Garamond" w:hAnsi="Garamond"/>
                <w:b/>
                <w:bCs/>
                <w:sz w:val="20"/>
                <w:szCs w:val="20"/>
                <w:lang w:val="en-GB"/>
              </w:rPr>
              <w:t>Category</w:t>
            </w:r>
          </w:p>
        </w:tc>
        <w:tc>
          <w:tcPr>
            <w:tcW w:w="1212" w:type="pct"/>
            <w:tcBorders>
              <w:top w:val="single" w:sz="4" w:space="0" w:color="auto"/>
              <w:bottom w:val="single" w:sz="4" w:space="0" w:color="auto"/>
            </w:tcBorders>
          </w:tcPr>
          <w:p w14:paraId="097B9AEE" w14:textId="0167A76D" w:rsidR="0092475B" w:rsidRPr="0092475B" w:rsidRDefault="0092475B" w:rsidP="00300ECA">
            <w:pPr>
              <w:rPr>
                <w:rFonts w:ascii="Garamond" w:hAnsi="Garamond"/>
                <w:b/>
                <w:bCs/>
                <w:sz w:val="20"/>
                <w:szCs w:val="20"/>
                <w:lang w:val="en-GB"/>
              </w:rPr>
            </w:pPr>
            <w:r w:rsidRPr="0092475B">
              <w:rPr>
                <w:rFonts w:ascii="Garamond" w:hAnsi="Garamond"/>
                <w:b/>
                <w:bCs/>
                <w:sz w:val="20"/>
                <w:szCs w:val="20"/>
                <w:lang w:val="en-GB"/>
              </w:rPr>
              <w:t>COR</w:t>
            </w:r>
            <w:r w:rsidR="00F50B84">
              <w:rPr>
                <w:rFonts w:ascii="Garamond" w:hAnsi="Garamond"/>
                <w:b/>
                <w:bCs/>
                <w:sz w:val="20"/>
                <w:szCs w:val="20"/>
                <w:lang w:val="en-GB"/>
              </w:rPr>
              <w:t xml:space="preserve"> </w:t>
            </w:r>
            <w:r w:rsidRPr="0092475B">
              <w:rPr>
                <w:rFonts w:ascii="Garamond" w:hAnsi="Garamond"/>
                <w:b/>
                <w:bCs/>
                <w:sz w:val="20"/>
                <w:szCs w:val="20"/>
                <w:lang w:val="en-GB"/>
              </w:rPr>
              <w:t>(95% CI)</w:t>
            </w:r>
          </w:p>
        </w:tc>
        <w:tc>
          <w:tcPr>
            <w:tcW w:w="0" w:type="auto"/>
            <w:tcBorders>
              <w:top w:val="single" w:sz="4" w:space="0" w:color="auto"/>
              <w:bottom w:val="single" w:sz="4" w:space="0" w:color="auto"/>
            </w:tcBorders>
          </w:tcPr>
          <w:p w14:paraId="65F356D4" w14:textId="77777777" w:rsidR="0092475B" w:rsidRPr="0092475B" w:rsidRDefault="0092475B" w:rsidP="00300ECA">
            <w:pPr>
              <w:rPr>
                <w:rFonts w:ascii="Garamond" w:hAnsi="Garamond"/>
                <w:b/>
                <w:bCs/>
                <w:sz w:val="20"/>
                <w:szCs w:val="20"/>
                <w:lang w:val="en-GB"/>
              </w:rPr>
            </w:pPr>
            <w:r w:rsidRPr="0092475B">
              <w:rPr>
                <w:rFonts w:ascii="Garamond" w:hAnsi="Garamond"/>
                <w:b/>
                <w:bCs/>
                <w:sz w:val="20"/>
                <w:szCs w:val="20"/>
                <w:lang w:val="en-GB"/>
              </w:rPr>
              <w:t>p</w:t>
            </w:r>
          </w:p>
        </w:tc>
        <w:tc>
          <w:tcPr>
            <w:tcW w:w="0" w:type="auto"/>
            <w:tcBorders>
              <w:top w:val="single" w:sz="4" w:space="0" w:color="auto"/>
              <w:bottom w:val="single" w:sz="4" w:space="0" w:color="auto"/>
            </w:tcBorders>
          </w:tcPr>
          <w:p w14:paraId="4356EFF6" w14:textId="77777777" w:rsidR="0092475B" w:rsidRPr="0092475B" w:rsidRDefault="0092475B" w:rsidP="00300ECA">
            <w:pPr>
              <w:rPr>
                <w:rFonts w:ascii="Garamond" w:hAnsi="Garamond"/>
                <w:b/>
                <w:bCs/>
                <w:sz w:val="20"/>
                <w:szCs w:val="20"/>
                <w:lang w:val="en-GB"/>
              </w:rPr>
            </w:pPr>
            <w:r w:rsidRPr="0092475B">
              <w:rPr>
                <w:rFonts w:ascii="Garamond" w:hAnsi="Garamond"/>
                <w:b/>
                <w:bCs/>
                <w:sz w:val="20"/>
                <w:szCs w:val="20"/>
                <w:lang w:val="en-GB"/>
              </w:rPr>
              <w:t>AOR (95%CI)</w:t>
            </w:r>
          </w:p>
        </w:tc>
        <w:tc>
          <w:tcPr>
            <w:tcW w:w="0" w:type="auto"/>
            <w:tcBorders>
              <w:top w:val="single" w:sz="4" w:space="0" w:color="auto"/>
              <w:bottom w:val="single" w:sz="4" w:space="0" w:color="auto"/>
            </w:tcBorders>
          </w:tcPr>
          <w:p w14:paraId="79408E40" w14:textId="77777777" w:rsidR="0092475B" w:rsidRPr="0092475B" w:rsidRDefault="0092475B" w:rsidP="00300ECA">
            <w:pPr>
              <w:rPr>
                <w:rFonts w:ascii="Garamond" w:hAnsi="Garamond"/>
                <w:b/>
                <w:bCs/>
                <w:sz w:val="20"/>
                <w:szCs w:val="20"/>
                <w:lang w:val="en-GB"/>
              </w:rPr>
            </w:pPr>
            <w:r w:rsidRPr="0092475B">
              <w:rPr>
                <w:rFonts w:ascii="Garamond" w:hAnsi="Garamond"/>
                <w:b/>
                <w:bCs/>
                <w:sz w:val="20"/>
                <w:szCs w:val="20"/>
                <w:lang w:val="en-GB"/>
              </w:rPr>
              <w:t>p</w:t>
            </w:r>
          </w:p>
        </w:tc>
      </w:tr>
      <w:tr w:rsidR="00F50B84" w:rsidRPr="0092475B" w14:paraId="6F25E3AF" w14:textId="77777777" w:rsidTr="00F50B84">
        <w:trPr>
          <w:trHeight w:val="20"/>
        </w:trPr>
        <w:tc>
          <w:tcPr>
            <w:tcW w:w="1042" w:type="pct"/>
            <w:vMerge w:val="restart"/>
            <w:tcBorders>
              <w:top w:val="single" w:sz="4" w:space="0" w:color="auto"/>
            </w:tcBorders>
            <w:hideMark/>
          </w:tcPr>
          <w:p w14:paraId="38314196" w14:textId="24C9AE14" w:rsidR="00F50B84" w:rsidRPr="0092475B" w:rsidRDefault="00F50B84" w:rsidP="00300ECA">
            <w:pPr>
              <w:rPr>
                <w:rFonts w:ascii="Garamond" w:hAnsi="Garamond"/>
                <w:b/>
                <w:bCs/>
                <w:sz w:val="20"/>
                <w:szCs w:val="20"/>
                <w:lang w:val="en-GB"/>
              </w:rPr>
            </w:pPr>
            <w:r w:rsidRPr="0092475B">
              <w:rPr>
                <w:rFonts w:ascii="Garamond" w:hAnsi="Garamond"/>
                <w:b/>
                <w:bCs/>
                <w:sz w:val="20"/>
                <w:szCs w:val="20"/>
                <w:lang w:val="en-GB"/>
              </w:rPr>
              <w:t>Place</w:t>
            </w:r>
          </w:p>
          <w:p w14:paraId="54ADE4E4" w14:textId="77777777" w:rsidR="00F50B84" w:rsidRPr="0092475B" w:rsidRDefault="00F50B84" w:rsidP="00300ECA">
            <w:pPr>
              <w:rPr>
                <w:rFonts w:ascii="Garamond" w:hAnsi="Garamond"/>
                <w:sz w:val="20"/>
                <w:szCs w:val="20"/>
                <w:lang w:val="en-GB"/>
              </w:rPr>
            </w:pPr>
            <w:r w:rsidRPr="0092475B">
              <w:rPr>
                <w:rFonts w:ascii="Garamond" w:hAnsi="Garamond"/>
                <w:b/>
                <w:bCs/>
                <w:sz w:val="20"/>
                <w:szCs w:val="20"/>
                <w:lang w:val="en-GB"/>
              </w:rPr>
              <w:t>of Residence</w:t>
            </w:r>
          </w:p>
        </w:tc>
        <w:tc>
          <w:tcPr>
            <w:tcW w:w="815" w:type="pct"/>
            <w:tcBorders>
              <w:top w:val="single" w:sz="4" w:space="0" w:color="auto"/>
            </w:tcBorders>
            <w:hideMark/>
          </w:tcPr>
          <w:p w14:paraId="2E32F105" w14:textId="77777777" w:rsidR="00F50B84" w:rsidRPr="0092475B" w:rsidRDefault="00F50B84" w:rsidP="00300ECA">
            <w:pPr>
              <w:rPr>
                <w:rFonts w:ascii="Garamond" w:hAnsi="Garamond"/>
                <w:sz w:val="20"/>
                <w:szCs w:val="20"/>
                <w:lang w:val="en-GB"/>
              </w:rPr>
            </w:pPr>
            <w:proofErr w:type="spellStart"/>
            <w:r w:rsidRPr="0092475B">
              <w:rPr>
                <w:rFonts w:ascii="Garamond" w:hAnsi="Garamond"/>
                <w:bCs/>
                <w:sz w:val="20"/>
                <w:szCs w:val="20"/>
                <w:lang w:val="en-GB"/>
              </w:rPr>
              <w:t>Alkaleri</w:t>
            </w:r>
            <w:proofErr w:type="spellEnd"/>
          </w:p>
        </w:tc>
        <w:tc>
          <w:tcPr>
            <w:tcW w:w="1212" w:type="pct"/>
            <w:tcBorders>
              <w:top w:val="single" w:sz="4" w:space="0" w:color="auto"/>
            </w:tcBorders>
            <w:hideMark/>
          </w:tcPr>
          <w:p w14:paraId="73551FC2"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tcBorders>
              <w:top w:val="single" w:sz="4" w:space="0" w:color="auto"/>
            </w:tcBorders>
            <w:hideMark/>
          </w:tcPr>
          <w:p w14:paraId="23B0589A"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c>
          <w:tcPr>
            <w:tcW w:w="0" w:type="auto"/>
            <w:tcBorders>
              <w:top w:val="single" w:sz="4" w:space="0" w:color="auto"/>
            </w:tcBorders>
            <w:hideMark/>
          </w:tcPr>
          <w:p w14:paraId="3F43E0FD"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tcBorders>
              <w:top w:val="single" w:sz="4" w:space="0" w:color="auto"/>
            </w:tcBorders>
            <w:hideMark/>
          </w:tcPr>
          <w:p w14:paraId="2A1B29F8"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r>
      <w:tr w:rsidR="00F50B84" w:rsidRPr="0092475B" w14:paraId="6324C164" w14:textId="77777777" w:rsidTr="00F50B84">
        <w:trPr>
          <w:trHeight w:val="20"/>
        </w:trPr>
        <w:tc>
          <w:tcPr>
            <w:tcW w:w="1042" w:type="pct"/>
            <w:vMerge/>
            <w:hideMark/>
          </w:tcPr>
          <w:p w14:paraId="1B9CB38D" w14:textId="77777777" w:rsidR="00F50B84" w:rsidRPr="0092475B" w:rsidRDefault="00F50B84" w:rsidP="00300ECA">
            <w:pPr>
              <w:rPr>
                <w:rFonts w:ascii="Garamond" w:hAnsi="Garamond"/>
                <w:sz w:val="20"/>
                <w:szCs w:val="20"/>
                <w:lang w:val="en-GB"/>
              </w:rPr>
            </w:pPr>
          </w:p>
        </w:tc>
        <w:tc>
          <w:tcPr>
            <w:tcW w:w="815" w:type="pct"/>
            <w:hideMark/>
          </w:tcPr>
          <w:p w14:paraId="65A0EF2E" w14:textId="77777777" w:rsidR="00F50B84" w:rsidRPr="0092475B" w:rsidRDefault="00F50B84" w:rsidP="00300ECA">
            <w:pPr>
              <w:rPr>
                <w:rFonts w:ascii="Garamond" w:hAnsi="Garamond"/>
                <w:sz w:val="20"/>
                <w:szCs w:val="20"/>
                <w:lang w:val="en-GB"/>
              </w:rPr>
            </w:pPr>
            <w:proofErr w:type="spellStart"/>
            <w:r w:rsidRPr="0092475B">
              <w:rPr>
                <w:rFonts w:ascii="Garamond" w:hAnsi="Garamond"/>
                <w:sz w:val="20"/>
                <w:szCs w:val="20"/>
                <w:lang w:val="en-GB"/>
              </w:rPr>
              <w:t>Dambam</w:t>
            </w:r>
            <w:proofErr w:type="spellEnd"/>
          </w:p>
        </w:tc>
        <w:tc>
          <w:tcPr>
            <w:tcW w:w="1212" w:type="pct"/>
          </w:tcPr>
          <w:p w14:paraId="6A049212" w14:textId="77777777" w:rsidR="00F50B84" w:rsidRPr="0092475B" w:rsidRDefault="00F50B84" w:rsidP="00300ECA">
            <w:pPr>
              <w:rPr>
                <w:rFonts w:ascii="Garamond" w:hAnsi="Garamond"/>
                <w:b/>
                <w:sz w:val="20"/>
                <w:szCs w:val="20"/>
                <w:lang w:val="en-GB"/>
              </w:rPr>
            </w:pPr>
            <w:r w:rsidRPr="0092475B">
              <w:rPr>
                <w:rFonts w:ascii="Garamond" w:hAnsi="Garamond"/>
                <w:b/>
                <w:sz w:val="20"/>
                <w:szCs w:val="20"/>
                <w:lang w:val="en-GB"/>
              </w:rPr>
              <w:t>1.7 (1.1-2.5)</w:t>
            </w:r>
          </w:p>
        </w:tc>
        <w:tc>
          <w:tcPr>
            <w:tcW w:w="0" w:type="auto"/>
          </w:tcPr>
          <w:p w14:paraId="4C64BEFD" w14:textId="77777777" w:rsidR="00F50B84" w:rsidRPr="0092475B" w:rsidRDefault="00F50B84" w:rsidP="00300ECA">
            <w:pPr>
              <w:rPr>
                <w:rFonts w:ascii="Garamond" w:hAnsi="Garamond"/>
                <w:b/>
                <w:sz w:val="20"/>
                <w:szCs w:val="20"/>
                <w:lang w:val="en-GB"/>
              </w:rPr>
            </w:pPr>
            <w:r w:rsidRPr="0092475B">
              <w:rPr>
                <w:rFonts w:ascii="Garamond" w:hAnsi="Garamond"/>
                <w:b/>
                <w:sz w:val="20"/>
                <w:szCs w:val="20"/>
                <w:lang w:val="en-GB"/>
              </w:rPr>
              <w:t>0.009*</w:t>
            </w:r>
          </w:p>
        </w:tc>
        <w:tc>
          <w:tcPr>
            <w:tcW w:w="0" w:type="auto"/>
          </w:tcPr>
          <w:p w14:paraId="4FFFD2D1" w14:textId="77777777" w:rsidR="00F50B84" w:rsidRPr="0092475B" w:rsidRDefault="00F50B84" w:rsidP="00300ECA">
            <w:pPr>
              <w:rPr>
                <w:rFonts w:ascii="Garamond" w:hAnsi="Garamond"/>
                <w:b/>
                <w:sz w:val="20"/>
                <w:szCs w:val="20"/>
                <w:lang w:val="en-GB"/>
              </w:rPr>
            </w:pPr>
            <w:r w:rsidRPr="0092475B">
              <w:rPr>
                <w:rFonts w:ascii="Garamond" w:hAnsi="Garamond"/>
                <w:b/>
                <w:sz w:val="20"/>
                <w:szCs w:val="20"/>
                <w:lang w:val="en-GB"/>
              </w:rPr>
              <w:t>1.7 (1.2-2.6)</w:t>
            </w:r>
          </w:p>
        </w:tc>
        <w:tc>
          <w:tcPr>
            <w:tcW w:w="0" w:type="auto"/>
          </w:tcPr>
          <w:p w14:paraId="24476CC7" w14:textId="77777777" w:rsidR="00F50B84" w:rsidRPr="0092475B" w:rsidRDefault="00F50B84" w:rsidP="00300ECA">
            <w:pPr>
              <w:rPr>
                <w:rFonts w:ascii="Garamond" w:hAnsi="Garamond"/>
                <w:b/>
                <w:sz w:val="20"/>
                <w:szCs w:val="20"/>
                <w:lang w:val="en-GB"/>
              </w:rPr>
            </w:pPr>
            <w:r w:rsidRPr="0092475B">
              <w:rPr>
                <w:rFonts w:ascii="Garamond" w:hAnsi="Garamond"/>
                <w:b/>
                <w:sz w:val="20"/>
                <w:szCs w:val="20"/>
                <w:lang w:val="en-GB"/>
              </w:rPr>
              <w:t>0.035*</w:t>
            </w:r>
          </w:p>
        </w:tc>
      </w:tr>
      <w:tr w:rsidR="00F50B84" w:rsidRPr="0092475B" w14:paraId="4BF17CF3" w14:textId="77777777" w:rsidTr="00F50B84">
        <w:trPr>
          <w:trHeight w:val="20"/>
        </w:trPr>
        <w:tc>
          <w:tcPr>
            <w:tcW w:w="1042" w:type="pct"/>
            <w:vMerge w:val="restart"/>
            <w:hideMark/>
          </w:tcPr>
          <w:p w14:paraId="141C14E3" w14:textId="77777777" w:rsidR="00F50B84" w:rsidRPr="0092475B" w:rsidRDefault="00F50B84" w:rsidP="00300ECA">
            <w:pPr>
              <w:rPr>
                <w:rFonts w:ascii="Garamond" w:hAnsi="Garamond"/>
                <w:sz w:val="20"/>
                <w:szCs w:val="20"/>
                <w:lang w:val="en-GB"/>
              </w:rPr>
            </w:pPr>
            <w:r w:rsidRPr="0092475B">
              <w:rPr>
                <w:rFonts w:ascii="Garamond" w:hAnsi="Garamond"/>
                <w:b/>
                <w:bCs/>
                <w:sz w:val="20"/>
                <w:szCs w:val="20"/>
                <w:lang w:val="en-GB"/>
              </w:rPr>
              <w:t>Age (Years)</w:t>
            </w:r>
          </w:p>
        </w:tc>
        <w:tc>
          <w:tcPr>
            <w:tcW w:w="815" w:type="pct"/>
            <w:hideMark/>
          </w:tcPr>
          <w:p w14:paraId="145A1019"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14–17</w:t>
            </w:r>
          </w:p>
        </w:tc>
        <w:tc>
          <w:tcPr>
            <w:tcW w:w="1212" w:type="pct"/>
            <w:hideMark/>
          </w:tcPr>
          <w:p w14:paraId="5E285B6F"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4D488EAF"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c>
          <w:tcPr>
            <w:tcW w:w="0" w:type="auto"/>
            <w:hideMark/>
          </w:tcPr>
          <w:p w14:paraId="7396B5D9"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77CB43B5"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r>
      <w:tr w:rsidR="00F50B84" w:rsidRPr="0092475B" w14:paraId="3FEF5482" w14:textId="77777777" w:rsidTr="00F50B84">
        <w:trPr>
          <w:trHeight w:val="20"/>
        </w:trPr>
        <w:tc>
          <w:tcPr>
            <w:tcW w:w="1042" w:type="pct"/>
            <w:vMerge/>
            <w:hideMark/>
          </w:tcPr>
          <w:p w14:paraId="0A535C69" w14:textId="77777777" w:rsidR="00F50B84" w:rsidRPr="0092475B" w:rsidRDefault="00F50B84" w:rsidP="00300ECA">
            <w:pPr>
              <w:rPr>
                <w:rFonts w:ascii="Garamond" w:hAnsi="Garamond"/>
                <w:sz w:val="20"/>
                <w:szCs w:val="20"/>
                <w:lang w:val="en-GB"/>
              </w:rPr>
            </w:pPr>
          </w:p>
        </w:tc>
        <w:tc>
          <w:tcPr>
            <w:tcW w:w="815" w:type="pct"/>
            <w:hideMark/>
          </w:tcPr>
          <w:p w14:paraId="3B0CCB5D"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18–20</w:t>
            </w:r>
          </w:p>
        </w:tc>
        <w:tc>
          <w:tcPr>
            <w:tcW w:w="1212" w:type="pct"/>
            <w:hideMark/>
          </w:tcPr>
          <w:p w14:paraId="74E2707F"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1.3 (0.6–2.8)</w:t>
            </w:r>
          </w:p>
        </w:tc>
        <w:tc>
          <w:tcPr>
            <w:tcW w:w="0" w:type="auto"/>
            <w:hideMark/>
          </w:tcPr>
          <w:p w14:paraId="2E029D71"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0.443</w:t>
            </w:r>
          </w:p>
        </w:tc>
        <w:tc>
          <w:tcPr>
            <w:tcW w:w="0" w:type="auto"/>
            <w:hideMark/>
          </w:tcPr>
          <w:p w14:paraId="355EC1B5"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1.2 (0.5–2.5)</w:t>
            </w:r>
          </w:p>
        </w:tc>
        <w:tc>
          <w:tcPr>
            <w:tcW w:w="0" w:type="auto"/>
            <w:hideMark/>
          </w:tcPr>
          <w:p w14:paraId="0F3A0570"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0.714</w:t>
            </w:r>
          </w:p>
        </w:tc>
      </w:tr>
      <w:tr w:rsidR="00F50B84" w:rsidRPr="0092475B" w14:paraId="7C61AA50" w14:textId="77777777" w:rsidTr="00F50B84">
        <w:trPr>
          <w:trHeight w:val="20"/>
        </w:trPr>
        <w:tc>
          <w:tcPr>
            <w:tcW w:w="1042" w:type="pct"/>
            <w:vMerge w:val="restart"/>
            <w:hideMark/>
          </w:tcPr>
          <w:p w14:paraId="5B89C941" w14:textId="77777777" w:rsidR="00F50B84" w:rsidRPr="0092475B" w:rsidRDefault="00F50B84" w:rsidP="00300ECA">
            <w:pPr>
              <w:rPr>
                <w:rFonts w:ascii="Garamond" w:hAnsi="Garamond"/>
                <w:sz w:val="20"/>
                <w:szCs w:val="20"/>
                <w:lang w:val="en-GB"/>
              </w:rPr>
            </w:pPr>
            <w:r w:rsidRPr="0092475B">
              <w:rPr>
                <w:rFonts w:ascii="Garamond" w:hAnsi="Garamond"/>
                <w:b/>
                <w:bCs/>
                <w:sz w:val="20"/>
                <w:szCs w:val="20"/>
                <w:lang w:val="en-GB"/>
              </w:rPr>
              <w:t>Educational Status</w:t>
            </w:r>
          </w:p>
        </w:tc>
        <w:tc>
          <w:tcPr>
            <w:tcW w:w="815" w:type="pct"/>
            <w:hideMark/>
          </w:tcPr>
          <w:p w14:paraId="4FFAAE22"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≤Primary</w:t>
            </w:r>
          </w:p>
        </w:tc>
        <w:tc>
          <w:tcPr>
            <w:tcW w:w="1212" w:type="pct"/>
            <w:hideMark/>
          </w:tcPr>
          <w:p w14:paraId="5EF7414A"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4E90A626"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c>
          <w:tcPr>
            <w:tcW w:w="0" w:type="auto"/>
            <w:hideMark/>
          </w:tcPr>
          <w:p w14:paraId="1E42D9B9"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05A7407D"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r>
      <w:tr w:rsidR="00F50B84" w:rsidRPr="0092475B" w14:paraId="6515A19F" w14:textId="77777777" w:rsidTr="00F50B84">
        <w:trPr>
          <w:trHeight w:val="20"/>
        </w:trPr>
        <w:tc>
          <w:tcPr>
            <w:tcW w:w="1042" w:type="pct"/>
            <w:vMerge/>
            <w:hideMark/>
          </w:tcPr>
          <w:p w14:paraId="49CFB406" w14:textId="77777777" w:rsidR="00F50B84" w:rsidRPr="0092475B" w:rsidRDefault="00F50B84" w:rsidP="00300ECA">
            <w:pPr>
              <w:rPr>
                <w:rFonts w:ascii="Garamond" w:hAnsi="Garamond"/>
                <w:sz w:val="20"/>
                <w:szCs w:val="20"/>
                <w:lang w:val="en-GB"/>
              </w:rPr>
            </w:pPr>
          </w:p>
        </w:tc>
        <w:tc>
          <w:tcPr>
            <w:tcW w:w="815" w:type="pct"/>
            <w:hideMark/>
          </w:tcPr>
          <w:p w14:paraId="403A38D9"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≥Secondary</w:t>
            </w:r>
          </w:p>
        </w:tc>
        <w:tc>
          <w:tcPr>
            <w:tcW w:w="1212" w:type="pct"/>
            <w:hideMark/>
          </w:tcPr>
          <w:p w14:paraId="14A3C18A"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0.8 (0.4–1.6)</w:t>
            </w:r>
          </w:p>
        </w:tc>
        <w:tc>
          <w:tcPr>
            <w:tcW w:w="0" w:type="auto"/>
            <w:hideMark/>
          </w:tcPr>
          <w:p w14:paraId="69448367"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0.592</w:t>
            </w:r>
          </w:p>
        </w:tc>
        <w:tc>
          <w:tcPr>
            <w:tcW w:w="0" w:type="auto"/>
            <w:hideMark/>
          </w:tcPr>
          <w:p w14:paraId="0471F012"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0.9 (0.4–1.9)</w:t>
            </w:r>
          </w:p>
        </w:tc>
        <w:tc>
          <w:tcPr>
            <w:tcW w:w="0" w:type="auto"/>
            <w:hideMark/>
          </w:tcPr>
          <w:p w14:paraId="22139A5D"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0.802</w:t>
            </w:r>
          </w:p>
        </w:tc>
      </w:tr>
      <w:tr w:rsidR="00F50B84" w:rsidRPr="0092475B" w14:paraId="0B5F8D5E" w14:textId="77777777" w:rsidTr="00F50B84">
        <w:trPr>
          <w:trHeight w:val="20"/>
        </w:trPr>
        <w:tc>
          <w:tcPr>
            <w:tcW w:w="1042" w:type="pct"/>
            <w:vMerge w:val="restart"/>
            <w:hideMark/>
          </w:tcPr>
          <w:p w14:paraId="09E647AD" w14:textId="6827F52D" w:rsidR="00F50B84" w:rsidRPr="0092475B" w:rsidRDefault="00F50B84" w:rsidP="00300ECA">
            <w:pPr>
              <w:rPr>
                <w:rFonts w:ascii="Garamond" w:hAnsi="Garamond"/>
                <w:sz w:val="20"/>
                <w:szCs w:val="20"/>
                <w:lang w:val="en-GB"/>
              </w:rPr>
            </w:pPr>
            <w:r w:rsidRPr="0092475B">
              <w:rPr>
                <w:rFonts w:ascii="Garamond" w:hAnsi="Garamond"/>
                <w:b/>
                <w:bCs/>
                <w:sz w:val="20"/>
                <w:szCs w:val="20"/>
                <w:lang w:val="en-GB"/>
              </w:rPr>
              <w:t>Monthly Income</w:t>
            </w:r>
          </w:p>
        </w:tc>
        <w:tc>
          <w:tcPr>
            <w:tcW w:w="815" w:type="pct"/>
            <w:hideMark/>
          </w:tcPr>
          <w:p w14:paraId="62587570" w14:textId="77777777" w:rsidR="00F50B84" w:rsidRPr="0092475B" w:rsidRDefault="00F50B84" w:rsidP="00300ECA">
            <w:pPr>
              <w:rPr>
                <w:rFonts w:ascii="Garamond" w:hAnsi="Garamond"/>
                <w:sz w:val="20"/>
                <w:szCs w:val="20"/>
                <w:lang w:val="en-GB"/>
              </w:rPr>
            </w:pPr>
            <w:proofErr w:type="gramStart"/>
            <w:r w:rsidRPr="0092475B">
              <w:rPr>
                <w:rFonts w:ascii="Garamond" w:hAnsi="Garamond"/>
                <w:sz w:val="20"/>
                <w:szCs w:val="20"/>
                <w:lang w:val="en-GB"/>
              </w:rPr>
              <w:t>&lt;</w:t>
            </w:r>
            <w:r w:rsidRPr="0092475B">
              <w:rPr>
                <w:rFonts w:ascii="Garamond" w:hAnsi="Garamond"/>
                <w:b/>
                <w:sz w:val="20"/>
                <w:szCs w:val="20"/>
                <w:lang w:val="en-GB"/>
              </w:rPr>
              <w:t>(</w:t>
            </w:r>
            <w:proofErr w:type="gramEnd"/>
            <w:r w:rsidRPr="0092475B">
              <w:rPr>
                <w:rFonts w:ascii="Times New Roman" w:hAnsi="Times New Roman" w:cs="Times New Roman"/>
                <w:bCs/>
                <w:sz w:val="20"/>
                <w:szCs w:val="20"/>
                <w:lang w:val="en-GB"/>
              </w:rPr>
              <w:t>₦</w:t>
            </w:r>
            <w:r w:rsidRPr="0092475B">
              <w:rPr>
                <w:rFonts w:ascii="Garamond" w:hAnsi="Garamond"/>
                <w:bCs/>
                <w:sz w:val="20"/>
                <w:szCs w:val="20"/>
                <w:lang w:val="en-GB"/>
              </w:rPr>
              <w:t>)</w:t>
            </w:r>
            <w:r w:rsidRPr="0092475B">
              <w:rPr>
                <w:rFonts w:ascii="Garamond" w:hAnsi="Garamond"/>
                <w:sz w:val="20"/>
                <w:szCs w:val="20"/>
                <w:lang w:val="en-GB"/>
              </w:rPr>
              <w:t>50,000</w:t>
            </w:r>
          </w:p>
        </w:tc>
        <w:tc>
          <w:tcPr>
            <w:tcW w:w="1212" w:type="pct"/>
            <w:hideMark/>
          </w:tcPr>
          <w:p w14:paraId="769E2F5D"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2D8BEF48"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c>
          <w:tcPr>
            <w:tcW w:w="0" w:type="auto"/>
            <w:hideMark/>
          </w:tcPr>
          <w:p w14:paraId="6C677798"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5863E546"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r>
      <w:tr w:rsidR="00F50B84" w:rsidRPr="0092475B" w14:paraId="6A1E6C34" w14:textId="77777777" w:rsidTr="00F50B84">
        <w:trPr>
          <w:trHeight w:val="20"/>
        </w:trPr>
        <w:tc>
          <w:tcPr>
            <w:tcW w:w="1042" w:type="pct"/>
            <w:vMerge/>
          </w:tcPr>
          <w:p w14:paraId="6BBF07F1" w14:textId="77777777" w:rsidR="00F50B84" w:rsidRPr="0092475B" w:rsidRDefault="00F50B84" w:rsidP="00300ECA">
            <w:pPr>
              <w:rPr>
                <w:rFonts w:ascii="Garamond" w:hAnsi="Garamond"/>
                <w:sz w:val="20"/>
                <w:szCs w:val="20"/>
                <w:lang w:val="en-GB"/>
              </w:rPr>
            </w:pPr>
          </w:p>
        </w:tc>
        <w:tc>
          <w:tcPr>
            <w:tcW w:w="815" w:type="pct"/>
          </w:tcPr>
          <w:p w14:paraId="1AA09C9E" w14:textId="77777777" w:rsidR="00F50B84" w:rsidRPr="0092475B" w:rsidRDefault="00F50B84" w:rsidP="00300ECA">
            <w:pPr>
              <w:rPr>
                <w:rFonts w:ascii="Garamond" w:hAnsi="Garamond"/>
                <w:sz w:val="20"/>
                <w:szCs w:val="20"/>
                <w:lang w:val="en-GB"/>
              </w:rPr>
            </w:pPr>
            <w:proofErr w:type="gramStart"/>
            <w:r w:rsidRPr="0092475B">
              <w:rPr>
                <w:rFonts w:ascii="Garamond" w:hAnsi="Garamond"/>
                <w:sz w:val="20"/>
                <w:szCs w:val="20"/>
                <w:lang w:val="en-GB"/>
              </w:rPr>
              <w:t>≥</w:t>
            </w:r>
            <w:r w:rsidRPr="0092475B">
              <w:rPr>
                <w:rFonts w:ascii="Garamond" w:hAnsi="Garamond"/>
                <w:b/>
                <w:sz w:val="20"/>
                <w:szCs w:val="20"/>
                <w:lang w:val="en-GB"/>
              </w:rPr>
              <w:t>(</w:t>
            </w:r>
            <w:proofErr w:type="gramEnd"/>
            <w:r w:rsidRPr="0092475B">
              <w:rPr>
                <w:rFonts w:ascii="Times New Roman" w:hAnsi="Times New Roman" w:cs="Times New Roman"/>
                <w:bCs/>
                <w:sz w:val="20"/>
                <w:szCs w:val="20"/>
                <w:lang w:val="en-GB"/>
              </w:rPr>
              <w:t>₦</w:t>
            </w:r>
            <w:r w:rsidRPr="0092475B">
              <w:rPr>
                <w:rFonts w:ascii="Garamond" w:hAnsi="Garamond"/>
                <w:bCs/>
                <w:sz w:val="20"/>
                <w:szCs w:val="20"/>
                <w:lang w:val="en-GB"/>
              </w:rPr>
              <w:t>)</w:t>
            </w:r>
            <w:r w:rsidRPr="0092475B">
              <w:rPr>
                <w:rFonts w:ascii="Garamond" w:hAnsi="Garamond"/>
                <w:sz w:val="20"/>
                <w:szCs w:val="20"/>
                <w:lang w:val="en-GB"/>
              </w:rPr>
              <w:t>50,000</w:t>
            </w:r>
          </w:p>
        </w:tc>
        <w:tc>
          <w:tcPr>
            <w:tcW w:w="1212" w:type="pct"/>
          </w:tcPr>
          <w:p w14:paraId="1EA51AD0"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1.3 (0.6–2.2)</w:t>
            </w:r>
          </w:p>
        </w:tc>
        <w:tc>
          <w:tcPr>
            <w:tcW w:w="0" w:type="auto"/>
          </w:tcPr>
          <w:p w14:paraId="3F0266FE"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0.733</w:t>
            </w:r>
          </w:p>
        </w:tc>
        <w:tc>
          <w:tcPr>
            <w:tcW w:w="0" w:type="auto"/>
          </w:tcPr>
          <w:p w14:paraId="5A35F869"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1.3 (0.8–2.2)</w:t>
            </w:r>
          </w:p>
        </w:tc>
        <w:tc>
          <w:tcPr>
            <w:tcW w:w="0" w:type="auto"/>
          </w:tcPr>
          <w:p w14:paraId="6387C1B0"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0.816</w:t>
            </w:r>
          </w:p>
        </w:tc>
      </w:tr>
      <w:tr w:rsidR="00F50B84" w:rsidRPr="0092475B" w14:paraId="0937E4BE" w14:textId="77777777" w:rsidTr="00F50B84">
        <w:trPr>
          <w:trHeight w:val="20"/>
        </w:trPr>
        <w:tc>
          <w:tcPr>
            <w:tcW w:w="1042" w:type="pct"/>
            <w:vMerge w:val="restart"/>
            <w:hideMark/>
          </w:tcPr>
          <w:p w14:paraId="2C29FCFB" w14:textId="77777777" w:rsidR="00F50B84" w:rsidRPr="0092475B" w:rsidRDefault="00F50B84" w:rsidP="00300ECA">
            <w:pPr>
              <w:rPr>
                <w:rFonts w:ascii="Garamond" w:hAnsi="Garamond"/>
                <w:sz w:val="20"/>
                <w:szCs w:val="20"/>
                <w:lang w:val="en-GB"/>
              </w:rPr>
            </w:pPr>
            <w:r w:rsidRPr="0092475B">
              <w:rPr>
                <w:rFonts w:ascii="Garamond" w:hAnsi="Garamond"/>
                <w:b/>
                <w:bCs/>
                <w:sz w:val="20"/>
                <w:szCs w:val="20"/>
                <w:lang w:val="en-GB"/>
              </w:rPr>
              <w:t>Marital Status</w:t>
            </w:r>
          </w:p>
        </w:tc>
        <w:tc>
          <w:tcPr>
            <w:tcW w:w="815" w:type="pct"/>
            <w:hideMark/>
          </w:tcPr>
          <w:p w14:paraId="61DAE6D9"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Single</w:t>
            </w:r>
          </w:p>
        </w:tc>
        <w:tc>
          <w:tcPr>
            <w:tcW w:w="1212" w:type="pct"/>
            <w:hideMark/>
          </w:tcPr>
          <w:p w14:paraId="25D6FF7B"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4413D3B2"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c>
          <w:tcPr>
            <w:tcW w:w="0" w:type="auto"/>
            <w:hideMark/>
          </w:tcPr>
          <w:p w14:paraId="47AD2E7A"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59DCDDDA"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r>
      <w:tr w:rsidR="00F50B84" w:rsidRPr="0092475B" w14:paraId="212686D9" w14:textId="77777777" w:rsidTr="00F50B84">
        <w:trPr>
          <w:trHeight w:val="20"/>
        </w:trPr>
        <w:tc>
          <w:tcPr>
            <w:tcW w:w="1042" w:type="pct"/>
            <w:vMerge/>
            <w:hideMark/>
          </w:tcPr>
          <w:p w14:paraId="404EF9C2" w14:textId="77777777" w:rsidR="00F50B84" w:rsidRPr="0092475B" w:rsidRDefault="00F50B84" w:rsidP="00300ECA">
            <w:pPr>
              <w:rPr>
                <w:rFonts w:ascii="Garamond" w:hAnsi="Garamond"/>
                <w:sz w:val="20"/>
                <w:szCs w:val="20"/>
                <w:lang w:val="en-GB"/>
              </w:rPr>
            </w:pPr>
          </w:p>
        </w:tc>
        <w:tc>
          <w:tcPr>
            <w:tcW w:w="815" w:type="pct"/>
            <w:hideMark/>
          </w:tcPr>
          <w:p w14:paraId="30D04BD0"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Married</w:t>
            </w:r>
          </w:p>
        </w:tc>
        <w:tc>
          <w:tcPr>
            <w:tcW w:w="1212" w:type="pct"/>
            <w:hideMark/>
          </w:tcPr>
          <w:p w14:paraId="41F93737"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1.4 (0.9–2.2)</w:t>
            </w:r>
          </w:p>
        </w:tc>
        <w:tc>
          <w:tcPr>
            <w:tcW w:w="0" w:type="auto"/>
            <w:hideMark/>
          </w:tcPr>
          <w:p w14:paraId="10C80BDB"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0.166</w:t>
            </w:r>
          </w:p>
        </w:tc>
        <w:tc>
          <w:tcPr>
            <w:tcW w:w="0" w:type="auto"/>
            <w:hideMark/>
          </w:tcPr>
          <w:p w14:paraId="657B7FFC"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1.3 (0.8–2.2)</w:t>
            </w:r>
          </w:p>
        </w:tc>
        <w:tc>
          <w:tcPr>
            <w:tcW w:w="0" w:type="auto"/>
            <w:hideMark/>
          </w:tcPr>
          <w:p w14:paraId="4DE9E5ED"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0.291</w:t>
            </w:r>
          </w:p>
        </w:tc>
      </w:tr>
      <w:tr w:rsidR="00F50B84" w:rsidRPr="0092475B" w14:paraId="35990379" w14:textId="77777777" w:rsidTr="00F50B84">
        <w:trPr>
          <w:trHeight w:val="20"/>
        </w:trPr>
        <w:tc>
          <w:tcPr>
            <w:tcW w:w="1042" w:type="pct"/>
            <w:vMerge w:val="restart"/>
            <w:hideMark/>
          </w:tcPr>
          <w:p w14:paraId="5E0FECD3" w14:textId="77777777" w:rsidR="00F50B84" w:rsidRPr="0092475B" w:rsidRDefault="00F50B84" w:rsidP="00300ECA">
            <w:pPr>
              <w:rPr>
                <w:rFonts w:ascii="Garamond" w:hAnsi="Garamond"/>
                <w:sz w:val="20"/>
                <w:szCs w:val="20"/>
                <w:lang w:val="en-GB"/>
              </w:rPr>
            </w:pPr>
            <w:r w:rsidRPr="0092475B">
              <w:rPr>
                <w:rFonts w:ascii="Garamond" w:hAnsi="Garamond"/>
                <w:b/>
                <w:bCs/>
                <w:sz w:val="20"/>
                <w:szCs w:val="20"/>
                <w:lang w:val="en-GB"/>
              </w:rPr>
              <w:t>Occupation</w:t>
            </w:r>
          </w:p>
        </w:tc>
        <w:tc>
          <w:tcPr>
            <w:tcW w:w="815" w:type="pct"/>
            <w:hideMark/>
          </w:tcPr>
          <w:p w14:paraId="23FD4B1F"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Unemployed</w:t>
            </w:r>
          </w:p>
        </w:tc>
        <w:tc>
          <w:tcPr>
            <w:tcW w:w="1212" w:type="pct"/>
            <w:hideMark/>
          </w:tcPr>
          <w:p w14:paraId="4737B064"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3E76B4C9"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c>
          <w:tcPr>
            <w:tcW w:w="0" w:type="auto"/>
            <w:hideMark/>
          </w:tcPr>
          <w:p w14:paraId="6B024F4B"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52A8ED00"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r>
      <w:tr w:rsidR="00F50B84" w:rsidRPr="0092475B" w14:paraId="52CAD0DD" w14:textId="77777777" w:rsidTr="00F50B84">
        <w:trPr>
          <w:trHeight w:val="20"/>
        </w:trPr>
        <w:tc>
          <w:tcPr>
            <w:tcW w:w="1042" w:type="pct"/>
            <w:vMerge/>
            <w:hideMark/>
          </w:tcPr>
          <w:p w14:paraId="4A271711" w14:textId="77777777" w:rsidR="00F50B84" w:rsidRPr="0092475B" w:rsidRDefault="00F50B84" w:rsidP="00300ECA">
            <w:pPr>
              <w:rPr>
                <w:rFonts w:ascii="Garamond" w:hAnsi="Garamond"/>
                <w:sz w:val="20"/>
                <w:szCs w:val="20"/>
                <w:lang w:val="en-GB"/>
              </w:rPr>
            </w:pPr>
          </w:p>
        </w:tc>
        <w:tc>
          <w:tcPr>
            <w:tcW w:w="815" w:type="pct"/>
            <w:hideMark/>
          </w:tcPr>
          <w:p w14:paraId="58ACC669"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Employed</w:t>
            </w:r>
          </w:p>
        </w:tc>
        <w:tc>
          <w:tcPr>
            <w:tcW w:w="1212" w:type="pct"/>
            <w:hideMark/>
          </w:tcPr>
          <w:p w14:paraId="77447ECF"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1.2 (0.9–1.6)</w:t>
            </w:r>
          </w:p>
        </w:tc>
        <w:tc>
          <w:tcPr>
            <w:tcW w:w="0" w:type="auto"/>
            <w:hideMark/>
          </w:tcPr>
          <w:p w14:paraId="19C1D525"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0.172</w:t>
            </w:r>
          </w:p>
        </w:tc>
        <w:tc>
          <w:tcPr>
            <w:tcW w:w="0" w:type="auto"/>
            <w:hideMark/>
          </w:tcPr>
          <w:p w14:paraId="3C1AAF5A"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1.1 (0.8–2.0)</w:t>
            </w:r>
          </w:p>
        </w:tc>
        <w:tc>
          <w:tcPr>
            <w:tcW w:w="0" w:type="auto"/>
            <w:hideMark/>
          </w:tcPr>
          <w:p w14:paraId="66C5F166"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0.333</w:t>
            </w:r>
          </w:p>
        </w:tc>
      </w:tr>
      <w:tr w:rsidR="00F50B84" w:rsidRPr="0092475B" w14:paraId="53497C6E" w14:textId="77777777" w:rsidTr="00F50B84">
        <w:trPr>
          <w:trHeight w:val="20"/>
        </w:trPr>
        <w:tc>
          <w:tcPr>
            <w:tcW w:w="1042" w:type="pct"/>
            <w:vMerge w:val="restart"/>
            <w:hideMark/>
          </w:tcPr>
          <w:p w14:paraId="49BB7CF6" w14:textId="77777777" w:rsidR="00F50B84" w:rsidRPr="0092475B" w:rsidRDefault="00F50B84" w:rsidP="00300ECA">
            <w:pPr>
              <w:rPr>
                <w:rFonts w:ascii="Garamond" w:hAnsi="Garamond"/>
                <w:sz w:val="20"/>
                <w:szCs w:val="20"/>
                <w:lang w:val="en-GB"/>
              </w:rPr>
            </w:pPr>
            <w:r w:rsidRPr="0092475B">
              <w:rPr>
                <w:rFonts w:ascii="Garamond" w:hAnsi="Garamond"/>
                <w:b/>
                <w:bCs/>
                <w:sz w:val="20"/>
                <w:szCs w:val="20"/>
                <w:lang w:val="en-GB"/>
              </w:rPr>
              <w:t>Religion</w:t>
            </w:r>
          </w:p>
        </w:tc>
        <w:tc>
          <w:tcPr>
            <w:tcW w:w="815" w:type="pct"/>
            <w:hideMark/>
          </w:tcPr>
          <w:p w14:paraId="38B5B891"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Islam</w:t>
            </w:r>
          </w:p>
        </w:tc>
        <w:tc>
          <w:tcPr>
            <w:tcW w:w="1212" w:type="pct"/>
            <w:hideMark/>
          </w:tcPr>
          <w:p w14:paraId="2E766C4B"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10253604"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c>
          <w:tcPr>
            <w:tcW w:w="0" w:type="auto"/>
            <w:hideMark/>
          </w:tcPr>
          <w:p w14:paraId="7E95F6D7"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5A2B8992"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r>
      <w:tr w:rsidR="00F50B84" w:rsidRPr="0092475B" w14:paraId="60B5A7E1" w14:textId="77777777" w:rsidTr="00F50B84">
        <w:trPr>
          <w:trHeight w:val="20"/>
        </w:trPr>
        <w:tc>
          <w:tcPr>
            <w:tcW w:w="1042" w:type="pct"/>
            <w:vMerge/>
            <w:hideMark/>
          </w:tcPr>
          <w:p w14:paraId="4537725C" w14:textId="77777777" w:rsidR="00F50B84" w:rsidRPr="0092475B" w:rsidRDefault="00F50B84" w:rsidP="00300ECA">
            <w:pPr>
              <w:rPr>
                <w:rFonts w:ascii="Garamond" w:hAnsi="Garamond"/>
                <w:sz w:val="20"/>
                <w:szCs w:val="20"/>
                <w:lang w:val="en-GB"/>
              </w:rPr>
            </w:pPr>
          </w:p>
        </w:tc>
        <w:tc>
          <w:tcPr>
            <w:tcW w:w="815" w:type="pct"/>
            <w:hideMark/>
          </w:tcPr>
          <w:p w14:paraId="7B2B0A8F"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Christianity</w:t>
            </w:r>
          </w:p>
        </w:tc>
        <w:tc>
          <w:tcPr>
            <w:tcW w:w="1212" w:type="pct"/>
            <w:hideMark/>
          </w:tcPr>
          <w:p w14:paraId="3D4119AB"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(0.7–1.5)</w:t>
            </w:r>
          </w:p>
        </w:tc>
        <w:tc>
          <w:tcPr>
            <w:tcW w:w="0" w:type="auto"/>
            <w:hideMark/>
          </w:tcPr>
          <w:p w14:paraId="05828992"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0.938</w:t>
            </w:r>
          </w:p>
        </w:tc>
        <w:tc>
          <w:tcPr>
            <w:tcW w:w="0" w:type="auto"/>
            <w:hideMark/>
          </w:tcPr>
          <w:p w14:paraId="7BE44E59"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(0.6–1.5)</w:t>
            </w:r>
          </w:p>
        </w:tc>
        <w:tc>
          <w:tcPr>
            <w:tcW w:w="0" w:type="auto"/>
            <w:hideMark/>
          </w:tcPr>
          <w:p w14:paraId="009EA1E6"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0.928</w:t>
            </w:r>
          </w:p>
        </w:tc>
      </w:tr>
      <w:tr w:rsidR="00F50B84" w:rsidRPr="0092475B" w14:paraId="4E239DA3" w14:textId="77777777" w:rsidTr="00F50B84">
        <w:trPr>
          <w:trHeight w:val="20"/>
        </w:trPr>
        <w:tc>
          <w:tcPr>
            <w:tcW w:w="1042" w:type="pct"/>
            <w:vMerge w:val="restart"/>
            <w:hideMark/>
          </w:tcPr>
          <w:p w14:paraId="33F64CD7" w14:textId="5FF5BD3A" w:rsidR="00F50B84" w:rsidRPr="0092475B" w:rsidRDefault="00F50B84" w:rsidP="00300ECA">
            <w:pPr>
              <w:rPr>
                <w:rFonts w:ascii="Garamond" w:hAnsi="Garamond"/>
                <w:b/>
                <w:bCs/>
                <w:sz w:val="20"/>
                <w:szCs w:val="20"/>
                <w:lang w:val="en-GB"/>
              </w:rPr>
            </w:pPr>
            <w:r w:rsidRPr="0092475B">
              <w:rPr>
                <w:rFonts w:ascii="Garamond" w:hAnsi="Garamond"/>
                <w:b/>
                <w:bCs/>
                <w:sz w:val="20"/>
                <w:szCs w:val="20"/>
                <w:lang w:val="en-GB"/>
              </w:rPr>
              <w:t>Number</w:t>
            </w:r>
          </w:p>
          <w:p w14:paraId="0AEE9AD7" w14:textId="77777777" w:rsidR="00F50B84" w:rsidRPr="0092475B" w:rsidRDefault="00F50B84" w:rsidP="00300ECA">
            <w:pPr>
              <w:rPr>
                <w:rFonts w:ascii="Garamond" w:hAnsi="Garamond"/>
                <w:sz w:val="20"/>
                <w:szCs w:val="20"/>
                <w:lang w:val="en-GB"/>
              </w:rPr>
            </w:pPr>
            <w:r w:rsidRPr="0092475B">
              <w:rPr>
                <w:rFonts w:ascii="Garamond" w:hAnsi="Garamond"/>
                <w:b/>
                <w:bCs/>
                <w:sz w:val="20"/>
                <w:szCs w:val="20"/>
                <w:lang w:val="en-GB"/>
              </w:rPr>
              <w:t>of Children</w:t>
            </w:r>
          </w:p>
        </w:tc>
        <w:tc>
          <w:tcPr>
            <w:tcW w:w="815" w:type="pct"/>
            <w:hideMark/>
          </w:tcPr>
          <w:p w14:paraId="7EB6EF8F"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None</w:t>
            </w:r>
          </w:p>
        </w:tc>
        <w:tc>
          <w:tcPr>
            <w:tcW w:w="1212" w:type="pct"/>
            <w:hideMark/>
          </w:tcPr>
          <w:p w14:paraId="4B114FC3"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722DCDC5"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c>
          <w:tcPr>
            <w:tcW w:w="0" w:type="auto"/>
            <w:hideMark/>
          </w:tcPr>
          <w:p w14:paraId="623BE7EA"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hideMark/>
          </w:tcPr>
          <w:p w14:paraId="2F3CE4D5"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r>
      <w:tr w:rsidR="00F50B84" w:rsidRPr="0092475B" w14:paraId="1FC0E177" w14:textId="77777777" w:rsidTr="00F50B84">
        <w:trPr>
          <w:trHeight w:val="20"/>
        </w:trPr>
        <w:tc>
          <w:tcPr>
            <w:tcW w:w="1042" w:type="pct"/>
            <w:vMerge/>
          </w:tcPr>
          <w:p w14:paraId="47636363" w14:textId="77777777" w:rsidR="00F50B84" w:rsidRPr="0092475B" w:rsidRDefault="00F50B84" w:rsidP="00300ECA">
            <w:pPr>
              <w:rPr>
                <w:rFonts w:ascii="Garamond" w:hAnsi="Garamond"/>
                <w:sz w:val="20"/>
                <w:szCs w:val="20"/>
                <w:lang w:val="en-GB"/>
              </w:rPr>
            </w:pPr>
          </w:p>
        </w:tc>
        <w:tc>
          <w:tcPr>
            <w:tcW w:w="815" w:type="pct"/>
          </w:tcPr>
          <w:p w14:paraId="4AE89964"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w:t>
            </w:r>
          </w:p>
        </w:tc>
        <w:tc>
          <w:tcPr>
            <w:tcW w:w="1212" w:type="pct"/>
          </w:tcPr>
          <w:p w14:paraId="585175A8"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1.6 (1.0–2.3)</w:t>
            </w:r>
          </w:p>
        </w:tc>
        <w:tc>
          <w:tcPr>
            <w:tcW w:w="0" w:type="auto"/>
          </w:tcPr>
          <w:p w14:paraId="481B9030"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0.053</w:t>
            </w:r>
          </w:p>
        </w:tc>
        <w:tc>
          <w:tcPr>
            <w:tcW w:w="0" w:type="auto"/>
          </w:tcPr>
          <w:p w14:paraId="64775954"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1.5 (0.9–2.4)</w:t>
            </w:r>
          </w:p>
        </w:tc>
        <w:tc>
          <w:tcPr>
            <w:tcW w:w="0" w:type="auto"/>
          </w:tcPr>
          <w:p w14:paraId="51AAC7D4"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0.218</w:t>
            </w:r>
          </w:p>
        </w:tc>
      </w:tr>
      <w:tr w:rsidR="00F50B84" w:rsidRPr="0092475B" w14:paraId="269809BA" w14:textId="77777777" w:rsidTr="00F50B84">
        <w:trPr>
          <w:trHeight w:val="20"/>
        </w:trPr>
        <w:tc>
          <w:tcPr>
            <w:tcW w:w="1042" w:type="pct"/>
            <w:vMerge w:val="restart"/>
          </w:tcPr>
          <w:p w14:paraId="459656B7" w14:textId="77777777" w:rsidR="00F50B84" w:rsidRPr="0092475B" w:rsidRDefault="00F50B84" w:rsidP="00300ECA">
            <w:pPr>
              <w:rPr>
                <w:rFonts w:ascii="Garamond" w:hAnsi="Garamond"/>
                <w:b/>
                <w:sz w:val="20"/>
                <w:szCs w:val="20"/>
                <w:lang w:val="en-GB"/>
              </w:rPr>
            </w:pPr>
            <w:r w:rsidRPr="0092475B">
              <w:rPr>
                <w:rFonts w:ascii="Garamond" w:hAnsi="Garamond"/>
                <w:b/>
                <w:sz w:val="20"/>
                <w:szCs w:val="20"/>
                <w:lang w:val="en-GB"/>
              </w:rPr>
              <w:t>Family Type</w:t>
            </w:r>
          </w:p>
        </w:tc>
        <w:tc>
          <w:tcPr>
            <w:tcW w:w="815" w:type="pct"/>
          </w:tcPr>
          <w:p w14:paraId="33898512"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Monogamous</w:t>
            </w:r>
          </w:p>
        </w:tc>
        <w:tc>
          <w:tcPr>
            <w:tcW w:w="1212" w:type="pct"/>
          </w:tcPr>
          <w:p w14:paraId="3DC2CE2B"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tcPr>
          <w:p w14:paraId="756C1E29"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c>
          <w:tcPr>
            <w:tcW w:w="0" w:type="auto"/>
          </w:tcPr>
          <w:p w14:paraId="4FCE033B"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1.0 (Ref)</w:t>
            </w:r>
          </w:p>
        </w:tc>
        <w:tc>
          <w:tcPr>
            <w:tcW w:w="0" w:type="auto"/>
          </w:tcPr>
          <w:p w14:paraId="2D5EBD7C"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w:t>
            </w:r>
          </w:p>
        </w:tc>
      </w:tr>
      <w:tr w:rsidR="00F50B84" w:rsidRPr="0092475B" w14:paraId="55B6858F" w14:textId="77777777" w:rsidTr="00F50B84">
        <w:trPr>
          <w:trHeight w:val="20"/>
        </w:trPr>
        <w:tc>
          <w:tcPr>
            <w:tcW w:w="1042" w:type="pct"/>
            <w:vMerge/>
            <w:tcBorders>
              <w:bottom w:val="single" w:sz="4" w:space="0" w:color="auto"/>
            </w:tcBorders>
          </w:tcPr>
          <w:p w14:paraId="31B9E995" w14:textId="77777777" w:rsidR="00F50B84" w:rsidRPr="0092475B" w:rsidRDefault="00F50B84" w:rsidP="00300ECA">
            <w:pPr>
              <w:rPr>
                <w:rFonts w:ascii="Garamond" w:hAnsi="Garamond"/>
                <w:sz w:val="20"/>
                <w:szCs w:val="20"/>
                <w:lang w:val="en-GB"/>
              </w:rPr>
            </w:pPr>
          </w:p>
        </w:tc>
        <w:tc>
          <w:tcPr>
            <w:tcW w:w="815" w:type="pct"/>
            <w:tcBorders>
              <w:bottom w:val="single" w:sz="4" w:space="0" w:color="auto"/>
            </w:tcBorders>
            <w:hideMark/>
          </w:tcPr>
          <w:p w14:paraId="4442B7C5" w14:textId="77777777" w:rsidR="00F50B84" w:rsidRPr="0092475B" w:rsidRDefault="00F50B84" w:rsidP="00300ECA">
            <w:pPr>
              <w:rPr>
                <w:rFonts w:ascii="Garamond" w:hAnsi="Garamond"/>
                <w:sz w:val="20"/>
                <w:szCs w:val="20"/>
                <w:lang w:val="en-GB"/>
              </w:rPr>
            </w:pPr>
            <w:r w:rsidRPr="0092475B">
              <w:rPr>
                <w:rFonts w:ascii="Garamond" w:hAnsi="Garamond"/>
                <w:sz w:val="20"/>
                <w:szCs w:val="20"/>
                <w:lang w:val="en-GB"/>
              </w:rPr>
              <w:t>Polygamous</w:t>
            </w:r>
          </w:p>
        </w:tc>
        <w:tc>
          <w:tcPr>
            <w:tcW w:w="1212" w:type="pct"/>
            <w:tcBorders>
              <w:bottom w:val="single" w:sz="4" w:space="0" w:color="auto"/>
            </w:tcBorders>
            <w:hideMark/>
          </w:tcPr>
          <w:p w14:paraId="4E90D4B6" w14:textId="77777777" w:rsidR="00F50B84" w:rsidRPr="0092475B" w:rsidRDefault="00F50B84" w:rsidP="00300ECA">
            <w:pPr>
              <w:rPr>
                <w:rFonts w:ascii="Garamond" w:hAnsi="Garamond"/>
                <w:b/>
                <w:sz w:val="20"/>
                <w:szCs w:val="20"/>
                <w:lang w:val="en-GB"/>
              </w:rPr>
            </w:pPr>
            <w:r w:rsidRPr="0092475B">
              <w:rPr>
                <w:rFonts w:ascii="Garamond" w:hAnsi="Garamond"/>
                <w:b/>
                <w:sz w:val="20"/>
                <w:szCs w:val="20"/>
                <w:lang w:val="en-GB"/>
              </w:rPr>
              <w:t>1.6 (1.2–2.3)</w:t>
            </w:r>
          </w:p>
        </w:tc>
        <w:tc>
          <w:tcPr>
            <w:tcW w:w="0" w:type="auto"/>
            <w:tcBorders>
              <w:bottom w:val="single" w:sz="4" w:space="0" w:color="auto"/>
            </w:tcBorders>
            <w:hideMark/>
          </w:tcPr>
          <w:p w14:paraId="253D2349" w14:textId="77777777" w:rsidR="00F50B84" w:rsidRPr="0092475B" w:rsidRDefault="00F50B84" w:rsidP="00300ECA">
            <w:pPr>
              <w:rPr>
                <w:rFonts w:ascii="Garamond" w:hAnsi="Garamond"/>
                <w:b/>
                <w:sz w:val="20"/>
                <w:szCs w:val="20"/>
                <w:lang w:val="en-GB"/>
              </w:rPr>
            </w:pPr>
            <w:r w:rsidRPr="0092475B">
              <w:rPr>
                <w:rFonts w:ascii="Garamond" w:hAnsi="Garamond"/>
                <w:b/>
                <w:sz w:val="20"/>
                <w:szCs w:val="20"/>
                <w:lang w:val="en-GB"/>
              </w:rPr>
              <w:t>0.044*</w:t>
            </w:r>
          </w:p>
        </w:tc>
        <w:tc>
          <w:tcPr>
            <w:tcW w:w="0" w:type="auto"/>
            <w:tcBorders>
              <w:bottom w:val="single" w:sz="4" w:space="0" w:color="auto"/>
            </w:tcBorders>
            <w:hideMark/>
          </w:tcPr>
          <w:p w14:paraId="357F60D7" w14:textId="77777777" w:rsidR="00F50B84" w:rsidRPr="0092475B" w:rsidRDefault="00F50B84" w:rsidP="00300ECA">
            <w:pPr>
              <w:rPr>
                <w:rFonts w:ascii="Garamond" w:hAnsi="Garamond"/>
                <w:b/>
                <w:sz w:val="20"/>
                <w:szCs w:val="20"/>
                <w:lang w:val="en-GB"/>
              </w:rPr>
            </w:pPr>
            <w:r w:rsidRPr="0092475B">
              <w:rPr>
                <w:rFonts w:ascii="Garamond" w:hAnsi="Garamond"/>
                <w:b/>
                <w:sz w:val="20"/>
                <w:szCs w:val="20"/>
                <w:lang w:val="en-GB"/>
              </w:rPr>
              <w:t>1.8 (1.3–2.5)</w:t>
            </w:r>
          </w:p>
        </w:tc>
        <w:tc>
          <w:tcPr>
            <w:tcW w:w="0" w:type="auto"/>
            <w:tcBorders>
              <w:bottom w:val="single" w:sz="4" w:space="0" w:color="auto"/>
            </w:tcBorders>
            <w:hideMark/>
          </w:tcPr>
          <w:p w14:paraId="72B2F038" w14:textId="77777777" w:rsidR="00F50B84" w:rsidRPr="0092475B" w:rsidRDefault="00F50B84" w:rsidP="00300ECA">
            <w:pPr>
              <w:rPr>
                <w:rFonts w:ascii="Garamond" w:hAnsi="Garamond"/>
                <w:b/>
                <w:sz w:val="20"/>
                <w:szCs w:val="20"/>
                <w:lang w:val="en-GB"/>
              </w:rPr>
            </w:pPr>
            <w:r w:rsidRPr="0092475B">
              <w:rPr>
                <w:rFonts w:ascii="Garamond" w:hAnsi="Garamond"/>
                <w:b/>
                <w:sz w:val="20"/>
                <w:szCs w:val="20"/>
                <w:lang w:val="en-GB"/>
              </w:rPr>
              <w:t>0.036*</w:t>
            </w:r>
          </w:p>
        </w:tc>
      </w:tr>
    </w:tbl>
    <w:p w14:paraId="562EAA78" w14:textId="77777777" w:rsidR="0092475B" w:rsidRPr="00F50B84" w:rsidRDefault="0092475B" w:rsidP="00300ECA">
      <w:pPr>
        <w:jc w:val="both"/>
        <w:rPr>
          <w:rFonts w:ascii="Garamond" w:hAnsi="Garamond"/>
          <w:b/>
          <w:i/>
          <w:sz w:val="16"/>
          <w:szCs w:val="16"/>
          <w:lang w:val="en-GB"/>
        </w:rPr>
      </w:pPr>
      <w:r w:rsidRPr="00F50B84">
        <w:rPr>
          <w:rFonts w:ascii="Garamond" w:hAnsi="Garamond"/>
          <w:b/>
          <w:i/>
          <w:sz w:val="16"/>
          <w:szCs w:val="16"/>
          <w:lang w:val="en-GB"/>
        </w:rPr>
        <w:t>*=significant at p&lt;0.05; COR = Crude Odds Ratio; AOR = Adjusted Odds Ratio</w:t>
      </w:r>
    </w:p>
    <w:p w14:paraId="574EB088" w14:textId="77777777" w:rsidR="0092475B" w:rsidRPr="0092475B" w:rsidRDefault="0092475B" w:rsidP="0092475B">
      <w:pPr>
        <w:spacing w:line="259" w:lineRule="auto"/>
        <w:jc w:val="both"/>
        <w:rPr>
          <w:rFonts w:ascii="Garamond" w:hAnsi="Garamond"/>
          <w:b/>
          <w:i/>
          <w:sz w:val="20"/>
          <w:szCs w:val="20"/>
          <w:lang w:val="en-GB"/>
        </w:rPr>
      </w:pPr>
    </w:p>
    <w:p w14:paraId="225E06E0" w14:textId="77777777" w:rsidR="0092475B" w:rsidRDefault="0092475B" w:rsidP="0092475B">
      <w:pPr>
        <w:spacing w:line="259" w:lineRule="auto"/>
        <w:jc w:val="both"/>
        <w:rPr>
          <w:rFonts w:ascii="Garamond" w:hAnsi="Garamond"/>
          <w:b/>
          <w:i/>
          <w:sz w:val="20"/>
          <w:szCs w:val="20"/>
          <w:lang w:val="en-GB"/>
        </w:rPr>
        <w:sectPr w:rsidR="0092475B" w:rsidSect="00C16735">
          <w:pgSz w:w="12240" w:h="15840"/>
          <w:pgMar w:top="1440" w:right="1440" w:bottom="1440" w:left="1440" w:header="720" w:footer="720" w:gutter="0"/>
          <w:cols w:space="720"/>
          <w:titlePg/>
          <w:docGrid w:linePitch="360"/>
        </w:sectPr>
      </w:pPr>
    </w:p>
    <w:p w14:paraId="176E00BE" w14:textId="33218260" w:rsidR="0092475B" w:rsidRPr="00F50B84" w:rsidRDefault="00F50B84" w:rsidP="0092475B">
      <w:pPr>
        <w:spacing w:line="259" w:lineRule="auto"/>
        <w:jc w:val="both"/>
        <w:rPr>
          <w:rFonts w:ascii="Garamond" w:hAnsi="Garamond"/>
          <w:b/>
          <w:bCs/>
          <w:iCs/>
          <w:sz w:val="22"/>
          <w:szCs w:val="22"/>
          <w:lang w:val="en-GB"/>
        </w:rPr>
      </w:pPr>
      <w:r w:rsidRPr="00F50B84">
        <w:rPr>
          <w:rFonts w:ascii="Garamond" w:hAnsi="Garamond"/>
          <w:b/>
          <w:bCs/>
          <w:iCs/>
          <w:sz w:val="22"/>
          <w:szCs w:val="22"/>
          <w:lang w:val="en-GB"/>
        </w:rPr>
        <w:lastRenderedPageBreak/>
        <w:t>DISCUSSION</w:t>
      </w:r>
    </w:p>
    <w:p w14:paraId="23717D16" w14:textId="279378D0" w:rsidR="0092475B" w:rsidRDefault="0092475B" w:rsidP="0092475B">
      <w:pPr>
        <w:spacing w:line="259" w:lineRule="auto"/>
        <w:jc w:val="both"/>
        <w:rPr>
          <w:rFonts w:ascii="Garamond" w:hAnsi="Garamond"/>
          <w:bCs/>
          <w:iCs/>
          <w:sz w:val="20"/>
          <w:szCs w:val="20"/>
          <w:lang w:val="en-GB"/>
        </w:rPr>
      </w:pPr>
      <w:r w:rsidRPr="0092475B">
        <w:rPr>
          <w:rFonts w:ascii="Garamond" w:hAnsi="Garamond"/>
          <w:bCs/>
          <w:iCs/>
          <w:sz w:val="20"/>
          <w:szCs w:val="20"/>
          <w:lang w:val="en-GB"/>
        </w:rPr>
        <w:t>This study evaluated the nutritional knowledge, dietary diversity, and nutritional status of pregnant adolescents in Bauchi State. The findings revealed that over half of the respondents were undernourished based on mid-upper arm circumference (MUAC). Although slightly half of the adolescents met the Minimum Dietary Diversity for Women (MDD-W) threshold, a considerable proportion did not, Nutrition knowledge levels were relatively high among respondents. Most adolescents had adequate vitamin B</w:t>
      </w:r>
      <w:r w:rsidRPr="0092475B">
        <w:rPr>
          <w:rFonts w:ascii="Garamond" w:hAnsi="Garamond"/>
          <w:bCs/>
          <w:iCs/>
          <w:sz w:val="20"/>
          <w:szCs w:val="20"/>
          <w:vertAlign w:val="subscript"/>
          <w:lang w:val="en-GB"/>
        </w:rPr>
        <w:t>12</w:t>
      </w:r>
      <w:r w:rsidRPr="0092475B">
        <w:rPr>
          <w:rFonts w:ascii="Garamond" w:hAnsi="Garamond"/>
          <w:bCs/>
          <w:iCs/>
          <w:sz w:val="20"/>
          <w:szCs w:val="20"/>
          <w:lang w:val="en-GB"/>
        </w:rPr>
        <w:t xml:space="preserve"> levels, while slightly above half had normal packed cell volume (PCV) values, a substantial proportion had low-normal PCV levels.</w:t>
      </w:r>
    </w:p>
    <w:p w14:paraId="3281EA96" w14:textId="08D661C5" w:rsidR="0092475B" w:rsidRPr="0092475B" w:rsidRDefault="0092475B" w:rsidP="0092475B">
      <w:pPr>
        <w:spacing w:line="259" w:lineRule="auto"/>
        <w:jc w:val="both"/>
        <w:rPr>
          <w:rFonts w:ascii="Garamond" w:hAnsi="Garamond"/>
          <w:bCs/>
          <w:iCs/>
          <w:sz w:val="20"/>
          <w:szCs w:val="20"/>
          <w:lang w:val="en-GB"/>
        </w:rPr>
      </w:pPr>
      <w:r w:rsidRPr="0092475B">
        <w:rPr>
          <w:rFonts w:ascii="Garamond" w:hAnsi="Garamond"/>
          <w:bCs/>
          <w:iCs/>
          <w:sz w:val="20"/>
          <w:szCs w:val="20"/>
          <w:lang w:val="en-GB"/>
        </w:rPr>
        <w:t>The observed prevalence of acute malnutrition based on MUAC observed in this study (74.5%) assessed using the mid-upper arm circumference (MUAC) markedly surpasses rates reported in comparable studies from other countries, including Uganda (21%, &lt;23cm),</w:t>
      </w:r>
      <w:r w:rsidRPr="0092475B">
        <w:rPr>
          <w:rFonts w:ascii="Garamond" w:hAnsi="Garamond"/>
          <w:bCs/>
          <w:iCs/>
          <w:sz w:val="20"/>
          <w:szCs w:val="20"/>
          <w:vertAlign w:val="superscript"/>
          <w:lang w:val="en-GB"/>
        </w:rPr>
        <w:t>16</w:t>
      </w:r>
      <w:r w:rsidRPr="0092475B">
        <w:rPr>
          <w:rFonts w:ascii="Garamond" w:hAnsi="Garamond"/>
          <w:bCs/>
          <w:iCs/>
          <w:sz w:val="20"/>
          <w:szCs w:val="20"/>
          <w:lang w:val="en-GB"/>
        </w:rPr>
        <w:t xml:space="preserve"> Iraq (3.4%, ≤23cm),</w:t>
      </w:r>
      <w:r w:rsidRPr="0092475B">
        <w:rPr>
          <w:rFonts w:ascii="Garamond" w:hAnsi="Garamond"/>
          <w:bCs/>
          <w:iCs/>
          <w:sz w:val="20"/>
          <w:szCs w:val="20"/>
          <w:vertAlign w:val="superscript"/>
          <w:lang w:val="en-GB"/>
        </w:rPr>
        <w:t>28</w:t>
      </w:r>
      <w:r w:rsidRPr="0092475B">
        <w:rPr>
          <w:rFonts w:ascii="Garamond" w:hAnsi="Garamond"/>
          <w:bCs/>
          <w:iCs/>
          <w:sz w:val="20"/>
          <w:szCs w:val="20"/>
          <w:lang w:val="en-GB"/>
        </w:rPr>
        <w:t xml:space="preserve"> Ethiopia (26.4%, &lt;22cm),</w:t>
      </w:r>
      <w:r w:rsidRPr="0092475B">
        <w:rPr>
          <w:rFonts w:ascii="Garamond" w:hAnsi="Garamond"/>
          <w:bCs/>
          <w:iCs/>
          <w:sz w:val="20"/>
          <w:szCs w:val="20"/>
          <w:vertAlign w:val="superscript"/>
          <w:lang w:val="en-GB"/>
        </w:rPr>
        <w:t>29</w:t>
      </w:r>
      <w:r w:rsidRPr="0092475B">
        <w:rPr>
          <w:rFonts w:ascii="Garamond" w:hAnsi="Garamond"/>
          <w:bCs/>
          <w:iCs/>
          <w:sz w:val="20"/>
          <w:szCs w:val="20"/>
          <w:lang w:val="en-GB"/>
        </w:rPr>
        <w:t xml:space="preserve"> and Ghana (27.8%, &lt;24cm)</w:t>
      </w:r>
      <w:r w:rsidRPr="0092475B">
        <w:rPr>
          <w:rFonts w:ascii="Garamond" w:hAnsi="Garamond"/>
          <w:bCs/>
          <w:iCs/>
          <w:sz w:val="20"/>
          <w:szCs w:val="20"/>
          <w:vertAlign w:val="superscript"/>
          <w:lang w:val="en-GB"/>
        </w:rPr>
        <w:t>23</w:t>
      </w:r>
      <w:r w:rsidRPr="0092475B">
        <w:rPr>
          <w:rFonts w:ascii="Garamond" w:hAnsi="Garamond"/>
          <w:bCs/>
          <w:iCs/>
          <w:sz w:val="20"/>
          <w:szCs w:val="20"/>
          <w:lang w:val="en-GB"/>
        </w:rPr>
        <w:t xml:space="preserve"> among pregnant adolescents. These disparities can be attributed to differences in socioeconomic conditions, dietary practices, and access to nutrition and health services across locations. In addition, the lack of a universal MUAC threshold for identifying maternal undernutrition contributes to inconsistencies in reported results  as cut-offs ranging from 21cm-24cm are commonly being used.</w:t>
      </w:r>
      <w:r w:rsidRPr="0092475B">
        <w:rPr>
          <w:rFonts w:ascii="Garamond" w:hAnsi="Garamond"/>
          <w:bCs/>
          <w:iCs/>
          <w:sz w:val="20"/>
          <w:szCs w:val="20"/>
          <w:vertAlign w:val="superscript"/>
          <w:lang w:val="en-GB"/>
        </w:rPr>
        <w:t>21-22</w:t>
      </w:r>
      <w:r w:rsidRPr="0092475B">
        <w:rPr>
          <w:rFonts w:ascii="Garamond" w:hAnsi="Garamond"/>
          <w:bCs/>
          <w:iCs/>
          <w:sz w:val="20"/>
          <w:szCs w:val="20"/>
          <w:lang w:val="en-GB"/>
        </w:rPr>
        <w:t xml:space="preserve"> This study adopted a more conservative threshold of &lt;23cm due to evidence of its high sensitivity in the identifying individuals at risk of malnutrition that other restrictive thresholds might exclude.</w:t>
      </w:r>
      <w:r w:rsidRPr="0092475B">
        <w:rPr>
          <w:rFonts w:ascii="Garamond" w:hAnsi="Garamond"/>
          <w:bCs/>
          <w:iCs/>
          <w:sz w:val="20"/>
          <w:szCs w:val="20"/>
          <w:vertAlign w:val="superscript"/>
          <w:lang w:val="en-GB"/>
        </w:rPr>
        <w:t>22</w:t>
      </w:r>
      <w:r w:rsidRPr="0092475B">
        <w:rPr>
          <w:rFonts w:ascii="Garamond" w:hAnsi="Garamond"/>
          <w:bCs/>
          <w:iCs/>
          <w:sz w:val="20"/>
          <w:szCs w:val="20"/>
          <w:lang w:val="en-GB"/>
        </w:rPr>
        <w:t xml:space="preserve"> Furthermore, the high prevalence of undernutrition also captures the nutritional emergency in this region as estimates from recent reports have revealed a 120% escalation in admissions due to undernutrition in Bauchi State in comparison to the previous years.</w:t>
      </w:r>
      <w:r w:rsidRPr="0092475B">
        <w:rPr>
          <w:rFonts w:ascii="Garamond" w:hAnsi="Garamond"/>
          <w:bCs/>
          <w:iCs/>
          <w:sz w:val="20"/>
          <w:szCs w:val="20"/>
          <w:vertAlign w:val="superscript"/>
          <w:lang w:val="en-GB"/>
        </w:rPr>
        <w:t>30</w:t>
      </w:r>
      <w:r w:rsidRPr="0092475B">
        <w:rPr>
          <w:rFonts w:ascii="Garamond" w:hAnsi="Garamond"/>
          <w:bCs/>
          <w:iCs/>
          <w:sz w:val="20"/>
          <w:szCs w:val="20"/>
          <w:lang w:val="en-GB"/>
        </w:rPr>
        <w:t xml:space="preserve"> UNICEF reports further reveals that the number of undernourished adolescents in Nigeria increased from approximately 5.6 million in 2018 to 7.3 million in 2021, highlighting the growing burden of adolescent malnutrition in Nigeria specifically in Northern states such as Bauchi.</w:t>
      </w:r>
      <w:r w:rsidRPr="0092475B">
        <w:rPr>
          <w:rFonts w:ascii="Garamond" w:hAnsi="Garamond"/>
          <w:bCs/>
          <w:iCs/>
          <w:sz w:val="20"/>
          <w:szCs w:val="20"/>
          <w:vertAlign w:val="superscript"/>
          <w:lang w:val="en-GB"/>
        </w:rPr>
        <w:t>31</w:t>
      </w:r>
      <w:r w:rsidRPr="0092475B">
        <w:rPr>
          <w:rFonts w:ascii="Garamond" w:hAnsi="Garamond"/>
          <w:bCs/>
          <w:iCs/>
          <w:sz w:val="20"/>
          <w:szCs w:val="20"/>
          <w:lang w:val="en-GB"/>
        </w:rPr>
        <w:t xml:space="preserve"> </w:t>
      </w:r>
    </w:p>
    <w:p w14:paraId="3CC5BC52" w14:textId="5F8E9888" w:rsidR="0092475B" w:rsidRPr="00F50B84" w:rsidRDefault="0092475B" w:rsidP="0092475B">
      <w:pPr>
        <w:spacing w:line="259" w:lineRule="auto"/>
        <w:jc w:val="both"/>
        <w:rPr>
          <w:rFonts w:ascii="Garamond" w:hAnsi="Garamond"/>
          <w:bCs/>
          <w:iCs/>
          <w:sz w:val="20"/>
          <w:szCs w:val="20"/>
          <w:vertAlign w:val="superscript"/>
          <w:lang w:val="en-GB"/>
        </w:rPr>
      </w:pPr>
      <w:r w:rsidRPr="0092475B">
        <w:rPr>
          <w:rFonts w:ascii="Garamond" w:hAnsi="Garamond"/>
          <w:bCs/>
          <w:iCs/>
          <w:sz w:val="20"/>
          <w:szCs w:val="20"/>
          <w:lang w:val="en-GB"/>
        </w:rPr>
        <w:t>National nutrition reports have identify Bauchi State as having one of the highest burdens of acute malnutrition among girls and women 15-49 years of age in Nigeria, with a prevalence of approximately 13%.</w:t>
      </w:r>
      <w:r w:rsidRPr="0092475B">
        <w:rPr>
          <w:rFonts w:ascii="Garamond" w:hAnsi="Garamond"/>
          <w:bCs/>
          <w:iCs/>
          <w:sz w:val="20"/>
          <w:szCs w:val="20"/>
          <w:vertAlign w:val="superscript"/>
          <w:lang w:val="en-GB"/>
        </w:rPr>
        <w:t xml:space="preserve">12 </w:t>
      </w:r>
      <w:r w:rsidRPr="0092475B">
        <w:rPr>
          <w:rFonts w:ascii="Garamond" w:hAnsi="Garamond"/>
          <w:bCs/>
          <w:iCs/>
          <w:sz w:val="20"/>
          <w:szCs w:val="20"/>
          <w:lang w:val="en-GB"/>
        </w:rPr>
        <w:t>A recent systematic review on adolescent nutrition in Nigeria reported consistently higher rates of malnutrition in the North compared to the southern states, reflecting a greater nutritional vulnerability among this population.</w:t>
      </w:r>
      <w:r w:rsidRPr="0092475B">
        <w:rPr>
          <w:rFonts w:ascii="Garamond" w:hAnsi="Garamond"/>
          <w:bCs/>
          <w:iCs/>
          <w:sz w:val="20"/>
          <w:szCs w:val="20"/>
          <w:vertAlign w:val="superscript"/>
          <w:lang w:val="en-GB"/>
        </w:rPr>
        <w:t>32</w:t>
      </w:r>
      <w:r w:rsidRPr="0092475B">
        <w:rPr>
          <w:rFonts w:ascii="Garamond" w:hAnsi="Garamond"/>
          <w:bCs/>
          <w:iCs/>
          <w:sz w:val="20"/>
          <w:szCs w:val="20"/>
          <w:lang w:val="en-GB"/>
        </w:rPr>
        <w:t xml:space="preserve"> </w:t>
      </w:r>
      <w:r w:rsidRPr="0092475B">
        <w:rPr>
          <w:rFonts w:ascii="Garamond" w:hAnsi="Garamond"/>
          <w:bCs/>
          <w:iCs/>
          <w:sz w:val="20"/>
          <w:szCs w:val="20"/>
          <w:lang w:val="en-GB"/>
        </w:rPr>
        <w:t>Similarly, a survey in Northwest Nigeria also reported critically high levels of malnutrition in this region, with the prevalence of acute malnutrition doubling within one year period.</w:t>
      </w:r>
      <w:r w:rsidRPr="0092475B">
        <w:rPr>
          <w:rFonts w:ascii="Garamond" w:hAnsi="Garamond"/>
          <w:bCs/>
          <w:iCs/>
          <w:sz w:val="20"/>
          <w:szCs w:val="20"/>
          <w:vertAlign w:val="superscript"/>
          <w:lang w:val="en-GB"/>
        </w:rPr>
        <w:t>33</w:t>
      </w:r>
      <w:r w:rsidRPr="0092475B">
        <w:rPr>
          <w:rFonts w:ascii="Garamond" w:hAnsi="Garamond"/>
          <w:bCs/>
          <w:iCs/>
          <w:sz w:val="20"/>
          <w:szCs w:val="20"/>
          <w:lang w:val="en-GB"/>
        </w:rPr>
        <w:t xml:space="preserve"> Contextual factors such as limited household decision making power for adolescent girls coupled with unequal household food allocation favouring males, further exacerbate this vulnerability.</w:t>
      </w:r>
      <w:r w:rsidRPr="0092475B">
        <w:rPr>
          <w:rFonts w:ascii="Garamond" w:hAnsi="Garamond"/>
          <w:bCs/>
          <w:iCs/>
          <w:sz w:val="20"/>
          <w:szCs w:val="20"/>
          <w:vertAlign w:val="superscript"/>
          <w:lang w:val="en-GB"/>
        </w:rPr>
        <w:t xml:space="preserve">34 </w:t>
      </w:r>
      <w:r w:rsidRPr="0092475B">
        <w:rPr>
          <w:rFonts w:ascii="Garamond" w:hAnsi="Garamond"/>
          <w:bCs/>
          <w:iCs/>
          <w:sz w:val="20"/>
          <w:szCs w:val="20"/>
          <w:lang w:val="en-GB"/>
        </w:rPr>
        <w:t>Prevailing gender norms often prioritize the dietary needs of males in the household  based on perceived farm labour contributions and larger body size.</w:t>
      </w:r>
      <w:r w:rsidRPr="0092475B">
        <w:rPr>
          <w:rFonts w:ascii="Garamond" w:hAnsi="Garamond"/>
          <w:bCs/>
          <w:iCs/>
          <w:sz w:val="20"/>
          <w:szCs w:val="20"/>
          <w:vertAlign w:val="superscript"/>
          <w:lang w:val="en-GB"/>
        </w:rPr>
        <w:t>34</w:t>
      </w:r>
    </w:p>
    <w:p w14:paraId="35203C3C" w14:textId="7C7E727E" w:rsidR="0092475B" w:rsidRPr="00F50B84" w:rsidRDefault="0092475B" w:rsidP="0092475B">
      <w:pPr>
        <w:spacing w:line="259" w:lineRule="auto"/>
        <w:jc w:val="both"/>
        <w:rPr>
          <w:rFonts w:ascii="Garamond" w:hAnsi="Garamond"/>
          <w:bCs/>
          <w:iCs/>
          <w:sz w:val="20"/>
          <w:szCs w:val="20"/>
          <w:vertAlign w:val="superscript"/>
          <w:lang w:val="en-GB"/>
        </w:rPr>
      </w:pPr>
      <w:r w:rsidRPr="0092475B">
        <w:rPr>
          <w:rFonts w:ascii="Garamond" w:hAnsi="Garamond"/>
          <w:bCs/>
          <w:iCs/>
          <w:sz w:val="20"/>
          <w:szCs w:val="20"/>
          <w:lang w:val="en-GB"/>
        </w:rPr>
        <w:t>Although, clinical results for anaemia and vitamin B12 deficiency were low among the adolescents, a substantial proportion clustered within the low-normal PCV range raising significant clinical concerns. This marginal status places the pregnant adolescent girls at high risk of developing anaemia thus aligning with the high anthropometric undernutrition. Research conducted in East Africa reported a pooled anaemia prevalence up to 61% among pregnant adolescents, with varying degrees of severity.</w:t>
      </w:r>
      <w:r w:rsidRPr="0092475B">
        <w:rPr>
          <w:rFonts w:ascii="Garamond" w:hAnsi="Garamond"/>
          <w:bCs/>
          <w:iCs/>
          <w:sz w:val="20"/>
          <w:szCs w:val="20"/>
          <w:vertAlign w:val="superscript"/>
          <w:lang w:val="en-GB"/>
        </w:rPr>
        <w:t xml:space="preserve">35 </w:t>
      </w:r>
      <w:r w:rsidRPr="0092475B">
        <w:rPr>
          <w:rFonts w:ascii="Garamond" w:hAnsi="Garamond"/>
          <w:bCs/>
          <w:iCs/>
          <w:sz w:val="20"/>
          <w:szCs w:val="20"/>
          <w:lang w:val="en-GB"/>
        </w:rPr>
        <w:t>Pregnant adolescents are especially vulnerable to iron deficiency due to competing nutrient demands between maternal growth and foetal development. However, these biochemical indices do not provide a comprehensive assessment of micronutrient adequacy. Furthermore, laboratory values within normal ranges may not reflect optimal nutritional status, particularly where supplementation may temporarily mask deficiencies without addressing underlying dietary inadequacies.</w:t>
      </w:r>
    </w:p>
    <w:p w14:paraId="08AE612B" w14:textId="53D88983" w:rsidR="0092475B" w:rsidRPr="0092475B" w:rsidRDefault="0092475B" w:rsidP="0092475B">
      <w:pPr>
        <w:spacing w:line="259" w:lineRule="auto"/>
        <w:jc w:val="both"/>
        <w:rPr>
          <w:rFonts w:ascii="Garamond" w:hAnsi="Garamond"/>
          <w:bCs/>
          <w:iCs/>
          <w:sz w:val="20"/>
          <w:szCs w:val="20"/>
          <w:vertAlign w:val="superscript"/>
          <w:lang w:val="en-GB"/>
        </w:rPr>
      </w:pPr>
      <w:r w:rsidRPr="0092475B">
        <w:rPr>
          <w:rFonts w:ascii="Garamond" w:hAnsi="Garamond"/>
          <w:bCs/>
          <w:iCs/>
          <w:sz w:val="20"/>
          <w:szCs w:val="20"/>
          <w:lang w:val="en-GB"/>
        </w:rPr>
        <w:t>A considerable number of the pregnant adolescents in the study demonstrated good nutrition knowledge. With levels in this study higher than a South-western study among pregnant adolescents which reported good knowledge scores of 46.2%.</w:t>
      </w:r>
      <w:r w:rsidRPr="0092475B">
        <w:rPr>
          <w:rFonts w:ascii="Garamond" w:hAnsi="Garamond"/>
          <w:bCs/>
          <w:iCs/>
          <w:sz w:val="20"/>
          <w:szCs w:val="20"/>
          <w:vertAlign w:val="superscript"/>
          <w:lang w:val="en-GB"/>
        </w:rPr>
        <w:t xml:space="preserve">18 </w:t>
      </w:r>
      <w:r w:rsidRPr="0092475B">
        <w:rPr>
          <w:rFonts w:ascii="Garamond" w:hAnsi="Garamond"/>
          <w:bCs/>
          <w:iCs/>
          <w:sz w:val="20"/>
          <w:szCs w:val="20"/>
          <w:lang w:val="en-GB"/>
        </w:rPr>
        <w:t>Despite this, the high knowledge did not translate into improved dietary diversity or nutritional outcomes. Only slightly above half achieved adequate dietary diversity and the majority were undernourished. This highlights a knowledge-practice gap suggesting that nutrition knowledge only may be insufficient to influence dietary practices in this population. Structural, cultural, financial, and environmental constraints may limit the ability of these teenagers to apply nutritional knowledge in practice. These factors support the social determinants of health framework, which stresses that health behaviours and outcomes of individuals are shaped not only by individual knowledge but also by socioeconomic conditions, gender norms, household power dynamics, and access to food and services.</w:t>
      </w:r>
      <w:r w:rsidRPr="0092475B">
        <w:rPr>
          <w:rFonts w:ascii="Garamond" w:hAnsi="Garamond"/>
          <w:bCs/>
          <w:iCs/>
          <w:sz w:val="20"/>
          <w:szCs w:val="20"/>
          <w:vertAlign w:val="superscript"/>
          <w:lang w:val="en-GB"/>
        </w:rPr>
        <w:t>36</w:t>
      </w:r>
    </w:p>
    <w:p w14:paraId="74632F5C" w14:textId="77777777" w:rsidR="0092475B" w:rsidRDefault="0092475B" w:rsidP="0092475B">
      <w:pPr>
        <w:spacing w:line="259" w:lineRule="auto"/>
        <w:jc w:val="both"/>
        <w:rPr>
          <w:rFonts w:ascii="Garamond" w:hAnsi="Garamond"/>
          <w:bCs/>
          <w:iCs/>
          <w:sz w:val="20"/>
          <w:szCs w:val="20"/>
          <w:lang w:val="en-GB"/>
        </w:rPr>
      </w:pPr>
    </w:p>
    <w:p w14:paraId="24D25330" w14:textId="30B394E0" w:rsidR="0092475B" w:rsidRPr="0092475B" w:rsidRDefault="0092475B" w:rsidP="0092475B">
      <w:pPr>
        <w:spacing w:line="259" w:lineRule="auto"/>
        <w:jc w:val="both"/>
        <w:rPr>
          <w:rFonts w:ascii="Garamond" w:hAnsi="Garamond"/>
          <w:bCs/>
          <w:iCs/>
          <w:sz w:val="20"/>
          <w:szCs w:val="20"/>
          <w:lang w:val="en-GB"/>
        </w:rPr>
      </w:pPr>
      <w:r w:rsidRPr="0092475B">
        <w:rPr>
          <w:rFonts w:ascii="Garamond" w:hAnsi="Garamond"/>
          <w:bCs/>
          <w:iCs/>
          <w:sz w:val="20"/>
          <w:szCs w:val="20"/>
          <w:lang w:val="en-GB"/>
        </w:rPr>
        <w:lastRenderedPageBreak/>
        <w:t xml:space="preserve">Place of residence and family type were independent predictors of inadequate dietary diversity. Adolescents residing in </w:t>
      </w:r>
      <w:proofErr w:type="spellStart"/>
      <w:r w:rsidRPr="0092475B">
        <w:rPr>
          <w:rFonts w:ascii="Garamond" w:hAnsi="Garamond"/>
          <w:bCs/>
          <w:iCs/>
          <w:sz w:val="20"/>
          <w:szCs w:val="20"/>
          <w:lang w:val="en-GB"/>
        </w:rPr>
        <w:t>Dambam</w:t>
      </w:r>
      <w:proofErr w:type="spellEnd"/>
      <w:r w:rsidRPr="0092475B">
        <w:rPr>
          <w:rFonts w:ascii="Garamond" w:hAnsi="Garamond"/>
          <w:bCs/>
          <w:iCs/>
          <w:sz w:val="20"/>
          <w:szCs w:val="20"/>
          <w:lang w:val="en-GB"/>
        </w:rPr>
        <w:t xml:space="preserve"> had higher odds of inadequate dietary diversity, due to several factors such as limited market access, seasonal food availability, and lower household income.</w:t>
      </w:r>
      <w:r w:rsidRPr="0092475B">
        <w:rPr>
          <w:rFonts w:ascii="Garamond" w:hAnsi="Garamond"/>
          <w:bCs/>
          <w:iCs/>
          <w:sz w:val="20"/>
          <w:szCs w:val="20"/>
          <w:vertAlign w:val="superscript"/>
          <w:lang w:val="en-GB"/>
        </w:rPr>
        <w:t>37</w:t>
      </w:r>
      <w:r w:rsidRPr="0092475B">
        <w:rPr>
          <w:rFonts w:ascii="Garamond" w:hAnsi="Garamond"/>
          <w:bCs/>
          <w:iCs/>
          <w:sz w:val="20"/>
          <w:szCs w:val="20"/>
          <w:lang w:val="en-GB"/>
        </w:rPr>
        <w:t xml:space="preserve"> In addition, adolescents from polygamous households experience greater competition for available resources potentially leading to reduced dietary diversity.</w:t>
      </w:r>
      <w:r w:rsidRPr="0092475B">
        <w:rPr>
          <w:rFonts w:ascii="Garamond" w:hAnsi="Garamond"/>
          <w:bCs/>
          <w:iCs/>
          <w:sz w:val="20"/>
          <w:szCs w:val="20"/>
          <w:vertAlign w:val="superscript"/>
          <w:lang w:val="en-GB"/>
        </w:rPr>
        <w:t xml:space="preserve">38 </w:t>
      </w:r>
    </w:p>
    <w:p w14:paraId="33CE247E" w14:textId="77777777" w:rsidR="0092475B" w:rsidRPr="0092475B" w:rsidRDefault="0092475B" w:rsidP="0092475B">
      <w:pPr>
        <w:spacing w:line="259" w:lineRule="auto"/>
        <w:jc w:val="both"/>
        <w:rPr>
          <w:rFonts w:ascii="Garamond" w:hAnsi="Garamond"/>
          <w:bCs/>
          <w:iCs/>
          <w:sz w:val="20"/>
          <w:szCs w:val="20"/>
          <w:lang w:val="en-GB"/>
        </w:rPr>
      </w:pPr>
      <w:r w:rsidRPr="0092475B">
        <w:rPr>
          <w:rFonts w:ascii="Garamond" w:hAnsi="Garamond"/>
          <w:bCs/>
          <w:iCs/>
          <w:sz w:val="20"/>
          <w:szCs w:val="20"/>
          <w:lang w:val="en-GB"/>
        </w:rPr>
        <w:t>Several limitations have been observed in this study that should be acknowledged. The cross-sectional design limits the ability to establish causal relationships between nutrition knowledge, dietary practices, and nutritional status because exposures and outcomes were evaluated at a single time point in the study.</w:t>
      </w:r>
    </w:p>
    <w:p w14:paraId="44EEAA57" w14:textId="19FB4ADB" w:rsidR="0092475B" w:rsidRDefault="0092475B" w:rsidP="0092475B">
      <w:pPr>
        <w:spacing w:line="259" w:lineRule="auto"/>
        <w:jc w:val="both"/>
        <w:rPr>
          <w:rFonts w:ascii="Garamond" w:hAnsi="Garamond"/>
          <w:bCs/>
          <w:iCs/>
          <w:sz w:val="20"/>
          <w:szCs w:val="20"/>
          <w:lang w:val="en-GB"/>
        </w:rPr>
      </w:pPr>
      <w:r w:rsidRPr="0092475B">
        <w:rPr>
          <w:rFonts w:ascii="Garamond" w:hAnsi="Garamond"/>
          <w:bCs/>
          <w:iCs/>
          <w:sz w:val="20"/>
          <w:szCs w:val="20"/>
          <w:lang w:val="en-GB"/>
        </w:rPr>
        <w:t>The selection of pregnant adolescents from selected primary health centres of Bauchi State introduced selection bias thus limiting the generalisability of the findings.</w:t>
      </w:r>
    </w:p>
    <w:p w14:paraId="719BD4EC" w14:textId="7D17DC89" w:rsidR="0092475B" w:rsidRDefault="0092475B" w:rsidP="0092475B">
      <w:pPr>
        <w:spacing w:line="259" w:lineRule="auto"/>
        <w:jc w:val="both"/>
        <w:rPr>
          <w:rFonts w:ascii="Garamond" w:hAnsi="Garamond"/>
          <w:bCs/>
          <w:iCs/>
          <w:sz w:val="20"/>
          <w:szCs w:val="20"/>
          <w:lang w:val="en-GB"/>
        </w:rPr>
      </w:pPr>
      <w:r w:rsidRPr="0092475B">
        <w:rPr>
          <w:rFonts w:ascii="Garamond" w:hAnsi="Garamond"/>
          <w:bCs/>
          <w:iCs/>
          <w:sz w:val="20"/>
          <w:szCs w:val="20"/>
          <w:lang w:val="en-GB"/>
        </w:rPr>
        <w:t>Dietary intake was assessed through self-report, which may be subject to recall bias. There is also the potential for social desirability bias, where can respondents report behaviours perceived as favourable, such as consumption of a wide variety of foods or adherence to supplementation.</w:t>
      </w:r>
    </w:p>
    <w:p w14:paraId="562709AD" w14:textId="130994BD" w:rsidR="0092475B" w:rsidRPr="0092475B" w:rsidRDefault="0092475B" w:rsidP="0092475B">
      <w:pPr>
        <w:spacing w:line="259" w:lineRule="auto"/>
        <w:jc w:val="both"/>
        <w:rPr>
          <w:rFonts w:ascii="Garamond" w:hAnsi="Garamond"/>
          <w:bCs/>
          <w:iCs/>
          <w:sz w:val="20"/>
          <w:szCs w:val="20"/>
          <w:lang w:val="en-GB"/>
        </w:rPr>
      </w:pPr>
      <w:r w:rsidRPr="0092475B">
        <w:rPr>
          <w:rFonts w:ascii="Garamond" w:hAnsi="Garamond"/>
          <w:bCs/>
          <w:iCs/>
          <w:sz w:val="20"/>
          <w:szCs w:val="20"/>
          <w:lang w:val="en-GB"/>
        </w:rPr>
        <w:t>Dietary diversity and nutrition knowledge were assessed using questionnaire-based tools, which may not capture factual dietary practices introducing measurement bias. Furthermore, seasonal variations in food availability and consumption patterns have the ability to influence dietary diversity since data was collected at a single time point (seasonal bias).</w:t>
      </w:r>
    </w:p>
    <w:p w14:paraId="141AA9C3" w14:textId="77777777" w:rsidR="0092475B" w:rsidRDefault="0092475B" w:rsidP="0092475B">
      <w:pPr>
        <w:spacing w:line="259" w:lineRule="auto"/>
        <w:jc w:val="both"/>
        <w:rPr>
          <w:rFonts w:ascii="Garamond" w:hAnsi="Garamond"/>
          <w:bCs/>
          <w:iCs/>
          <w:sz w:val="20"/>
          <w:szCs w:val="20"/>
          <w:lang w:val="en-GB"/>
        </w:rPr>
      </w:pPr>
    </w:p>
    <w:p w14:paraId="32AB1FC5" w14:textId="02445FC5" w:rsidR="0092475B" w:rsidRPr="0092475B" w:rsidRDefault="0092475B" w:rsidP="0092475B">
      <w:pPr>
        <w:spacing w:line="259" w:lineRule="auto"/>
        <w:jc w:val="both"/>
        <w:rPr>
          <w:rFonts w:ascii="Garamond" w:hAnsi="Garamond"/>
          <w:bCs/>
          <w:iCs/>
          <w:sz w:val="20"/>
          <w:szCs w:val="20"/>
          <w:lang w:val="en-GB"/>
        </w:rPr>
      </w:pPr>
      <w:r w:rsidRPr="0092475B">
        <w:rPr>
          <w:rFonts w:ascii="Garamond" w:hAnsi="Garamond"/>
          <w:bCs/>
          <w:iCs/>
          <w:sz w:val="20"/>
          <w:szCs w:val="20"/>
          <w:lang w:val="en-GB"/>
        </w:rPr>
        <w:t xml:space="preserve">The limited range of biochemical indicators assessed does not comprehensively reflect the overall micronutrient status of pregnant adolescent girls. </w:t>
      </w:r>
    </w:p>
    <w:p w14:paraId="69EE8DF3" w14:textId="77777777" w:rsidR="0092475B" w:rsidRPr="0092475B" w:rsidRDefault="0092475B" w:rsidP="0092475B">
      <w:pPr>
        <w:spacing w:line="259" w:lineRule="auto"/>
        <w:jc w:val="both"/>
        <w:rPr>
          <w:rFonts w:ascii="Garamond" w:hAnsi="Garamond"/>
          <w:b/>
          <w:bCs/>
          <w:iCs/>
          <w:sz w:val="20"/>
          <w:szCs w:val="20"/>
          <w:lang w:val="en-GB"/>
        </w:rPr>
      </w:pPr>
      <w:r w:rsidRPr="0092475B">
        <w:rPr>
          <w:rFonts w:ascii="Garamond" w:hAnsi="Garamond"/>
          <w:bCs/>
          <w:iCs/>
          <w:sz w:val="20"/>
          <w:szCs w:val="20"/>
          <w:lang w:val="en-GB"/>
        </w:rPr>
        <w:t>Further research should be conducted to understand changes in dietary intake and nutritional status throughout pregnancy. Furthermore, more micronutrient biomarkers should be studied because this would provide a more comprehensive evaluation of maternal nutritional status.</w:t>
      </w:r>
    </w:p>
    <w:p w14:paraId="43BE7A31" w14:textId="77777777" w:rsidR="0092475B" w:rsidRDefault="0092475B" w:rsidP="0092475B">
      <w:pPr>
        <w:spacing w:line="259" w:lineRule="auto"/>
        <w:jc w:val="both"/>
        <w:rPr>
          <w:rFonts w:ascii="Garamond" w:hAnsi="Garamond"/>
          <w:b/>
          <w:bCs/>
          <w:iCs/>
          <w:sz w:val="20"/>
          <w:szCs w:val="20"/>
          <w:lang w:val="en-GB"/>
        </w:rPr>
      </w:pPr>
    </w:p>
    <w:p w14:paraId="7FC884C1" w14:textId="76582769" w:rsidR="0092475B" w:rsidRPr="0092475B" w:rsidRDefault="00F50B84" w:rsidP="0092475B">
      <w:pPr>
        <w:spacing w:line="259" w:lineRule="auto"/>
        <w:jc w:val="both"/>
        <w:rPr>
          <w:rFonts w:ascii="Garamond" w:hAnsi="Garamond"/>
          <w:bCs/>
          <w:iCs/>
          <w:sz w:val="20"/>
          <w:szCs w:val="20"/>
          <w:lang w:val="en-GB"/>
        </w:rPr>
      </w:pPr>
      <w:r w:rsidRPr="0092475B">
        <w:rPr>
          <w:rFonts w:ascii="Garamond" w:hAnsi="Garamond"/>
          <w:b/>
          <w:bCs/>
          <w:iCs/>
          <w:sz w:val="22"/>
          <w:szCs w:val="22"/>
          <w:lang w:val="en-GB"/>
        </w:rPr>
        <w:t>CONCLUSION</w:t>
      </w:r>
      <w:r w:rsidRPr="0092475B">
        <w:rPr>
          <w:rFonts w:ascii="Garamond" w:hAnsi="Garamond"/>
          <w:b/>
          <w:bCs/>
          <w:iCs/>
          <w:sz w:val="20"/>
          <w:szCs w:val="20"/>
          <w:lang w:val="en-GB"/>
        </w:rPr>
        <w:br/>
      </w:r>
      <w:r w:rsidR="0092475B" w:rsidRPr="0092475B">
        <w:rPr>
          <w:rFonts w:ascii="Garamond" w:hAnsi="Garamond"/>
          <w:bCs/>
          <w:iCs/>
          <w:sz w:val="20"/>
          <w:szCs w:val="20"/>
          <w:lang w:val="en-GB"/>
        </w:rPr>
        <w:t xml:space="preserve">This study contributes to the limited evidence on nutritional status of pregnant adolescents in Northern Nigeria through the incorporation of a comprehensive assessment that includes nutrition knowledge, dietary diversity, anthropometric and biochemical indicators. </w:t>
      </w:r>
      <w:r w:rsidR="0092475B" w:rsidRPr="0092475B">
        <w:rPr>
          <w:rFonts w:ascii="Garamond" w:hAnsi="Garamond"/>
          <w:bCs/>
          <w:iCs/>
          <w:sz w:val="20"/>
          <w:szCs w:val="20"/>
          <w:lang w:val="en-GB"/>
        </w:rPr>
        <w:t xml:space="preserve">Despite relatively high nutrition knowledge levels, a substantial proportion of study participants had inadequate dietary diversity and a high prevalence of undernutrition, highlighting a significant knowledge–practice gap. These findings highlight the need for integrated maternal nutrition approaches that support adolescent mothers. Efforts should go beyond health education to prioritizing improvement in access to affordable, locally available nutrient-dense foods, strengthening adolescent-friendly antenatal services and enhancing context-specific dietary counselling. Clinically, routine nutritional screening during antenatal care should be a top priority and simple anthropometric tools such as MUAC should be used for early identification and management of malnutrition. </w:t>
      </w:r>
    </w:p>
    <w:p w14:paraId="1B260DD7" w14:textId="77777777" w:rsidR="0092475B" w:rsidRDefault="0092475B" w:rsidP="0092475B">
      <w:pPr>
        <w:spacing w:line="259" w:lineRule="auto"/>
        <w:jc w:val="both"/>
        <w:rPr>
          <w:rFonts w:ascii="Garamond" w:hAnsi="Garamond"/>
          <w:b/>
          <w:bCs/>
          <w:iCs/>
          <w:sz w:val="20"/>
          <w:szCs w:val="20"/>
          <w:lang w:val="en-GB"/>
        </w:rPr>
      </w:pPr>
    </w:p>
    <w:p w14:paraId="6644198C" w14:textId="315496CA" w:rsidR="00F50B84" w:rsidRPr="00F50B84" w:rsidRDefault="00F50B84" w:rsidP="0092475B">
      <w:pPr>
        <w:spacing w:line="259" w:lineRule="auto"/>
        <w:jc w:val="both"/>
        <w:rPr>
          <w:rFonts w:ascii="Garamond" w:hAnsi="Garamond"/>
          <w:b/>
          <w:bCs/>
          <w:iCs/>
          <w:sz w:val="22"/>
          <w:szCs w:val="22"/>
          <w:lang w:val="en-GB"/>
        </w:rPr>
      </w:pPr>
      <w:r w:rsidRPr="00F50B84">
        <w:rPr>
          <w:rFonts w:ascii="Garamond" w:hAnsi="Garamond"/>
          <w:b/>
          <w:bCs/>
          <w:iCs/>
          <w:sz w:val="22"/>
          <w:szCs w:val="22"/>
          <w:lang w:val="en-GB"/>
        </w:rPr>
        <w:t>Declarations</w:t>
      </w:r>
    </w:p>
    <w:p w14:paraId="47D3F714" w14:textId="7C17EE53" w:rsidR="0092475B" w:rsidRPr="00F50B84" w:rsidRDefault="0092475B" w:rsidP="0092475B">
      <w:pPr>
        <w:spacing w:line="259" w:lineRule="auto"/>
        <w:jc w:val="both"/>
        <w:rPr>
          <w:rFonts w:ascii="Garamond" w:hAnsi="Garamond"/>
          <w:bCs/>
          <w:iCs/>
          <w:sz w:val="20"/>
          <w:szCs w:val="20"/>
          <w:lang w:val="en-GB"/>
        </w:rPr>
      </w:pPr>
      <w:r w:rsidRPr="00F50B84">
        <w:rPr>
          <w:rFonts w:ascii="Garamond" w:hAnsi="Garamond"/>
          <w:b/>
          <w:bCs/>
          <w:i/>
          <w:sz w:val="20"/>
          <w:szCs w:val="20"/>
          <w:lang w:val="en-GB"/>
        </w:rPr>
        <w:t>Authors’ Contributions</w:t>
      </w:r>
      <w:r w:rsidR="00F50B84" w:rsidRPr="00F50B84">
        <w:rPr>
          <w:rFonts w:ascii="Garamond" w:hAnsi="Garamond"/>
          <w:b/>
          <w:bCs/>
          <w:i/>
          <w:sz w:val="20"/>
          <w:szCs w:val="20"/>
          <w:lang w:val="en-GB"/>
        </w:rPr>
        <w:t>:</w:t>
      </w:r>
      <w:r w:rsidR="00F50B84">
        <w:rPr>
          <w:rFonts w:ascii="Garamond" w:hAnsi="Garamond"/>
          <w:b/>
          <w:bCs/>
          <w:iCs/>
          <w:sz w:val="20"/>
          <w:szCs w:val="20"/>
          <w:lang w:val="en-GB"/>
        </w:rPr>
        <w:t xml:space="preserve"> </w:t>
      </w:r>
      <w:r w:rsidRPr="0092475B">
        <w:rPr>
          <w:rFonts w:ascii="Garamond" w:hAnsi="Garamond"/>
          <w:bCs/>
          <w:iCs/>
          <w:sz w:val="20"/>
          <w:szCs w:val="20"/>
          <w:lang w:val="en-GB"/>
        </w:rPr>
        <w:t>OUCN conceptualized the study, designed the methodology, collected and analysed the data, and drafted the manuscript. AK provided overall critical guidance on study design, and substantial revision of the manuscript. AI provided methodological support and technical input during data analysis and manuscript review. GMP contributed to data collection, literature review, and initial drafting of the results section. AEO assisted with data entry, proofreading, and final manuscript formatting. All authors have read and approved the final version of the manuscript and agree to be accountable for all aspects of the work.</w:t>
      </w:r>
    </w:p>
    <w:p w14:paraId="442F55D4" w14:textId="32A4ECA9" w:rsidR="0092475B" w:rsidRPr="0092475B" w:rsidRDefault="0092475B" w:rsidP="0092475B">
      <w:pPr>
        <w:spacing w:line="259" w:lineRule="auto"/>
        <w:jc w:val="both"/>
        <w:rPr>
          <w:rFonts w:ascii="Garamond" w:hAnsi="Garamond"/>
          <w:bCs/>
          <w:iCs/>
          <w:sz w:val="20"/>
          <w:szCs w:val="20"/>
          <w:lang w:val="en-GB"/>
        </w:rPr>
      </w:pPr>
      <w:r w:rsidRPr="00F50B84">
        <w:rPr>
          <w:rFonts w:ascii="Garamond" w:hAnsi="Garamond"/>
          <w:b/>
          <w:bCs/>
          <w:i/>
          <w:sz w:val="20"/>
          <w:szCs w:val="20"/>
          <w:lang w:val="en-GB"/>
        </w:rPr>
        <w:t>Funding</w:t>
      </w:r>
      <w:r w:rsidR="00F50B84">
        <w:rPr>
          <w:rFonts w:ascii="Garamond" w:hAnsi="Garamond"/>
          <w:b/>
          <w:bCs/>
          <w:iCs/>
          <w:sz w:val="20"/>
          <w:szCs w:val="20"/>
          <w:lang w:val="en-GB"/>
        </w:rPr>
        <w:t xml:space="preserve">: </w:t>
      </w:r>
      <w:r w:rsidRPr="0092475B">
        <w:rPr>
          <w:rFonts w:ascii="Garamond" w:hAnsi="Garamond"/>
          <w:bCs/>
          <w:iCs/>
          <w:sz w:val="20"/>
          <w:szCs w:val="20"/>
          <w:lang w:val="en-GB"/>
        </w:rPr>
        <w:t>The author(s) received no financial support or grant for the research.</w:t>
      </w:r>
    </w:p>
    <w:p w14:paraId="60739500" w14:textId="31299838" w:rsidR="0092475B" w:rsidRPr="005C0FDE" w:rsidRDefault="0092475B" w:rsidP="0092475B">
      <w:pPr>
        <w:spacing w:line="259" w:lineRule="auto"/>
        <w:jc w:val="both"/>
        <w:rPr>
          <w:rFonts w:ascii="Garamond" w:hAnsi="Garamond"/>
          <w:b/>
          <w:bCs/>
          <w:iCs/>
          <w:sz w:val="20"/>
          <w:szCs w:val="20"/>
          <w:highlight w:val="yellow"/>
          <w:lang w:val="en-GB"/>
        </w:rPr>
      </w:pPr>
      <w:r w:rsidRPr="00300ECA">
        <w:rPr>
          <w:rFonts w:ascii="Garamond" w:hAnsi="Garamond"/>
          <w:b/>
          <w:bCs/>
          <w:i/>
          <w:sz w:val="20"/>
          <w:szCs w:val="20"/>
          <w:lang w:val="en-GB"/>
        </w:rPr>
        <w:t>Conflicts of Interest Declaration:</w:t>
      </w:r>
      <w:r w:rsidR="00F50B84" w:rsidRPr="00300ECA">
        <w:rPr>
          <w:rFonts w:ascii="Garamond" w:hAnsi="Garamond"/>
          <w:b/>
          <w:bCs/>
          <w:iCs/>
          <w:sz w:val="20"/>
          <w:szCs w:val="20"/>
          <w:lang w:val="en-GB"/>
        </w:rPr>
        <w:t xml:space="preserve"> </w:t>
      </w:r>
      <w:r w:rsidR="00300ECA" w:rsidRPr="00105DB3">
        <w:rPr>
          <w:rFonts w:ascii="Garamond" w:hAnsi="Garamond" w:cs="Times New Roman"/>
          <w:sz w:val="20"/>
          <w:szCs w:val="20"/>
        </w:rPr>
        <w:t>The authors declare no conflict of interest</w:t>
      </w:r>
      <w:r w:rsidR="00300ECA">
        <w:rPr>
          <w:rFonts w:ascii="Garamond" w:hAnsi="Garamond" w:cs="Times New Roman"/>
          <w:sz w:val="20"/>
          <w:szCs w:val="20"/>
        </w:rPr>
        <w:t>.</w:t>
      </w:r>
    </w:p>
    <w:p w14:paraId="4D281224" w14:textId="5883915A" w:rsidR="0092475B" w:rsidRPr="005C0FDE" w:rsidRDefault="0092475B" w:rsidP="0092475B">
      <w:pPr>
        <w:spacing w:line="259" w:lineRule="auto"/>
        <w:jc w:val="both"/>
        <w:rPr>
          <w:rFonts w:ascii="Garamond" w:hAnsi="Garamond"/>
          <w:b/>
          <w:bCs/>
          <w:iCs/>
          <w:sz w:val="20"/>
          <w:szCs w:val="20"/>
          <w:lang w:val="en-GB"/>
        </w:rPr>
      </w:pPr>
      <w:r w:rsidRPr="00300ECA">
        <w:rPr>
          <w:rFonts w:ascii="Garamond" w:hAnsi="Garamond"/>
          <w:b/>
          <w:bCs/>
          <w:i/>
          <w:sz w:val="20"/>
          <w:szCs w:val="20"/>
          <w:lang w:val="en-GB"/>
        </w:rPr>
        <w:t>Acknowledgements</w:t>
      </w:r>
      <w:r w:rsidR="00F50B84" w:rsidRPr="00300ECA">
        <w:rPr>
          <w:rFonts w:ascii="Garamond" w:hAnsi="Garamond"/>
          <w:b/>
          <w:bCs/>
          <w:i/>
          <w:sz w:val="20"/>
          <w:szCs w:val="20"/>
          <w:lang w:val="en-GB"/>
        </w:rPr>
        <w:t>:</w:t>
      </w:r>
      <w:r w:rsidR="00F50B84">
        <w:rPr>
          <w:rFonts w:ascii="Garamond" w:hAnsi="Garamond"/>
          <w:b/>
          <w:bCs/>
          <w:iCs/>
          <w:sz w:val="20"/>
          <w:szCs w:val="20"/>
          <w:lang w:val="en-GB"/>
        </w:rPr>
        <w:t xml:space="preserve"> </w:t>
      </w:r>
      <w:r w:rsidR="00300ECA" w:rsidRPr="00105DB3">
        <w:rPr>
          <w:rFonts w:ascii="Garamond" w:hAnsi="Garamond" w:cs="Times New Roman"/>
          <w:sz w:val="20"/>
          <w:szCs w:val="20"/>
        </w:rPr>
        <w:t>The authors sincerely thank the Bauchi State Primary Health Care Development Board, the Bauchi State Ministry of Health, Healthcare Workers and staff of the selected health facilities in Bauchi State and the study participants for their support and cooperation during data collection.</w:t>
      </w:r>
    </w:p>
    <w:p w14:paraId="43EA22AB" w14:textId="77777777" w:rsidR="0092475B" w:rsidRDefault="0092475B" w:rsidP="0092475B">
      <w:pPr>
        <w:spacing w:line="259" w:lineRule="auto"/>
        <w:jc w:val="both"/>
        <w:rPr>
          <w:rFonts w:ascii="Garamond" w:hAnsi="Garamond"/>
          <w:bCs/>
          <w:iCs/>
          <w:sz w:val="20"/>
          <w:szCs w:val="20"/>
          <w:lang w:val="en-GB"/>
        </w:rPr>
      </w:pPr>
    </w:p>
    <w:p w14:paraId="28DCA557" w14:textId="1231C321" w:rsidR="0092475B" w:rsidRPr="0092475B" w:rsidRDefault="00F50B84" w:rsidP="0092475B">
      <w:pPr>
        <w:spacing w:line="259" w:lineRule="auto"/>
        <w:jc w:val="both"/>
        <w:rPr>
          <w:rFonts w:ascii="Garamond" w:hAnsi="Garamond"/>
          <w:b/>
          <w:bCs/>
          <w:iCs/>
          <w:sz w:val="22"/>
          <w:szCs w:val="22"/>
          <w:lang w:val="en-GB"/>
        </w:rPr>
      </w:pPr>
      <w:r w:rsidRPr="0092475B">
        <w:rPr>
          <w:rFonts w:ascii="Garamond" w:hAnsi="Garamond"/>
          <w:b/>
          <w:bCs/>
          <w:iCs/>
          <w:sz w:val="22"/>
          <w:szCs w:val="22"/>
          <w:lang w:val="en-GB"/>
        </w:rPr>
        <w:t xml:space="preserve">REFERENCES </w:t>
      </w:r>
    </w:p>
    <w:p w14:paraId="33BFD20C"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proofErr w:type="spellStart"/>
      <w:r w:rsidRPr="00F50B84">
        <w:rPr>
          <w:rFonts w:ascii="Garamond" w:hAnsi="Garamond"/>
          <w:bCs/>
          <w:iCs/>
          <w:sz w:val="20"/>
          <w:szCs w:val="20"/>
          <w:lang w:val="en-GB"/>
        </w:rPr>
        <w:t>Kabahenda</w:t>
      </w:r>
      <w:proofErr w:type="spellEnd"/>
      <w:r w:rsidRPr="00F50B84">
        <w:rPr>
          <w:rFonts w:ascii="Garamond" w:hAnsi="Garamond"/>
          <w:bCs/>
          <w:iCs/>
          <w:sz w:val="20"/>
          <w:szCs w:val="20"/>
          <w:lang w:val="en-GB"/>
        </w:rPr>
        <w:t xml:space="preserve"> MK, Stoecker BJ. Associations between maternal dietary intake and nutritional status with </w:t>
      </w:r>
      <w:proofErr w:type="spellStart"/>
      <w:r w:rsidRPr="00F50B84">
        <w:rPr>
          <w:rFonts w:ascii="Garamond" w:hAnsi="Garamond"/>
          <w:bCs/>
          <w:iCs/>
          <w:sz w:val="20"/>
          <w:szCs w:val="20"/>
          <w:lang w:val="en-GB"/>
        </w:rPr>
        <w:t>fetal</w:t>
      </w:r>
      <w:proofErr w:type="spellEnd"/>
      <w:r w:rsidRPr="00F50B84">
        <w:rPr>
          <w:rFonts w:ascii="Garamond" w:hAnsi="Garamond"/>
          <w:bCs/>
          <w:iCs/>
          <w:sz w:val="20"/>
          <w:szCs w:val="20"/>
          <w:lang w:val="en-GB"/>
        </w:rPr>
        <w:t xml:space="preserve"> growth at 14 to 26 weeks’ gestation: a cross-sectional study. </w:t>
      </w:r>
      <w:r w:rsidRPr="00F50B84">
        <w:rPr>
          <w:rFonts w:ascii="Garamond" w:hAnsi="Garamond"/>
          <w:bCs/>
          <w:i/>
          <w:iCs/>
          <w:sz w:val="20"/>
          <w:szCs w:val="20"/>
          <w:lang w:val="en-GB"/>
        </w:rPr>
        <w:t xml:space="preserve">BMC </w:t>
      </w:r>
      <w:proofErr w:type="spellStart"/>
      <w:r w:rsidRPr="00F50B84">
        <w:rPr>
          <w:rFonts w:ascii="Garamond" w:hAnsi="Garamond"/>
          <w:bCs/>
          <w:i/>
          <w:iCs/>
          <w:sz w:val="20"/>
          <w:szCs w:val="20"/>
          <w:lang w:val="en-GB"/>
        </w:rPr>
        <w:t>Nutr</w:t>
      </w:r>
      <w:proofErr w:type="spellEnd"/>
      <w:r w:rsidRPr="00F50B84">
        <w:rPr>
          <w:rFonts w:ascii="Garamond" w:hAnsi="Garamond"/>
          <w:bCs/>
          <w:iCs/>
          <w:sz w:val="20"/>
          <w:szCs w:val="20"/>
          <w:lang w:val="en-GB"/>
        </w:rPr>
        <w:t>. 2024;10(1):77. doi:10.1186/s40795-024-00885-3.</w:t>
      </w:r>
    </w:p>
    <w:p w14:paraId="60E9EF39"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Brink LR, Bender TM, Davies R, et al. Optimizing maternal nutrition: the importance of a tailored approach. </w:t>
      </w:r>
      <w:r w:rsidRPr="00F50B84">
        <w:rPr>
          <w:rFonts w:ascii="Garamond" w:hAnsi="Garamond"/>
          <w:bCs/>
          <w:i/>
          <w:iCs/>
          <w:sz w:val="20"/>
          <w:szCs w:val="20"/>
          <w:lang w:val="en-GB"/>
        </w:rPr>
        <w:t>Curr Dev Nutr</w:t>
      </w:r>
      <w:r w:rsidRPr="00F50B84">
        <w:rPr>
          <w:rFonts w:ascii="Garamond" w:hAnsi="Garamond"/>
          <w:bCs/>
          <w:iCs/>
          <w:sz w:val="20"/>
          <w:szCs w:val="20"/>
          <w:lang w:val="en-GB"/>
        </w:rPr>
        <w:t>. 2022;6(9</w:t>
      </w:r>
      <w:proofErr w:type="gramStart"/>
      <w:r w:rsidRPr="00F50B84">
        <w:rPr>
          <w:rFonts w:ascii="Garamond" w:hAnsi="Garamond"/>
          <w:bCs/>
          <w:iCs/>
          <w:sz w:val="20"/>
          <w:szCs w:val="20"/>
          <w:lang w:val="en-GB"/>
        </w:rPr>
        <w:t>):nzac</w:t>
      </w:r>
      <w:proofErr w:type="gramEnd"/>
      <w:r w:rsidRPr="00F50B84">
        <w:rPr>
          <w:rFonts w:ascii="Garamond" w:hAnsi="Garamond"/>
          <w:bCs/>
          <w:iCs/>
          <w:sz w:val="20"/>
          <w:szCs w:val="20"/>
          <w:lang w:val="en-GB"/>
        </w:rPr>
        <w:t>118. doi:10.1093/</w:t>
      </w:r>
      <w:proofErr w:type="spellStart"/>
      <w:r w:rsidRPr="00F50B84">
        <w:rPr>
          <w:rFonts w:ascii="Garamond" w:hAnsi="Garamond"/>
          <w:bCs/>
          <w:iCs/>
          <w:sz w:val="20"/>
          <w:szCs w:val="20"/>
          <w:lang w:val="en-GB"/>
        </w:rPr>
        <w:t>cdn</w:t>
      </w:r>
      <w:proofErr w:type="spellEnd"/>
      <w:r w:rsidRPr="00F50B84">
        <w:rPr>
          <w:rFonts w:ascii="Garamond" w:hAnsi="Garamond"/>
          <w:bCs/>
          <w:iCs/>
          <w:sz w:val="20"/>
          <w:szCs w:val="20"/>
          <w:lang w:val="en-GB"/>
        </w:rPr>
        <w:t>/nzac118.</w:t>
      </w:r>
    </w:p>
    <w:p w14:paraId="098B47E2"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proofErr w:type="spellStart"/>
      <w:r w:rsidRPr="00F50B84">
        <w:rPr>
          <w:rFonts w:ascii="Garamond" w:hAnsi="Garamond"/>
          <w:bCs/>
          <w:iCs/>
          <w:sz w:val="20"/>
          <w:szCs w:val="20"/>
          <w:lang w:val="en-GB"/>
        </w:rPr>
        <w:lastRenderedPageBreak/>
        <w:t>Ohaja</w:t>
      </w:r>
      <w:proofErr w:type="spellEnd"/>
      <w:r w:rsidRPr="00F50B84">
        <w:rPr>
          <w:rFonts w:ascii="Garamond" w:hAnsi="Garamond"/>
          <w:bCs/>
          <w:iCs/>
          <w:sz w:val="20"/>
          <w:szCs w:val="20"/>
          <w:lang w:val="en-GB"/>
        </w:rPr>
        <w:t xml:space="preserve"> M, </w:t>
      </w:r>
      <w:proofErr w:type="spellStart"/>
      <w:r w:rsidRPr="00F50B84">
        <w:rPr>
          <w:rFonts w:ascii="Garamond" w:hAnsi="Garamond"/>
          <w:bCs/>
          <w:iCs/>
          <w:sz w:val="20"/>
          <w:szCs w:val="20"/>
          <w:lang w:val="en-GB"/>
        </w:rPr>
        <w:t>Anyim</w:t>
      </w:r>
      <w:proofErr w:type="spellEnd"/>
      <w:r w:rsidRPr="00F50B84">
        <w:rPr>
          <w:rFonts w:ascii="Garamond" w:hAnsi="Garamond"/>
          <w:bCs/>
          <w:iCs/>
          <w:sz w:val="20"/>
          <w:szCs w:val="20"/>
          <w:lang w:val="en-GB"/>
        </w:rPr>
        <w:t xml:space="preserve"> C. Rituals and embodied cultural practices at the beginning of life: African perspectives. </w:t>
      </w:r>
      <w:r w:rsidRPr="00F50B84">
        <w:rPr>
          <w:rFonts w:ascii="Garamond" w:hAnsi="Garamond"/>
          <w:bCs/>
          <w:i/>
          <w:iCs/>
          <w:sz w:val="20"/>
          <w:szCs w:val="20"/>
          <w:lang w:val="en-GB"/>
        </w:rPr>
        <w:t>Religions</w:t>
      </w:r>
      <w:r w:rsidRPr="00F50B84">
        <w:rPr>
          <w:rFonts w:ascii="Garamond" w:hAnsi="Garamond"/>
          <w:bCs/>
          <w:iCs/>
          <w:sz w:val="20"/>
          <w:szCs w:val="20"/>
          <w:lang w:val="en-GB"/>
        </w:rPr>
        <w:t>. 2021;12(11):1024. doi:10.3390/rel12111024.</w:t>
      </w:r>
    </w:p>
    <w:p w14:paraId="3F516B57"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proofErr w:type="spellStart"/>
      <w:r w:rsidRPr="00F50B84">
        <w:rPr>
          <w:rFonts w:ascii="Garamond" w:hAnsi="Garamond"/>
          <w:bCs/>
          <w:iCs/>
          <w:sz w:val="20"/>
          <w:szCs w:val="20"/>
          <w:lang w:val="en-GB"/>
        </w:rPr>
        <w:t>Ntshayintshayi</w:t>
      </w:r>
      <w:proofErr w:type="spellEnd"/>
      <w:r w:rsidRPr="00F50B84">
        <w:rPr>
          <w:rFonts w:ascii="Garamond" w:hAnsi="Garamond"/>
          <w:bCs/>
          <w:iCs/>
          <w:sz w:val="20"/>
          <w:szCs w:val="20"/>
          <w:lang w:val="en-GB"/>
        </w:rPr>
        <w:t xml:space="preserve"> PN, </w:t>
      </w:r>
      <w:proofErr w:type="spellStart"/>
      <w:r w:rsidRPr="00F50B84">
        <w:rPr>
          <w:rFonts w:ascii="Garamond" w:hAnsi="Garamond"/>
          <w:bCs/>
          <w:iCs/>
          <w:sz w:val="20"/>
          <w:szCs w:val="20"/>
          <w:lang w:val="en-GB"/>
        </w:rPr>
        <w:t>Sehularo</w:t>
      </w:r>
      <w:proofErr w:type="spellEnd"/>
      <w:r w:rsidRPr="00F50B84">
        <w:rPr>
          <w:rFonts w:ascii="Garamond" w:hAnsi="Garamond"/>
          <w:bCs/>
          <w:iCs/>
          <w:sz w:val="20"/>
          <w:szCs w:val="20"/>
          <w:lang w:val="en-GB"/>
        </w:rPr>
        <w:t xml:space="preserve"> LA, </w:t>
      </w:r>
      <w:proofErr w:type="spellStart"/>
      <w:r w:rsidRPr="00F50B84">
        <w:rPr>
          <w:rFonts w:ascii="Garamond" w:hAnsi="Garamond"/>
          <w:bCs/>
          <w:iCs/>
          <w:sz w:val="20"/>
          <w:szCs w:val="20"/>
          <w:lang w:val="en-GB"/>
        </w:rPr>
        <w:t>Mokgaola</w:t>
      </w:r>
      <w:proofErr w:type="spellEnd"/>
      <w:r w:rsidRPr="00F50B84">
        <w:rPr>
          <w:rFonts w:ascii="Garamond" w:hAnsi="Garamond"/>
          <w:bCs/>
          <w:iCs/>
          <w:sz w:val="20"/>
          <w:szCs w:val="20"/>
          <w:lang w:val="en-GB"/>
        </w:rPr>
        <w:t xml:space="preserve"> IO, </w:t>
      </w:r>
      <w:proofErr w:type="spellStart"/>
      <w:r w:rsidRPr="00F50B84">
        <w:rPr>
          <w:rFonts w:ascii="Garamond" w:hAnsi="Garamond"/>
          <w:bCs/>
          <w:iCs/>
          <w:sz w:val="20"/>
          <w:szCs w:val="20"/>
          <w:lang w:val="en-GB"/>
        </w:rPr>
        <w:t>Sepeng</w:t>
      </w:r>
      <w:proofErr w:type="spellEnd"/>
      <w:r w:rsidRPr="00F50B84">
        <w:rPr>
          <w:rFonts w:ascii="Garamond" w:hAnsi="Garamond"/>
          <w:bCs/>
          <w:iCs/>
          <w:sz w:val="20"/>
          <w:szCs w:val="20"/>
          <w:lang w:val="en-GB"/>
        </w:rPr>
        <w:t xml:space="preserve"> NV. Exploring the psychosocial challenges faced by pregnant teenagers in Ditsobotla subdistrict. </w:t>
      </w:r>
      <w:r w:rsidRPr="00F50B84">
        <w:rPr>
          <w:rFonts w:ascii="Garamond" w:hAnsi="Garamond"/>
          <w:bCs/>
          <w:i/>
          <w:iCs/>
          <w:sz w:val="20"/>
          <w:szCs w:val="20"/>
          <w:lang w:val="en-GB"/>
        </w:rPr>
        <w:t>Health SA</w:t>
      </w:r>
      <w:r w:rsidRPr="00F50B84">
        <w:rPr>
          <w:rFonts w:ascii="Garamond" w:hAnsi="Garamond"/>
          <w:bCs/>
          <w:iCs/>
          <w:sz w:val="20"/>
          <w:szCs w:val="20"/>
          <w:lang w:val="en-GB"/>
        </w:rPr>
        <w:t xml:space="preserve">. </w:t>
      </w:r>
      <w:proofErr w:type="gramStart"/>
      <w:r w:rsidRPr="00F50B84">
        <w:rPr>
          <w:rFonts w:ascii="Garamond" w:hAnsi="Garamond"/>
          <w:bCs/>
          <w:iCs/>
          <w:sz w:val="20"/>
          <w:szCs w:val="20"/>
          <w:lang w:val="en-GB"/>
        </w:rPr>
        <w:t>2022;27:1880</w:t>
      </w:r>
      <w:proofErr w:type="gramEnd"/>
      <w:r w:rsidRPr="00F50B84">
        <w:rPr>
          <w:rFonts w:ascii="Garamond" w:hAnsi="Garamond"/>
          <w:bCs/>
          <w:iCs/>
          <w:sz w:val="20"/>
          <w:szCs w:val="20"/>
          <w:lang w:val="en-GB"/>
        </w:rPr>
        <w:t>. doi:10.4102/</w:t>
      </w:r>
      <w:proofErr w:type="gramStart"/>
      <w:r w:rsidRPr="00F50B84">
        <w:rPr>
          <w:rFonts w:ascii="Garamond" w:hAnsi="Garamond"/>
          <w:bCs/>
          <w:iCs/>
          <w:sz w:val="20"/>
          <w:szCs w:val="20"/>
          <w:lang w:val="en-GB"/>
        </w:rPr>
        <w:t>hsag.v</w:t>
      </w:r>
      <w:proofErr w:type="gramEnd"/>
      <w:r w:rsidRPr="00F50B84">
        <w:rPr>
          <w:rFonts w:ascii="Garamond" w:hAnsi="Garamond"/>
          <w:bCs/>
          <w:iCs/>
          <w:sz w:val="20"/>
          <w:szCs w:val="20"/>
          <w:lang w:val="en-GB"/>
        </w:rPr>
        <w:t>27i0.1880.</w:t>
      </w:r>
    </w:p>
    <w:p w14:paraId="318FB1F6" w14:textId="51503AAC"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Marshall NE, Abrams B, Barbour LA, et al. The importance of nutrition in pregnancy and lactation: lifelong consequences. </w:t>
      </w:r>
      <w:r w:rsidRPr="00F50B84">
        <w:rPr>
          <w:rFonts w:ascii="Garamond" w:hAnsi="Garamond"/>
          <w:bCs/>
          <w:i/>
          <w:iCs/>
          <w:sz w:val="20"/>
          <w:szCs w:val="20"/>
          <w:lang w:val="en-GB"/>
        </w:rPr>
        <w:t>Am J Obstet Gynecol</w:t>
      </w:r>
      <w:r w:rsidRPr="00F50B84">
        <w:rPr>
          <w:rFonts w:ascii="Garamond" w:hAnsi="Garamond"/>
          <w:bCs/>
          <w:iCs/>
          <w:sz w:val="20"/>
          <w:szCs w:val="20"/>
          <w:lang w:val="en-GB"/>
        </w:rPr>
        <w:t xml:space="preserve">. 2022;226(5):607–632. </w:t>
      </w:r>
      <w:proofErr w:type="spellStart"/>
      <w:r w:rsidR="00F50B84" w:rsidRPr="00F50B84">
        <w:rPr>
          <w:rFonts w:ascii="Garamond" w:hAnsi="Garamond"/>
          <w:bCs/>
          <w:iCs/>
          <w:sz w:val="20"/>
          <w:szCs w:val="20"/>
          <w:lang w:val="en-GB"/>
        </w:rPr>
        <w:t>doi</w:t>
      </w:r>
      <w:proofErr w:type="spellEnd"/>
      <w:r w:rsidR="00F50B84" w:rsidRPr="00F50B84">
        <w:rPr>
          <w:rFonts w:ascii="Garamond" w:hAnsi="Garamond"/>
          <w:bCs/>
          <w:iCs/>
          <w:sz w:val="20"/>
          <w:szCs w:val="20"/>
          <w:lang w:val="en-GB"/>
        </w:rPr>
        <w:t>: 10.1016/j.ajog</w:t>
      </w:r>
      <w:r w:rsidRPr="00F50B84">
        <w:rPr>
          <w:rFonts w:ascii="Garamond" w:hAnsi="Garamond"/>
          <w:bCs/>
          <w:iCs/>
          <w:sz w:val="20"/>
          <w:szCs w:val="20"/>
          <w:lang w:val="en-GB"/>
        </w:rPr>
        <w:t>.2021.12.035.</w:t>
      </w:r>
    </w:p>
    <w:p w14:paraId="70AAFD89"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Asmamaw DB, </w:t>
      </w:r>
      <w:proofErr w:type="spellStart"/>
      <w:r w:rsidRPr="00F50B84">
        <w:rPr>
          <w:rFonts w:ascii="Garamond" w:hAnsi="Garamond"/>
          <w:bCs/>
          <w:iCs/>
          <w:sz w:val="20"/>
          <w:szCs w:val="20"/>
          <w:lang w:val="en-GB"/>
        </w:rPr>
        <w:t>Tafere</w:t>
      </w:r>
      <w:proofErr w:type="spellEnd"/>
      <w:r w:rsidRPr="00F50B84">
        <w:rPr>
          <w:rFonts w:ascii="Garamond" w:hAnsi="Garamond"/>
          <w:bCs/>
          <w:iCs/>
          <w:sz w:val="20"/>
          <w:szCs w:val="20"/>
          <w:lang w:val="en-GB"/>
        </w:rPr>
        <w:t xml:space="preserve"> TZ, Negash WD. Prevalence of teenage pregnancy and its associated factors in high fertility sub-Saharan African countries: a multilevel analysis. </w:t>
      </w:r>
      <w:r w:rsidRPr="00F50B84">
        <w:rPr>
          <w:rFonts w:ascii="Garamond" w:hAnsi="Garamond"/>
          <w:bCs/>
          <w:i/>
          <w:iCs/>
          <w:sz w:val="20"/>
          <w:szCs w:val="20"/>
          <w:lang w:val="en-GB"/>
        </w:rPr>
        <w:t xml:space="preserve">BMC </w:t>
      </w:r>
      <w:proofErr w:type="spellStart"/>
      <w:r w:rsidRPr="00F50B84">
        <w:rPr>
          <w:rFonts w:ascii="Garamond" w:hAnsi="Garamond"/>
          <w:bCs/>
          <w:i/>
          <w:iCs/>
          <w:sz w:val="20"/>
          <w:szCs w:val="20"/>
          <w:lang w:val="en-GB"/>
        </w:rPr>
        <w:t>Womens</w:t>
      </w:r>
      <w:proofErr w:type="spellEnd"/>
      <w:r w:rsidRPr="00F50B84">
        <w:rPr>
          <w:rFonts w:ascii="Garamond" w:hAnsi="Garamond"/>
          <w:bCs/>
          <w:i/>
          <w:iCs/>
          <w:sz w:val="20"/>
          <w:szCs w:val="20"/>
          <w:lang w:val="en-GB"/>
        </w:rPr>
        <w:t xml:space="preserve"> Health</w:t>
      </w:r>
      <w:r w:rsidRPr="00F50B84">
        <w:rPr>
          <w:rFonts w:ascii="Garamond" w:hAnsi="Garamond"/>
          <w:bCs/>
          <w:iCs/>
          <w:sz w:val="20"/>
          <w:szCs w:val="20"/>
          <w:lang w:val="en-GB"/>
        </w:rPr>
        <w:t>. 2023;23(1):23. doi:10.1186/s12905-023-02169-7.</w:t>
      </w:r>
    </w:p>
    <w:p w14:paraId="6ACD626F"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proofErr w:type="spellStart"/>
      <w:r w:rsidRPr="00F50B84">
        <w:rPr>
          <w:rFonts w:ascii="Garamond" w:hAnsi="Garamond"/>
          <w:bCs/>
          <w:iCs/>
          <w:sz w:val="20"/>
          <w:szCs w:val="20"/>
          <w:lang w:val="en-GB"/>
        </w:rPr>
        <w:t>Alukagberie</w:t>
      </w:r>
      <w:proofErr w:type="spellEnd"/>
      <w:r w:rsidRPr="00F50B84">
        <w:rPr>
          <w:rFonts w:ascii="Garamond" w:hAnsi="Garamond"/>
          <w:bCs/>
          <w:iCs/>
          <w:sz w:val="20"/>
          <w:szCs w:val="20"/>
          <w:lang w:val="en-GB"/>
        </w:rPr>
        <w:t xml:space="preserve"> ME, </w:t>
      </w:r>
      <w:proofErr w:type="spellStart"/>
      <w:r w:rsidRPr="00F50B84">
        <w:rPr>
          <w:rFonts w:ascii="Garamond" w:hAnsi="Garamond"/>
          <w:bCs/>
          <w:iCs/>
          <w:sz w:val="20"/>
          <w:szCs w:val="20"/>
          <w:lang w:val="en-GB"/>
        </w:rPr>
        <w:t>Elmusharaf</w:t>
      </w:r>
      <w:proofErr w:type="spellEnd"/>
      <w:r w:rsidRPr="00F50B84">
        <w:rPr>
          <w:rFonts w:ascii="Garamond" w:hAnsi="Garamond"/>
          <w:bCs/>
          <w:iCs/>
          <w:sz w:val="20"/>
          <w:szCs w:val="20"/>
          <w:lang w:val="en-GB"/>
        </w:rPr>
        <w:t xml:space="preserve"> K, Ibrahim N, </w:t>
      </w:r>
      <w:proofErr w:type="spellStart"/>
      <w:r w:rsidRPr="00F50B84">
        <w:rPr>
          <w:rFonts w:ascii="Garamond" w:hAnsi="Garamond"/>
          <w:bCs/>
          <w:iCs/>
          <w:sz w:val="20"/>
          <w:szCs w:val="20"/>
          <w:lang w:val="en-GB"/>
        </w:rPr>
        <w:t>Poix</w:t>
      </w:r>
      <w:proofErr w:type="spellEnd"/>
      <w:r w:rsidRPr="00F50B84">
        <w:rPr>
          <w:rFonts w:ascii="Garamond" w:hAnsi="Garamond"/>
          <w:bCs/>
          <w:iCs/>
          <w:sz w:val="20"/>
          <w:szCs w:val="20"/>
          <w:lang w:val="en-GB"/>
        </w:rPr>
        <w:t xml:space="preserve"> S. Factors associated with adolescent pregnancy and public health interventions to address it in Nigeria: a scoping review. </w:t>
      </w:r>
      <w:proofErr w:type="spellStart"/>
      <w:r w:rsidRPr="00F50B84">
        <w:rPr>
          <w:rFonts w:ascii="Garamond" w:hAnsi="Garamond"/>
          <w:bCs/>
          <w:i/>
          <w:iCs/>
          <w:sz w:val="20"/>
          <w:szCs w:val="20"/>
          <w:lang w:val="en-GB"/>
        </w:rPr>
        <w:t>Reprod</w:t>
      </w:r>
      <w:proofErr w:type="spellEnd"/>
      <w:r w:rsidRPr="00F50B84">
        <w:rPr>
          <w:rFonts w:ascii="Garamond" w:hAnsi="Garamond"/>
          <w:bCs/>
          <w:i/>
          <w:iCs/>
          <w:sz w:val="20"/>
          <w:szCs w:val="20"/>
          <w:lang w:val="en-GB"/>
        </w:rPr>
        <w:t xml:space="preserve"> Health</w:t>
      </w:r>
      <w:r w:rsidRPr="00F50B84">
        <w:rPr>
          <w:rFonts w:ascii="Garamond" w:hAnsi="Garamond"/>
          <w:bCs/>
          <w:iCs/>
          <w:sz w:val="20"/>
          <w:szCs w:val="20"/>
          <w:lang w:val="en-GB"/>
        </w:rPr>
        <w:t>. 2023;20(1):95. doi:10.1186/s12978-023-01629-5.</w:t>
      </w:r>
    </w:p>
    <w:p w14:paraId="64462B4B"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Oyewole R. 75.1% of Bauchi women marry before attaining 18 – UNICEF. </w:t>
      </w:r>
      <w:r w:rsidRPr="00F50B84">
        <w:rPr>
          <w:rFonts w:ascii="Garamond" w:hAnsi="Garamond"/>
          <w:bCs/>
          <w:i/>
          <w:iCs/>
          <w:sz w:val="20"/>
          <w:szCs w:val="20"/>
          <w:lang w:val="en-GB"/>
        </w:rPr>
        <w:t>The Guardian (Nigeria)</w:t>
      </w:r>
      <w:r w:rsidRPr="00F50B84">
        <w:rPr>
          <w:rFonts w:ascii="Garamond" w:hAnsi="Garamond"/>
          <w:bCs/>
          <w:iCs/>
          <w:sz w:val="20"/>
          <w:szCs w:val="20"/>
          <w:lang w:val="en-GB"/>
        </w:rPr>
        <w:t>. 2023 Dec 10 [cited 2025 Sep 25]. Available from: https://guardian.ng/news/75-1-of-bauchi-women-marry-before-attaining-18-unicef/</w:t>
      </w:r>
    </w:p>
    <w:p w14:paraId="72F7B688"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Sani U. Three of 10 Bauchi pregnant women deliver at home – UNICEF. </w:t>
      </w:r>
      <w:r w:rsidRPr="00F50B84">
        <w:rPr>
          <w:rFonts w:ascii="Garamond" w:hAnsi="Garamond"/>
          <w:bCs/>
          <w:i/>
          <w:iCs/>
          <w:sz w:val="20"/>
          <w:szCs w:val="20"/>
          <w:lang w:val="en-GB"/>
        </w:rPr>
        <w:t>Punch Newspapers</w:t>
      </w:r>
      <w:r w:rsidRPr="00F50B84">
        <w:rPr>
          <w:rFonts w:ascii="Garamond" w:hAnsi="Garamond"/>
          <w:bCs/>
          <w:iCs/>
          <w:sz w:val="20"/>
          <w:szCs w:val="20"/>
          <w:lang w:val="en-GB"/>
        </w:rPr>
        <w:t>. 2025 Dec 12 [cited 2025 Oct 6]. Available from: https://punchng.com/three-of-10-bauchi-pregnant-women-deliver-at-home-unicef/</w:t>
      </w:r>
    </w:p>
    <w:p w14:paraId="24227AE4" w14:textId="0F7F8B7F"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National Bureau of Statistics (NBS). </w:t>
      </w:r>
      <w:r w:rsidRPr="00F50B84">
        <w:rPr>
          <w:rFonts w:ascii="Garamond" w:hAnsi="Garamond"/>
          <w:bCs/>
          <w:i/>
          <w:iCs/>
          <w:sz w:val="20"/>
          <w:szCs w:val="20"/>
          <w:lang w:val="en-GB"/>
        </w:rPr>
        <w:t>Nigeria multidimensional poverty index 2022</w:t>
      </w:r>
      <w:r w:rsidRPr="00F50B84">
        <w:rPr>
          <w:rFonts w:ascii="Garamond" w:hAnsi="Garamond"/>
          <w:bCs/>
          <w:iCs/>
          <w:sz w:val="20"/>
          <w:szCs w:val="20"/>
          <w:lang w:val="en-GB"/>
        </w:rPr>
        <w:t>. Abuja: NBS; 2022 [cited 2024 Jun 28]. Available from: https://www.nigerianstat.gov.ng/pdfuploads/</w:t>
      </w:r>
      <w:r w:rsidR="00F50B84" w:rsidRPr="00F50B84">
        <w:rPr>
          <w:rFonts w:ascii="Garamond" w:hAnsi="Garamond"/>
          <w:bCs/>
          <w:iCs/>
          <w:sz w:val="20"/>
          <w:szCs w:val="20"/>
          <w:lang w:val="en-GB"/>
        </w:rPr>
        <w:t>nigeria%20multidimensional%20poverty%20index%20survey%20results</w:t>
      </w:r>
      <w:r w:rsidRPr="00F50B84">
        <w:rPr>
          <w:rFonts w:ascii="Garamond" w:hAnsi="Garamond"/>
          <w:bCs/>
          <w:iCs/>
          <w:sz w:val="20"/>
          <w:szCs w:val="20"/>
          <w:lang w:val="en-GB"/>
        </w:rPr>
        <w:t>%202022.pdf</w:t>
      </w:r>
    </w:p>
    <w:p w14:paraId="59D13D7D"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United Nations Children’s Fund (UNICEF). Literacy among young women: Nigeria [Internet]. New York: UNICEF; [cited 2025 Sep 22]. Available from: https://www.unicef.org/nigeria/media/1631/file</w:t>
      </w:r>
    </w:p>
    <w:p w14:paraId="4B30DB3F"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National Bureau of Statistics (NBS). </w:t>
      </w:r>
      <w:r w:rsidRPr="00F50B84">
        <w:rPr>
          <w:rFonts w:ascii="Garamond" w:hAnsi="Garamond"/>
          <w:bCs/>
          <w:i/>
          <w:iCs/>
          <w:sz w:val="20"/>
          <w:szCs w:val="20"/>
          <w:lang w:val="en-GB"/>
        </w:rPr>
        <w:t>National nutrition and health survey 2018</w:t>
      </w:r>
      <w:r w:rsidRPr="00F50B84">
        <w:rPr>
          <w:rFonts w:ascii="Garamond" w:hAnsi="Garamond"/>
          <w:bCs/>
          <w:iCs/>
          <w:sz w:val="20"/>
          <w:szCs w:val="20"/>
          <w:lang w:val="en-GB"/>
        </w:rPr>
        <w:t>. Abuja: NBS; 2018 [cited 2023 Sep 30]. Available from: https://www.unicef.org/nigeria/media/2181/file/Nigeria-NNHS-2018.pdf</w:t>
      </w:r>
    </w:p>
    <w:p w14:paraId="2C57DCE0"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Food and Agriculture Organization (FAO). </w:t>
      </w:r>
      <w:r w:rsidRPr="00F50B84">
        <w:rPr>
          <w:rFonts w:ascii="Garamond" w:hAnsi="Garamond"/>
          <w:bCs/>
          <w:i/>
          <w:iCs/>
          <w:sz w:val="20"/>
          <w:szCs w:val="20"/>
          <w:lang w:val="en-GB"/>
        </w:rPr>
        <w:t>Minimum dietary diversity for women</w:t>
      </w:r>
      <w:r w:rsidRPr="00F50B84">
        <w:rPr>
          <w:rFonts w:ascii="Garamond" w:hAnsi="Garamond"/>
          <w:bCs/>
          <w:iCs/>
          <w:sz w:val="20"/>
          <w:szCs w:val="20"/>
          <w:lang w:val="en-GB"/>
        </w:rPr>
        <w:t xml:space="preserve">. Rome: FAO; 2021. Available from: </w:t>
      </w:r>
      <w:r w:rsidRPr="00F50B84">
        <w:rPr>
          <w:rFonts w:ascii="Garamond" w:hAnsi="Garamond"/>
          <w:bCs/>
          <w:iCs/>
          <w:sz w:val="20"/>
          <w:szCs w:val="20"/>
          <w:lang w:val="en-GB"/>
        </w:rPr>
        <w:t>https://openknowledge.fao.org/handle/20.500.14283/cb3434en</w:t>
      </w:r>
    </w:p>
    <w:p w14:paraId="41C140D0"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Edmond C. Malnutrition in women and girls has soared 25% in crisis-hit countries. </w:t>
      </w:r>
      <w:r w:rsidRPr="00F50B84">
        <w:rPr>
          <w:rFonts w:ascii="Garamond" w:hAnsi="Garamond"/>
          <w:bCs/>
          <w:i/>
          <w:iCs/>
          <w:sz w:val="20"/>
          <w:szCs w:val="20"/>
          <w:lang w:val="en-GB"/>
        </w:rPr>
        <w:t>World Economic Forum</w:t>
      </w:r>
      <w:r w:rsidRPr="00F50B84">
        <w:rPr>
          <w:rFonts w:ascii="Garamond" w:hAnsi="Garamond"/>
          <w:bCs/>
          <w:iCs/>
          <w:sz w:val="20"/>
          <w:szCs w:val="20"/>
          <w:lang w:val="en-GB"/>
        </w:rPr>
        <w:t>. 2023 Mar 29 [cited 2026 Mar 22]. Available from: https://www.weforum.org/stories/2023/03/malnutrition-poverty-women-inequality-pregnancy/</w:t>
      </w:r>
    </w:p>
    <w:p w14:paraId="2DE03152"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Tesfaye A, </w:t>
      </w:r>
      <w:proofErr w:type="spellStart"/>
      <w:r w:rsidRPr="00F50B84">
        <w:rPr>
          <w:rFonts w:ascii="Garamond" w:hAnsi="Garamond"/>
          <w:bCs/>
          <w:iCs/>
          <w:sz w:val="20"/>
          <w:szCs w:val="20"/>
          <w:lang w:val="en-GB"/>
        </w:rPr>
        <w:t>Adissu</w:t>
      </w:r>
      <w:proofErr w:type="spellEnd"/>
      <w:r w:rsidRPr="00F50B84">
        <w:rPr>
          <w:rFonts w:ascii="Garamond" w:hAnsi="Garamond"/>
          <w:bCs/>
          <w:iCs/>
          <w:sz w:val="20"/>
          <w:szCs w:val="20"/>
          <w:lang w:val="en-GB"/>
        </w:rPr>
        <w:t xml:space="preserve"> Y, Tamiru D, Belachew T. Nutritional knowledge, nutritional status and associated factors among pregnant adolescents in the West Arsi Zone, central Ethiopia. </w:t>
      </w:r>
      <w:r w:rsidRPr="00F50B84">
        <w:rPr>
          <w:rFonts w:ascii="Garamond" w:hAnsi="Garamond"/>
          <w:bCs/>
          <w:i/>
          <w:iCs/>
          <w:sz w:val="20"/>
          <w:szCs w:val="20"/>
          <w:lang w:val="en-GB"/>
        </w:rPr>
        <w:t>Sci Rep</w:t>
      </w:r>
      <w:r w:rsidRPr="00F50B84">
        <w:rPr>
          <w:rFonts w:ascii="Garamond" w:hAnsi="Garamond"/>
          <w:bCs/>
          <w:iCs/>
          <w:sz w:val="20"/>
          <w:szCs w:val="20"/>
          <w:lang w:val="en-GB"/>
        </w:rPr>
        <w:t>. 2024;14(1):6879. doi:10.1038/s41598-024-57428-w.</w:t>
      </w:r>
    </w:p>
    <w:p w14:paraId="0CD0F4C1" w14:textId="74245BD5"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Musinguzi E, </w:t>
      </w:r>
      <w:proofErr w:type="spellStart"/>
      <w:r w:rsidRPr="00F50B84">
        <w:rPr>
          <w:rFonts w:ascii="Garamond" w:hAnsi="Garamond"/>
          <w:bCs/>
          <w:iCs/>
          <w:sz w:val="20"/>
          <w:szCs w:val="20"/>
          <w:lang w:val="en-GB"/>
        </w:rPr>
        <w:t>Nannono</w:t>
      </w:r>
      <w:proofErr w:type="spellEnd"/>
      <w:r w:rsidRPr="00F50B84">
        <w:rPr>
          <w:rFonts w:ascii="Garamond" w:hAnsi="Garamond"/>
          <w:bCs/>
          <w:iCs/>
          <w:sz w:val="20"/>
          <w:szCs w:val="20"/>
          <w:lang w:val="en-GB"/>
        </w:rPr>
        <w:t xml:space="preserve"> P, </w:t>
      </w:r>
      <w:proofErr w:type="spellStart"/>
      <w:r w:rsidRPr="00F50B84">
        <w:rPr>
          <w:rFonts w:ascii="Garamond" w:hAnsi="Garamond"/>
          <w:bCs/>
          <w:iCs/>
          <w:sz w:val="20"/>
          <w:szCs w:val="20"/>
          <w:lang w:val="en-GB"/>
        </w:rPr>
        <w:t>Ampumuza</w:t>
      </w:r>
      <w:proofErr w:type="spellEnd"/>
      <w:r w:rsidRPr="00F50B84">
        <w:rPr>
          <w:rFonts w:ascii="Garamond" w:hAnsi="Garamond"/>
          <w:bCs/>
          <w:iCs/>
          <w:sz w:val="20"/>
          <w:szCs w:val="20"/>
          <w:lang w:val="en-GB"/>
        </w:rPr>
        <w:t xml:space="preserve"> M, et al. Dietary diversity, undernutrition, and predictors among pregnant adolescents and young women attending Gulu University Teaching Hospitals in northern Uganda. </w:t>
      </w:r>
      <w:proofErr w:type="spellStart"/>
      <w:r w:rsidRPr="00F50B84">
        <w:rPr>
          <w:rFonts w:ascii="Garamond" w:hAnsi="Garamond"/>
          <w:bCs/>
          <w:i/>
          <w:iCs/>
          <w:sz w:val="20"/>
          <w:szCs w:val="20"/>
          <w:lang w:val="en-GB"/>
        </w:rPr>
        <w:t>PLoS</w:t>
      </w:r>
      <w:proofErr w:type="spellEnd"/>
      <w:r w:rsidRPr="00F50B84">
        <w:rPr>
          <w:rFonts w:ascii="Garamond" w:hAnsi="Garamond"/>
          <w:bCs/>
          <w:i/>
          <w:iCs/>
          <w:sz w:val="20"/>
          <w:szCs w:val="20"/>
          <w:lang w:val="en-GB"/>
        </w:rPr>
        <w:t xml:space="preserve"> One</w:t>
      </w:r>
      <w:r w:rsidRPr="00F50B84">
        <w:rPr>
          <w:rFonts w:ascii="Garamond" w:hAnsi="Garamond"/>
          <w:bCs/>
          <w:iCs/>
          <w:sz w:val="20"/>
          <w:szCs w:val="20"/>
          <w:lang w:val="en-GB"/>
        </w:rPr>
        <w:t>. 2024;19(7</w:t>
      </w:r>
      <w:proofErr w:type="gramStart"/>
      <w:r w:rsidRPr="00F50B84">
        <w:rPr>
          <w:rFonts w:ascii="Garamond" w:hAnsi="Garamond"/>
          <w:bCs/>
          <w:iCs/>
          <w:sz w:val="20"/>
          <w:szCs w:val="20"/>
          <w:lang w:val="en-GB"/>
        </w:rPr>
        <w:t>):e</w:t>
      </w:r>
      <w:proofErr w:type="gramEnd"/>
      <w:r w:rsidRPr="00F50B84">
        <w:rPr>
          <w:rFonts w:ascii="Garamond" w:hAnsi="Garamond"/>
          <w:bCs/>
          <w:iCs/>
          <w:sz w:val="20"/>
          <w:szCs w:val="20"/>
          <w:lang w:val="en-GB"/>
        </w:rPr>
        <w:t xml:space="preserve">0307749. </w:t>
      </w:r>
      <w:proofErr w:type="spellStart"/>
      <w:r w:rsidR="00F50B84" w:rsidRPr="00F50B84">
        <w:rPr>
          <w:rFonts w:ascii="Garamond" w:hAnsi="Garamond"/>
          <w:bCs/>
          <w:iCs/>
          <w:sz w:val="20"/>
          <w:szCs w:val="20"/>
          <w:lang w:val="en-GB"/>
        </w:rPr>
        <w:t>doi</w:t>
      </w:r>
      <w:proofErr w:type="spellEnd"/>
      <w:r w:rsidR="00F50B84" w:rsidRPr="00F50B84">
        <w:rPr>
          <w:rFonts w:ascii="Garamond" w:hAnsi="Garamond"/>
          <w:bCs/>
          <w:iCs/>
          <w:sz w:val="20"/>
          <w:szCs w:val="20"/>
          <w:lang w:val="en-GB"/>
        </w:rPr>
        <w:t>: 10.1371/journal.pone</w:t>
      </w:r>
      <w:r w:rsidRPr="00F50B84">
        <w:rPr>
          <w:rFonts w:ascii="Garamond" w:hAnsi="Garamond"/>
          <w:bCs/>
          <w:iCs/>
          <w:sz w:val="20"/>
          <w:szCs w:val="20"/>
          <w:lang w:val="en-GB"/>
        </w:rPr>
        <w:t>.0307749.</w:t>
      </w:r>
    </w:p>
    <w:p w14:paraId="474A3B0C"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Appiah PK, Naa </w:t>
      </w:r>
      <w:proofErr w:type="spellStart"/>
      <w:r w:rsidRPr="00F50B84">
        <w:rPr>
          <w:rFonts w:ascii="Garamond" w:hAnsi="Garamond"/>
          <w:bCs/>
          <w:iCs/>
          <w:sz w:val="20"/>
          <w:szCs w:val="20"/>
          <w:lang w:val="en-GB"/>
        </w:rPr>
        <w:t>Korklu</w:t>
      </w:r>
      <w:proofErr w:type="spellEnd"/>
      <w:r w:rsidRPr="00F50B84">
        <w:rPr>
          <w:rFonts w:ascii="Garamond" w:hAnsi="Garamond"/>
          <w:bCs/>
          <w:iCs/>
          <w:sz w:val="20"/>
          <w:szCs w:val="20"/>
          <w:lang w:val="en-GB"/>
        </w:rPr>
        <w:t xml:space="preserve"> AR, </w:t>
      </w:r>
      <w:proofErr w:type="spellStart"/>
      <w:r w:rsidRPr="00F50B84">
        <w:rPr>
          <w:rFonts w:ascii="Garamond" w:hAnsi="Garamond"/>
          <w:bCs/>
          <w:iCs/>
          <w:sz w:val="20"/>
          <w:szCs w:val="20"/>
          <w:lang w:val="en-GB"/>
        </w:rPr>
        <w:t>Bonchel</w:t>
      </w:r>
      <w:proofErr w:type="spellEnd"/>
      <w:r w:rsidRPr="00F50B84">
        <w:rPr>
          <w:rFonts w:ascii="Garamond" w:hAnsi="Garamond"/>
          <w:bCs/>
          <w:iCs/>
          <w:sz w:val="20"/>
          <w:szCs w:val="20"/>
          <w:lang w:val="en-GB"/>
        </w:rPr>
        <w:t xml:space="preserve"> DA, et al. Nutritional knowledge and dietary intake habits among pregnant adolescents attending antenatal care clinics in an urban community in Ghana. </w:t>
      </w:r>
      <w:r w:rsidRPr="00F50B84">
        <w:rPr>
          <w:rFonts w:ascii="Garamond" w:hAnsi="Garamond"/>
          <w:bCs/>
          <w:i/>
          <w:iCs/>
          <w:sz w:val="20"/>
          <w:szCs w:val="20"/>
          <w:lang w:val="en-GB"/>
        </w:rPr>
        <w:t xml:space="preserve">J </w:t>
      </w:r>
      <w:proofErr w:type="spellStart"/>
      <w:r w:rsidRPr="00F50B84">
        <w:rPr>
          <w:rFonts w:ascii="Garamond" w:hAnsi="Garamond"/>
          <w:bCs/>
          <w:i/>
          <w:iCs/>
          <w:sz w:val="20"/>
          <w:szCs w:val="20"/>
          <w:lang w:val="en-GB"/>
        </w:rPr>
        <w:t>Nutr</w:t>
      </w:r>
      <w:proofErr w:type="spellEnd"/>
      <w:r w:rsidRPr="00F50B84">
        <w:rPr>
          <w:rFonts w:ascii="Garamond" w:hAnsi="Garamond"/>
          <w:bCs/>
          <w:i/>
          <w:iCs/>
          <w:sz w:val="20"/>
          <w:szCs w:val="20"/>
          <w:lang w:val="en-GB"/>
        </w:rPr>
        <w:t xml:space="preserve"> </w:t>
      </w:r>
      <w:proofErr w:type="spellStart"/>
      <w:r w:rsidRPr="00F50B84">
        <w:rPr>
          <w:rFonts w:ascii="Garamond" w:hAnsi="Garamond"/>
          <w:bCs/>
          <w:i/>
          <w:iCs/>
          <w:sz w:val="20"/>
          <w:szCs w:val="20"/>
          <w:lang w:val="en-GB"/>
        </w:rPr>
        <w:t>Metab</w:t>
      </w:r>
      <w:proofErr w:type="spellEnd"/>
      <w:r w:rsidRPr="00F50B84">
        <w:rPr>
          <w:rFonts w:ascii="Garamond" w:hAnsi="Garamond"/>
          <w:bCs/>
          <w:iCs/>
          <w:sz w:val="20"/>
          <w:szCs w:val="20"/>
          <w:lang w:val="en-GB"/>
        </w:rPr>
        <w:t xml:space="preserve">. </w:t>
      </w:r>
      <w:proofErr w:type="gramStart"/>
      <w:r w:rsidRPr="00F50B84">
        <w:rPr>
          <w:rFonts w:ascii="Garamond" w:hAnsi="Garamond"/>
          <w:bCs/>
          <w:iCs/>
          <w:sz w:val="20"/>
          <w:szCs w:val="20"/>
          <w:lang w:val="en-GB"/>
        </w:rPr>
        <w:t>2021;2021:8835704</w:t>
      </w:r>
      <w:proofErr w:type="gramEnd"/>
      <w:r w:rsidRPr="00F50B84">
        <w:rPr>
          <w:rFonts w:ascii="Garamond" w:hAnsi="Garamond"/>
          <w:bCs/>
          <w:iCs/>
          <w:sz w:val="20"/>
          <w:szCs w:val="20"/>
          <w:lang w:val="en-GB"/>
        </w:rPr>
        <w:t>. doi:10.1155/2021/8835704.</w:t>
      </w:r>
    </w:p>
    <w:p w14:paraId="05C81846"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Samuel OT, Aremu O, Ariyo O. Nutrition knowledge, dietary diversity and intake among pregnant adolescents in Ibadan metropolis, Nigeria. </w:t>
      </w:r>
      <w:r w:rsidRPr="00F50B84">
        <w:rPr>
          <w:rFonts w:ascii="Garamond" w:hAnsi="Garamond"/>
          <w:bCs/>
          <w:i/>
          <w:iCs/>
          <w:sz w:val="20"/>
          <w:szCs w:val="20"/>
          <w:lang w:val="en-GB"/>
        </w:rPr>
        <w:t>Niger J Public Health</w:t>
      </w:r>
      <w:r w:rsidRPr="00F50B84">
        <w:rPr>
          <w:rFonts w:ascii="Garamond" w:hAnsi="Garamond"/>
          <w:bCs/>
          <w:iCs/>
          <w:sz w:val="20"/>
          <w:szCs w:val="20"/>
          <w:lang w:val="en-GB"/>
        </w:rPr>
        <w:t xml:space="preserve">. </w:t>
      </w:r>
      <w:proofErr w:type="gramStart"/>
      <w:r w:rsidRPr="00F50B84">
        <w:rPr>
          <w:rFonts w:ascii="Garamond" w:hAnsi="Garamond"/>
          <w:bCs/>
          <w:iCs/>
          <w:sz w:val="20"/>
          <w:szCs w:val="20"/>
          <w:lang w:val="en-GB"/>
        </w:rPr>
        <w:t>2020;5:69</w:t>
      </w:r>
      <w:proofErr w:type="gramEnd"/>
      <w:r w:rsidRPr="00F50B84">
        <w:rPr>
          <w:rFonts w:ascii="Garamond" w:hAnsi="Garamond"/>
          <w:bCs/>
          <w:iCs/>
          <w:sz w:val="20"/>
          <w:szCs w:val="20"/>
          <w:lang w:val="en-GB"/>
        </w:rPr>
        <w:t xml:space="preserve">–79. Available from: </w:t>
      </w:r>
      <w:hyperlink r:id="rId29" w:history="1">
        <w:r w:rsidRPr="00F50B84">
          <w:rPr>
            <w:rStyle w:val="Hyperlink"/>
            <w:rFonts w:ascii="Garamond" w:hAnsi="Garamond"/>
            <w:bCs/>
            <w:iCs/>
            <w:sz w:val="20"/>
            <w:szCs w:val="20"/>
            <w:lang w:val="en-GB"/>
          </w:rPr>
          <w:t>https://www.researchgate.net/publication/358565594</w:t>
        </w:r>
      </w:hyperlink>
    </w:p>
    <w:p w14:paraId="6857F1E5"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proofErr w:type="spellStart"/>
      <w:r w:rsidRPr="00F50B84">
        <w:rPr>
          <w:rFonts w:ascii="Garamond" w:hAnsi="Garamond"/>
          <w:bCs/>
          <w:iCs/>
          <w:sz w:val="20"/>
          <w:szCs w:val="20"/>
          <w:lang w:val="en-GB"/>
        </w:rPr>
        <w:t>Araoye</w:t>
      </w:r>
      <w:proofErr w:type="spellEnd"/>
      <w:r w:rsidRPr="00F50B84">
        <w:rPr>
          <w:rFonts w:ascii="Garamond" w:hAnsi="Garamond"/>
          <w:bCs/>
          <w:iCs/>
          <w:sz w:val="20"/>
          <w:szCs w:val="20"/>
          <w:lang w:val="en-GB"/>
        </w:rPr>
        <w:t xml:space="preserve"> MO. </w:t>
      </w:r>
      <w:r w:rsidRPr="00F50B84">
        <w:rPr>
          <w:rFonts w:ascii="Garamond" w:hAnsi="Garamond"/>
          <w:bCs/>
          <w:i/>
          <w:iCs/>
          <w:sz w:val="20"/>
          <w:szCs w:val="20"/>
          <w:lang w:val="en-GB"/>
        </w:rPr>
        <w:t>Research methodology with statistics for health and social sciences</w:t>
      </w:r>
      <w:r w:rsidRPr="00F50B84">
        <w:rPr>
          <w:rFonts w:ascii="Garamond" w:hAnsi="Garamond"/>
          <w:bCs/>
          <w:iCs/>
          <w:sz w:val="20"/>
          <w:szCs w:val="20"/>
          <w:lang w:val="en-GB"/>
        </w:rPr>
        <w:t xml:space="preserve">. Ilorin: </w:t>
      </w:r>
      <w:proofErr w:type="spellStart"/>
      <w:r w:rsidRPr="00F50B84">
        <w:rPr>
          <w:rFonts w:ascii="Garamond" w:hAnsi="Garamond"/>
          <w:bCs/>
          <w:iCs/>
          <w:sz w:val="20"/>
          <w:szCs w:val="20"/>
          <w:lang w:val="en-GB"/>
        </w:rPr>
        <w:t>Nathadex</w:t>
      </w:r>
      <w:proofErr w:type="spellEnd"/>
      <w:r w:rsidRPr="00F50B84">
        <w:rPr>
          <w:rFonts w:ascii="Garamond" w:hAnsi="Garamond"/>
          <w:bCs/>
          <w:iCs/>
          <w:sz w:val="20"/>
          <w:szCs w:val="20"/>
          <w:lang w:val="en-GB"/>
        </w:rPr>
        <w:t xml:space="preserve"> Publishers; 2004.</w:t>
      </w:r>
    </w:p>
    <w:p w14:paraId="10E7CE70"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Cogill B. </w:t>
      </w:r>
      <w:r w:rsidRPr="00F50B84">
        <w:rPr>
          <w:rFonts w:ascii="Garamond" w:hAnsi="Garamond"/>
          <w:bCs/>
          <w:i/>
          <w:iCs/>
          <w:sz w:val="20"/>
          <w:szCs w:val="20"/>
          <w:lang w:val="en-GB"/>
        </w:rPr>
        <w:t>Anthropometric indicators measurement guide</w:t>
      </w:r>
      <w:r w:rsidRPr="00F50B84">
        <w:rPr>
          <w:rFonts w:ascii="Garamond" w:hAnsi="Garamond"/>
          <w:bCs/>
          <w:iCs/>
          <w:sz w:val="20"/>
          <w:szCs w:val="20"/>
          <w:lang w:val="en-GB"/>
        </w:rPr>
        <w:t>. Rev ed. Washington (DC): Food and Nutrition Technical Assistance Project (FANTA); 2003.</w:t>
      </w:r>
    </w:p>
    <w:p w14:paraId="27E755E9"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Sphere Association. </w:t>
      </w:r>
      <w:r w:rsidRPr="00F50B84">
        <w:rPr>
          <w:rFonts w:ascii="Garamond" w:hAnsi="Garamond"/>
          <w:bCs/>
          <w:i/>
          <w:iCs/>
          <w:sz w:val="20"/>
          <w:szCs w:val="20"/>
          <w:lang w:val="en-GB"/>
        </w:rPr>
        <w:t>The Sphere handbook: humanitarian charter and minimum standards in humanitarian response</w:t>
      </w:r>
      <w:r w:rsidRPr="00F50B84">
        <w:rPr>
          <w:rFonts w:ascii="Garamond" w:hAnsi="Garamond"/>
          <w:bCs/>
          <w:iCs/>
          <w:sz w:val="20"/>
          <w:szCs w:val="20"/>
          <w:lang w:val="en-GB"/>
        </w:rPr>
        <w:t>. 3rd ed. Geneva: Sphere Association; 2018 [cited 2026 Mar 22]. Available from: https://spherestandards.org/wp-content/uploads/Sphere-Handbook-2018-EN.pdf</w:t>
      </w:r>
    </w:p>
    <w:p w14:paraId="70D7A076"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Tang AM, Dong K, Deitchler M, Chung M, Maalouf-Manasseh Z, et al. Use of cutoffs for mid-upper arm circumference (MUAC) as an indicator or predictor of nutritional and health-related outcomes in adolescents and adults: a systematic review. Washington (DC): FHI 360/FANTA; 2013 [cited 2026 Mar 22]. Available from: https://www.fantaproject.org</w:t>
      </w:r>
    </w:p>
    <w:p w14:paraId="1B33C063"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Gyimah LA, Annan RA, </w:t>
      </w:r>
      <w:proofErr w:type="spellStart"/>
      <w:r w:rsidRPr="00F50B84">
        <w:rPr>
          <w:rFonts w:ascii="Garamond" w:hAnsi="Garamond"/>
          <w:bCs/>
          <w:iCs/>
          <w:sz w:val="20"/>
          <w:szCs w:val="20"/>
          <w:lang w:val="en-GB"/>
        </w:rPr>
        <w:t>Apprey</w:t>
      </w:r>
      <w:proofErr w:type="spellEnd"/>
      <w:r w:rsidRPr="00F50B84">
        <w:rPr>
          <w:rFonts w:ascii="Garamond" w:hAnsi="Garamond"/>
          <w:bCs/>
          <w:iCs/>
          <w:sz w:val="20"/>
          <w:szCs w:val="20"/>
          <w:lang w:val="en-GB"/>
        </w:rPr>
        <w:t xml:space="preserve"> C, et al. Nutritional status and birth outcomes among </w:t>
      </w:r>
      <w:r w:rsidRPr="00F50B84">
        <w:rPr>
          <w:rFonts w:ascii="Garamond" w:hAnsi="Garamond"/>
          <w:bCs/>
          <w:iCs/>
          <w:sz w:val="20"/>
          <w:szCs w:val="20"/>
          <w:lang w:val="en-GB"/>
        </w:rPr>
        <w:lastRenderedPageBreak/>
        <w:t xml:space="preserve">pregnant adolescents in Ashanti Region, Ghana. </w:t>
      </w:r>
      <w:r w:rsidRPr="00F50B84">
        <w:rPr>
          <w:rFonts w:ascii="Garamond" w:hAnsi="Garamond"/>
          <w:bCs/>
          <w:i/>
          <w:iCs/>
          <w:sz w:val="20"/>
          <w:szCs w:val="20"/>
          <w:lang w:val="en-GB"/>
        </w:rPr>
        <w:t xml:space="preserve">Hum </w:t>
      </w:r>
      <w:proofErr w:type="spellStart"/>
      <w:r w:rsidRPr="00F50B84">
        <w:rPr>
          <w:rFonts w:ascii="Garamond" w:hAnsi="Garamond"/>
          <w:bCs/>
          <w:i/>
          <w:iCs/>
          <w:sz w:val="20"/>
          <w:szCs w:val="20"/>
          <w:lang w:val="en-GB"/>
        </w:rPr>
        <w:t>Nutr</w:t>
      </w:r>
      <w:proofErr w:type="spellEnd"/>
      <w:r w:rsidRPr="00F50B84">
        <w:rPr>
          <w:rFonts w:ascii="Garamond" w:hAnsi="Garamond"/>
          <w:bCs/>
          <w:i/>
          <w:iCs/>
          <w:sz w:val="20"/>
          <w:szCs w:val="20"/>
          <w:lang w:val="en-GB"/>
        </w:rPr>
        <w:t xml:space="preserve"> </w:t>
      </w:r>
      <w:proofErr w:type="spellStart"/>
      <w:r w:rsidRPr="00F50B84">
        <w:rPr>
          <w:rFonts w:ascii="Garamond" w:hAnsi="Garamond"/>
          <w:bCs/>
          <w:i/>
          <w:iCs/>
          <w:sz w:val="20"/>
          <w:szCs w:val="20"/>
          <w:lang w:val="en-GB"/>
        </w:rPr>
        <w:t>Metab</w:t>
      </w:r>
      <w:proofErr w:type="spellEnd"/>
      <w:r w:rsidRPr="00F50B84">
        <w:rPr>
          <w:rFonts w:ascii="Garamond" w:hAnsi="Garamond"/>
          <w:bCs/>
          <w:iCs/>
          <w:sz w:val="20"/>
          <w:szCs w:val="20"/>
          <w:lang w:val="en-GB"/>
        </w:rPr>
        <w:t xml:space="preserve">. </w:t>
      </w:r>
      <w:proofErr w:type="gramStart"/>
      <w:r w:rsidRPr="00F50B84">
        <w:rPr>
          <w:rFonts w:ascii="Garamond" w:hAnsi="Garamond"/>
          <w:bCs/>
          <w:iCs/>
          <w:sz w:val="20"/>
          <w:szCs w:val="20"/>
          <w:lang w:val="en-GB"/>
        </w:rPr>
        <w:t>2021;26:200130</w:t>
      </w:r>
      <w:proofErr w:type="gramEnd"/>
      <w:r w:rsidRPr="00F50B84">
        <w:rPr>
          <w:rFonts w:ascii="Garamond" w:hAnsi="Garamond"/>
          <w:bCs/>
          <w:iCs/>
          <w:sz w:val="20"/>
          <w:szCs w:val="20"/>
          <w:lang w:val="en-GB"/>
        </w:rPr>
        <w:t xml:space="preserve">. </w:t>
      </w:r>
      <w:proofErr w:type="gramStart"/>
      <w:r w:rsidRPr="00F50B84">
        <w:rPr>
          <w:rFonts w:ascii="Garamond" w:hAnsi="Garamond"/>
          <w:bCs/>
          <w:iCs/>
          <w:sz w:val="20"/>
          <w:szCs w:val="20"/>
          <w:lang w:val="en-GB"/>
        </w:rPr>
        <w:t>doi:10.1016/j.hnm</w:t>
      </w:r>
      <w:proofErr w:type="gramEnd"/>
      <w:r w:rsidRPr="00F50B84">
        <w:rPr>
          <w:rFonts w:ascii="Garamond" w:hAnsi="Garamond"/>
          <w:bCs/>
          <w:iCs/>
          <w:sz w:val="20"/>
          <w:szCs w:val="20"/>
          <w:lang w:val="en-GB"/>
        </w:rPr>
        <w:t>.2021.200130.</w:t>
      </w:r>
    </w:p>
    <w:p w14:paraId="2B6850A3"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proofErr w:type="spellStart"/>
      <w:r w:rsidRPr="00F50B84">
        <w:rPr>
          <w:rFonts w:ascii="Garamond" w:hAnsi="Garamond"/>
          <w:bCs/>
          <w:iCs/>
          <w:sz w:val="20"/>
          <w:szCs w:val="20"/>
          <w:lang w:val="en-GB"/>
        </w:rPr>
        <w:t>Centers</w:t>
      </w:r>
      <w:proofErr w:type="spellEnd"/>
      <w:r w:rsidRPr="00F50B84">
        <w:rPr>
          <w:rFonts w:ascii="Garamond" w:hAnsi="Garamond"/>
          <w:bCs/>
          <w:iCs/>
          <w:sz w:val="20"/>
          <w:szCs w:val="20"/>
          <w:lang w:val="en-GB"/>
        </w:rPr>
        <w:t xml:space="preserve"> for Disease Control and Prevention (CDC). Laboratory procedure manual: vitamin B12 (B12). Atlanta (GA): CDC; 2011 [cited 2026 Mar 22]. Available from: https://www.cdc.gov</w:t>
      </w:r>
    </w:p>
    <w:p w14:paraId="5BEA394E"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National Institutes of Health, Office of Dietary Supplements. Vitamin B12: fact sheet for health professionals. Bethesda (MD): NIH; 2023 Dec 15 [cited 2026 Mar 22]. Available from: https://ods.od.nih.gov/factsheets/VitaminB12-HealthProfessional/</w:t>
      </w:r>
    </w:p>
    <w:p w14:paraId="43A5591A"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Bain BJ, Bates I, Laffan MA. </w:t>
      </w:r>
      <w:r w:rsidRPr="00F50B84">
        <w:rPr>
          <w:rFonts w:ascii="Garamond" w:hAnsi="Garamond"/>
          <w:bCs/>
          <w:i/>
          <w:iCs/>
          <w:sz w:val="20"/>
          <w:szCs w:val="20"/>
          <w:lang w:val="en-GB"/>
        </w:rPr>
        <w:t>Dacie and Lewis practical haematology</w:t>
      </w:r>
      <w:r w:rsidRPr="00F50B84">
        <w:rPr>
          <w:rFonts w:ascii="Garamond" w:hAnsi="Garamond"/>
          <w:bCs/>
          <w:iCs/>
          <w:sz w:val="20"/>
          <w:szCs w:val="20"/>
          <w:lang w:val="en-GB"/>
        </w:rPr>
        <w:t>. 12th ed. London: Elsevier; 2020.</w:t>
      </w:r>
    </w:p>
    <w:p w14:paraId="39580646"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World Health Organization. Haemoglobin concentrations for the diagnosis of anaemia and assessment of severity. Geneva: WHO; 2011 [cited 2026 Mar 22]. Available from: https://iris.who.int/handle/10665/85839</w:t>
      </w:r>
    </w:p>
    <w:p w14:paraId="00F57E61"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proofErr w:type="spellStart"/>
      <w:r w:rsidRPr="00F50B84">
        <w:rPr>
          <w:rFonts w:ascii="Garamond" w:hAnsi="Garamond"/>
          <w:bCs/>
          <w:iCs/>
          <w:sz w:val="20"/>
          <w:szCs w:val="20"/>
          <w:lang w:val="en-GB"/>
        </w:rPr>
        <w:t>Jawzali</w:t>
      </w:r>
      <w:proofErr w:type="spellEnd"/>
      <w:r w:rsidRPr="00F50B84">
        <w:rPr>
          <w:rFonts w:ascii="Garamond" w:hAnsi="Garamond"/>
          <w:bCs/>
          <w:iCs/>
          <w:sz w:val="20"/>
          <w:szCs w:val="20"/>
          <w:lang w:val="en-GB"/>
        </w:rPr>
        <w:t xml:space="preserve"> JI, Abdullah SI, Abdullah NH. Nutritional status among pregnant adolescents at maternity teaching hospital. </w:t>
      </w:r>
      <w:r w:rsidRPr="00F50B84">
        <w:rPr>
          <w:rFonts w:ascii="Garamond" w:hAnsi="Garamond"/>
          <w:bCs/>
          <w:i/>
          <w:iCs/>
          <w:sz w:val="20"/>
          <w:szCs w:val="20"/>
          <w:lang w:val="en-GB"/>
        </w:rPr>
        <w:t xml:space="preserve">North </w:t>
      </w:r>
      <w:proofErr w:type="spellStart"/>
      <w:r w:rsidRPr="00F50B84">
        <w:rPr>
          <w:rFonts w:ascii="Garamond" w:hAnsi="Garamond"/>
          <w:bCs/>
          <w:i/>
          <w:iCs/>
          <w:sz w:val="20"/>
          <w:szCs w:val="20"/>
          <w:lang w:val="en-GB"/>
        </w:rPr>
        <w:t>Afr</w:t>
      </w:r>
      <w:proofErr w:type="spellEnd"/>
      <w:r w:rsidRPr="00F50B84">
        <w:rPr>
          <w:rFonts w:ascii="Garamond" w:hAnsi="Garamond"/>
          <w:bCs/>
          <w:i/>
          <w:iCs/>
          <w:sz w:val="20"/>
          <w:szCs w:val="20"/>
          <w:lang w:val="en-GB"/>
        </w:rPr>
        <w:t xml:space="preserve"> J Food </w:t>
      </w:r>
      <w:proofErr w:type="spellStart"/>
      <w:r w:rsidRPr="00F50B84">
        <w:rPr>
          <w:rFonts w:ascii="Garamond" w:hAnsi="Garamond"/>
          <w:bCs/>
          <w:i/>
          <w:iCs/>
          <w:sz w:val="20"/>
          <w:szCs w:val="20"/>
          <w:lang w:val="en-GB"/>
        </w:rPr>
        <w:t>Nutr</w:t>
      </w:r>
      <w:proofErr w:type="spellEnd"/>
      <w:r w:rsidRPr="00F50B84">
        <w:rPr>
          <w:rFonts w:ascii="Garamond" w:hAnsi="Garamond"/>
          <w:bCs/>
          <w:i/>
          <w:iCs/>
          <w:sz w:val="20"/>
          <w:szCs w:val="20"/>
          <w:lang w:val="en-GB"/>
        </w:rPr>
        <w:t xml:space="preserve"> Res</w:t>
      </w:r>
      <w:r w:rsidRPr="00F50B84">
        <w:rPr>
          <w:rFonts w:ascii="Garamond" w:hAnsi="Garamond"/>
          <w:bCs/>
          <w:iCs/>
          <w:sz w:val="20"/>
          <w:szCs w:val="20"/>
          <w:lang w:val="en-GB"/>
        </w:rPr>
        <w:t>. 2022;6(14):186–197. doi:10.51745/najfnr.6.14.186-197.</w:t>
      </w:r>
    </w:p>
    <w:p w14:paraId="64FE05A2"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Yimer B, Wolde A. Prevalence and predictors of malnutrition during adolescent pregnancy in southern Ethiopia: a community-based study. </w:t>
      </w:r>
      <w:r w:rsidRPr="00F50B84">
        <w:rPr>
          <w:rFonts w:ascii="Garamond" w:hAnsi="Garamond"/>
          <w:bCs/>
          <w:i/>
          <w:iCs/>
          <w:sz w:val="20"/>
          <w:szCs w:val="20"/>
          <w:lang w:val="en-GB"/>
        </w:rPr>
        <w:t>BMC Pregnancy Childbirth</w:t>
      </w:r>
      <w:r w:rsidRPr="00F50B84">
        <w:rPr>
          <w:rFonts w:ascii="Garamond" w:hAnsi="Garamond"/>
          <w:bCs/>
          <w:iCs/>
          <w:sz w:val="20"/>
          <w:szCs w:val="20"/>
          <w:lang w:val="en-GB"/>
        </w:rPr>
        <w:t>. 2022;22(1):130. doi:10.1186/s12884-022-04460-1.</w:t>
      </w:r>
    </w:p>
    <w:p w14:paraId="002B131D"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Médecins Sans Frontières. MSF treats overwhelming surge of malnutrition cases in Nigeria’s Bauchi State [Internet]. 2024 Aug 6 [cited 2026 Mar 22]. Available from: https://www.doctorswithoutborders.org</w:t>
      </w:r>
    </w:p>
    <w:p w14:paraId="0F88F6C3"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proofErr w:type="spellStart"/>
      <w:r w:rsidRPr="00F50B84">
        <w:rPr>
          <w:rFonts w:ascii="Garamond" w:hAnsi="Garamond"/>
          <w:bCs/>
          <w:iCs/>
          <w:sz w:val="20"/>
          <w:szCs w:val="20"/>
          <w:lang w:val="en-GB"/>
        </w:rPr>
        <w:t>Falaju</w:t>
      </w:r>
      <w:proofErr w:type="spellEnd"/>
      <w:r w:rsidRPr="00F50B84">
        <w:rPr>
          <w:rFonts w:ascii="Garamond" w:hAnsi="Garamond"/>
          <w:bCs/>
          <w:iCs/>
          <w:sz w:val="20"/>
          <w:szCs w:val="20"/>
          <w:lang w:val="en-GB"/>
        </w:rPr>
        <w:t xml:space="preserve"> J. Expert raises alarm over adolescents’ nutrition crisis. </w:t>
      </w:r>
      <w:r w:rsidRPr="00F50B84">
        <w:rPr>
          <w:rFonts w:ascii="Garamond" w:hAnsi="Garamond"/>
          <w:bCs/>
          <w:i/>
          <w:iCs/>
          <w:sz w:val="20"/>
          <w:szCs w:val="20"/>
          <w:lang w:val="en-GB"/>
        </w:rPr>
        <w:t>The Guardian (Nigeria)</w:t>
      </w:r>
      <w:r w:rsidRPr="00F50B84">
        <w:rPr>
          <w:rFonts w:ascii="Garamond" w:hAnsi="Garamond"/>
          <w:bCs/>
          <w:iCs/>
          <w:sz w:val="20"/>
          <w:szCs w:val="20"/>
          <w:lang w:val="en-GB"/>
        </w:rPr>
        <w:t>. 2025 Jul 11 [cited 2026 Mar 22]. Available from: https://guardian.ng</w:t>
      </w:r>
    </w:p>
    <w:p w14:paraId="146F454D"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Abubakar HA, </w:t>
      </w:r>
      <w:proofErr w:type="spellStart"/>
      <w:r w:rsidRPr="00F50B84">
        <w:rPr>
          <w:rFonts w:ascii="Garamond" w:hAnsi="Garamond"/>
          <w:bCs/>
          <w:iCs/>
          <w:sz w:val="20"/>
          <w:szCs w:val="20"/>
          <w:lang w:val="en-GB"/>
        </w:rPr>
        <w:t>Shahril</w:t>
      </w:r>
      <w:proofErr w:type="spellEnd"/>
      <w:r w:rsidRPr="00F50B84">
        <w:rPr>
          <w:rFonts w:ascii="Garamond" w:hAnsi="Garamond"/>
          <w:bCs/>
          <w:iCs/>
          <w:sz w:val="20"/>
          <w:szCs w:val="20"/>
          <w:lang w:val="en-GB"/>
        </w:rPr>
        <w:t xml:space="preserve"> MR, Mat S. Nutritional status and dietary intake among Nigerian adolescents: a systematic review. </w:t>
      </w:r>
      <w:r w:rsidRPr="00F50B84">
        <w:rPr>
          <w:rFonts w:ascii="Garamond" w:hAnsi="Garamond"/>
          <w:bCs/>
          <w:i/>
          <w:iCs/>
          <w:sz w:val="20"/>
          <w:szCs w:val="20"/>
          <w:lang w:val="en-GB"/>
        </w:rPr>
        <w:t>BMC Public Health</w:t>
      </w:r>
      <w:r w:rsidRPr="00F50B84">
        <w:rPr>
          <w:rFonts w:ascii="Garamond" w:hAnsi="Garamond"/>
          <w:bCs/>
          <w:iCs/>
          <w:sz w:val="20"/>
          <w:szCs w:val="20"/>
          <w:lang w:val="en-GB"/>
        </w:rPr>
        <w:t>. 2024;24(1):1764. doi:10.1186/s12889-024-19219-w.</w:t>
      </w:r>
    </w:p>
    <w:p w14:paraId="0BC24E22"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Médecins Sans Frontières. Levels of global acute malnutrition have doubled since last year in parts of northwest Nigeria [Internet]. 2024 Dec 5 [cited 2026 Mar 22]. Available from: https://www.msf.org</w:t>
      </w:r>
    </w:p>
    <w:p w14:paraId="383C2C00"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proofErr w:type="spellStart"/>
      <w:r w:rsidRPr="00F50B84">
        <w:rPr>
          <w:rFonts w:ascii="Garamond" w:hAnsi="Garamond"/>
          <w:bCs/>
          <w:iCs/>
          <w:sz w:val="20"/>
          <w:szCs w:val="20"/>
          <w:lang w:val="en-GB"/>
        </w:rPr>
        <w:t>Sosanya</w:t>
      </w:r>
      <w:proofErr w:type="spellEnd"/>
      <w:r w:rsidRPr="00F50B84">
        <w:rPr>
          <w:rFonts w:ascii="Garamond" w:hAnsi="Garamond"/>
          <w:bCs/>
          <w:iCs/>
          <w:sz w:val="20"/>
          <w:szCs w:val="20"/>
          <w:lang w:val="en-GB"/>
        </w:rPr>
        <w:t xml:space="preserve"> ME, Freeland-Graves JH, </w:t>
      </w:r>
      <w:proofErr w:type="spellStart"/>
      <w:r w:rsidRPr="00F50B84">
        <w:rPr>
          <w:rFonts w:ascii="Garamond" w:hAnsi="Garamond"/>
          <w:bCs/>
          <w:iCs/>
          <w:sz w:val="20"/>
          <w:szCs w:val="20"/>
          <w:lang w:val="en-GB"/>
        </w:rPr>
        <w:t>Gbemileke</w:t>
      </w:r>
      <w:proofErr w:type="spellEnd"/>
      <w:r w:rsidRPr="00F50B84">
        <w:rPr>
          <w:rFonts w:ascii="Garamond" w:hAnsi="Garamond"/>
          <w:bCs/>
          <w:iCs/>
          <w:sz w:val="20"/>
          <w:szCs w:val="20"/>
          <w:lang w:val="en-GB"/>
        </w:rPr>
        <w:t xml:space="preserve"> AO, et al. Why acute undernutrition? A qualitative exploration of food preferences and perceptions among adolescent girls in rural Nigeria. </w:t>
      </w:r>
      <w:r w:rsidRPr="00F50B84">
        <w:rPr>
          <w:rFonts w:ascii="Garamond" w:hAnsi="Garamond"/>
          <w:bCs/>
          <w:i/>
          <w:iCs/>
          <w:sz w:val="20"/>
          <w:szCs w:val="20"/>
          <w:lang w:val="en-GB"/>
        </w:rPr>
        <w:t>Nutrients</w:t>
      </w:r>
      <w:r w:rsidRPr="00F50B84">
        <w:rPr>
          <w:rFonts w:ascii="Garamond" w:hAnsi="Garamond"/>
          <w:bCs/>
          <w:iCs/>
          <w:sz w:val="20"/>
          <w:szCs w:val="20"/>
          <w:lang w:val="en-GB"/>
        </w:rPr>
        <w:t>. 2024;16(2):204. doi:10.3390/nu16020204.</w:t>
      </w:r>
    </w:p>
    <w:p w14:paraId="7770CA21"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Belay DG, </w:t>
      </w:r>
      <w:proofErr w:type="spellStart"/>
      <w:r w:rsidRPr="00F50B84">
        <w:rPr>
          <w:rFonts w:ascii="Garamond" w:hAnsi="Garamond"/>
          <w:bCs/>
          <w:iCs/>
          <w:sz w:val="20"/>
          <w:szCs w:val="20"/>
          <w:lang w:val="en-GB"/>
        </w:rPr>
        <w:t>Amlak</w:t>
      </w:r>
      <w:proofErr w:type="spellEnd"/>
      <w:r w:rsidRPr="00F50B84">
        <w:rPr>
          <w:rFonts w:ascii="Garamond" w:hAnsi="Garamond"/>
          <w:bCs/>
          <w:iCs/>
          <w:sz w:val="20"/>
          <w:szCs w:val="20"/>
          <w:lang w:val="en-GB"/>
        </w:rPr>
        <w:t xml:space="preserve"> BT, </w:t>
      </w:r>
      <w:proofErr w:type="spellStart"/>
      <w:r w:rsidRPr="00F50B84">
        <w:rPr>
          <w:rFonts w:ascii="Garamond" w:hAnsi="Garamond"/>
          <w:bCs/>
          <w:iCs/>
          <w:sz w:val="20"/>
          <w:szCs w:val="20"/>
          <w:lang w:val="en-GB"/>
        </w:rPr>
        <w:t>Chilot</w:t>
      </w:r>
      <w:proofErr w:type="spellEnd"/>
      <w:r w:rsidRPr="00F50B84">
        <w:rPr>
          <w:rFonts w:ascii="Garamond" w:hAnsi="Garamond"/>
          <w:bCs/>
          <w:iCs/>
          <w:sz w:val="20"/>
          <w:szCs w:val="20"/>
          <w:lang w:val="en-GB"/>
        </w:rPr>
        <w:t xml:space="preserve"> D, et al. Pooled prevalence of anaemia and its associated factors among adolescent girls in East and West Africa: a systematic review and meta-analysis. </w:t>
      </w:r>
      <w:r w:rsidRPr="00F50B84">
        <w:rPr>
          <w:rFonts w:ascii="Garamond" w:hAnsi="Garamond"/>
          <w:bCs/>
          <w:i/>
          <w:iCs/>
          <w:sz w:val="20"/>
          <w:szCs w:val="20"/>
          <w:lang w:val="en-GB"/>
        </w:rPr>
        <w:t>BMC Public Health</w:t>
      </w:r>
      <w:r w:rsidRPr="00F50B84">
        <w:rPr>
          <w:rFonts w:ascii="Garamond" w:hAnsi="Garamond"/>
          <w:bCs/>
          <w:iCs/>
          <w:sz w:val="20"/>
          <w:szCs w:val="20"/>
          <w:lang w:val="en-GB"/>
        </w:rPr>
        <w:t>. 2025;25(1):2482. doi:10.1186/s12889-024-20892-0.</w:t>
      </w:r>
    </w:p>
    <w:p w14:paraId="3D074701"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World Health Organization. Social determinants of health. Geneva: WHO; 2024 [cited 2026 Mar 22]. Available from: https://www.who.int</w:t>
      </w:r>
    </w:p>
    <w:p w14:paraId="5B3BC44F"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Monge-Rojas R, Vargas-Quesada R, Gómez G. Role of residence area on diet diversity and micronutrient intake adequacy in urban and rural Costa Rican adolescents. </w:t>
      </w:r>
      <w:r w:rsidRPr="00F50B84">
        <w:rPr>
          <w:rFonts w:ascii="Garamond" w:hAnsi="Garamond"/>
          <w:bCs/>
          <w:i/>
          <w:iCs/>
          <w:sz w:val="20"/>
          <w:szCs w:val="20"/>
          <w:lang w:val="en-GB"/>
        </w:rPr>
        <w:t>Nutrients</w:t>
      </w:r>
      <w:r w:rsidRPr="00F50B84">
        <w:rPr>
          <w:rFonts w:ascii="Garamond" w:hAnsi="Garamond"/>
          <w:bCs/>
          <w:iCs/>
          <w:sz w:val="20"/>
          <w:szCs w:val="20"/>
          <w:lang w:val="en-GB"/>
        </w:rPr>
        <w:t>. 2022;14(23):5093. doi:10.3390/nu14235093.</w:t>
      </w:r>
    </w:p>
    <w:p w14:paraId="1EE6E776" w14:textId="77777777" w:rsidR="0092475B" w:rsidRPr="00F50B84" w:rsidRDefault="0092475B" w:rsidP="00F50B84">
      <w:pPr>
        <w:numPr>
          <w:ilvl w:val="0"/>
          <w:numId w:val="26"/>
        </w:numPr>
        <w:tabs>
          <w:tab w:val="clear" w:pos="720"/>
          <w:tab w:val="num" w:pos="426"/>
        </w:tabs>
        <w:ind w:left="283" w:hanging="357"/>
        <w:rPr>
          <w:rFonts w:ascii="Garamond" w:hAnsi="Garamond"/>
          <w:bCs/>
          <w:iCs/>
          <w:sz w:val="20"/>
          <w:szCs w:val="20"/>
          <w:lang w:val="en-GB"/>
        </w:rPr>
      </w:pPr>
      <w:r w:rsidRPr="00F50B84">
        <w:rPr>
          <w:rFonts w:ascii="Garamond" w:hAnsi="Garamond"/>
          <w:bCs/>
          <w:iCs/>
          <w:sz w:val="20"/>
          <w:szCs w:val="20"/>
          <w:lang w:val="en-GB"/>
        </w:rPr>
        <w:t xml:space="preserve">Golan J, </w:t>
      </w:r>
      <w:proofErr w:type="spellStart"/>
      <w:r w:rsidRPr="00F50B84">
        <w:rPr>
          <w:rFonts w:ascii="Garamond" w:hAnsi="Garamond"/>
          <w:bCs/>
          <w:iCs/>
          <w:sz w:val="20"/>
          <w:szCs w:val="20"/>
          <w:lang w:val="en-GB"/>
        </w:rPr>
        <w:t>Isopi</w:t>
      </w:r>
      <w:proofErr w:type="spellEnd"/>
      <w:r w:rsidRPr="00F50B84">
        <w:rPr>
          <w:rFonts w:ascii="Garamond" w:hAnsi="Garamond"/>
          <w:bCs/>
          <w:iCs/>
          <w:sz w:val="20"/>
          <w:szCs w:val="20"/>
          <w:lang w:val="en-GB"/>
        </w:rPr>
        <w:t xml:space="preserve"> A. Bargaining power and inheritance norms: evidence from polygamous households in Nigeria. Manchester: University of Manchester; 2022.</w:t>
      </w:r>
    </w:p>
    <w:p w14:paraId="793D9905" w14:textId="77777777" w:rsidR="0092475B" w:rsidRDefault="0092475B" w:rsidP="0092475B">
      <w:pPr>
        <w:spacing w:line="259" w:lineRule="auto"/>
        <w:jc w:val="both"/>
        <w:rPr>
          <w:rFonts w:ascii="Garamond" w:hAnsi="Garamond"/>
          <w:bCs/>
          <w:iCs/>
          <w:sz w:val="20"/>
          <w:szCs w:val="20"/>
          <w:lang w:val="en-GB"/>
        </w:rPr>
      </w:pPr>
    </w:p>
    <w:p w14:paraId="3D4042DB" w14:textId="77777777" w:rsidR="00F50B84" w:rsidRDefault="00F50B84" w:rsidP="0092475B">
      <w:pPr>
        <w:spacing w:line="259" w:lineRule="auto"/>
        <w:jc w:val="both"/>
        <w:rPr>
          <w:rFonts w:ascii="Garamond" w:hAnsi="Garamond"/>
          <w:bCs/>
          <w:iCs/>
          <w:sz w:val="20"/>
          <w:szCs w:val="20"/>
          <w:lang w:val="en-GB"/>
        </w:rPr>
      </w:pPr>
    </w:p>
    <w:p w14:paraId="093480DE" w14:textId="77777777" w:rsidR="00F50B84" w:rsidRPr="0092475B" w:rsidRDefault="00F50B84" w:rsidP="0092475B">
      <w:pPr>
        <w:spacing w:line="259" w:lineRule="auto"/>
        <w:jc w:val="both"/>
        <w:rPr>
          <w:rFonts w:ascii="Garamond" w:hAnsi="Garamond"/>
          <w:bCs/>
          <w:iCs/>
          <w:sz w:val="20"/>
          <w:szCs w:val="20"/>
          <w:lang w:val="en-GB"/>
        </w:rPr>
      </w:pPr>
    </w:p>
    <w:p w14:paraId="4B2453D2" w14:textId="77777777" w:rsidR="0092475B" w:rsidRPr="0092475B" w:rsidRDefault="0092475B" w:rsidP="0092475B">
      <w:pPr>
        <w:spacing w:line="259" w:lineRule="auto"/>
        <w:jc w:val="both"/>
        <w:rPr>
          <w:rFonts w:ascii="Garamond" w:hAnsi="Garamond"/>
          <w:bCs/>
          <w:iCs/>
          <w:sz w:val="20"/>
          <w:szCs w:val="20"/>
          <w:lang w:val="en-GB"/>
        </w:rPr>
      </w:pPr>
    </w:p>
    <w:p w14:paraId="072ACC0A" w14:textId="338D364E" w:rsidR="00C064EF" w:rsidRPr="00C16735" w:rsidRDefault="00C064EF" w:rsidP="007A1526">
      <w:pPr>
        <w:spacing w:line="259" w:lineRule="auto"/>
        <w:jc w:val="both"/>
        <w:rPr>
          <w:rFonts w:ascii="Garamond" w:hAnsi="Garamond"/>
          <w:bCs/>
          <w:iCs/>
          <w:sz w:val="20"/>
          <w:szCs w:val="20"/>
        </w:rPr>
      </w:pPr>
    </w:p>
    <w:p w14:paraId="7586736C" w14:textId="592F6F48" w:rsidR="00C064EF" w:rsidRPr="00C16735" w:rsidRDefault="00C064EF" w:rsidP="007A1526">
      <w:pPr>
        <w:spacing w:line="259" w:lineRule="auto"/>
        <w:jc w:val="both"/>
        <w:rPr>
          <w:rFonts w:ascii="Garamond" w:hAnsi="Garamond"/>
          <w:bCs/>
          <w:iCs/>
          <w:sz w:val="20"/>
          <w:szCs w:val="20"/>
        </w:rPr>
      </w:pPr>
    </w:p>
    <w:p w14:paraId="1E996A57" w14:textId="77777777" w:rsidR="00C064EF" w:rsidRPr="00C16735" w:rsidRDefault="00C064EF" w:rsidP="007A1526">
      <w:pPr>
        <w:spacing w:line="259" w:lineRule="auto"/>
        <w:jc w:val="both"/>
        <w:rPr>
          <w:rFonts w:ascii="Garamond" w:hAnsi="Garamond"/>
          <w:bCs/>
          <w:iCs/>
          <w:sz w:val="20"/>
          <w:szCs w:val="20"/>
        </w:rPr>
      </w:pPr>
    </w:p>
    <w:p w14:paraId="24B7FF9B" w14:textId="77777777" w:rsidR="00C064EF" w:rsidRPr="00C16735" w:rsidRDefault="00C064EF" w:rsidP="007A1526">
      <w:pPr>
        <w:spacing w:line="259" w:lineRule="auto"/>
        <w:jc w:val="both"/>
        <w:rPr>
          <w:rFonts w:ascii="Garamond" w:hAnsi="Garamond"/>
          <w:bCs/>
          <w:iCs/>
          <w:sz w:val="20"/>
          <w:szCs w:val="20"/>
        </w:rPr>
      </w:pPr>
    </w:p>
    <w:sectPr w:rsidR="00C064EF" w:rsidRPr="00C16735" w:rsidSect="0092475B">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5D9A1" w14:textId="77777777" w:rsidR="004728B9" w:rsidRDefault="004728B9" w:rsidP="00202B90">
      <w:r>
        <w:separator/>
      </w:r>
    </w:p>
  </w:endnote>
  <w:endnote w:type="continuationSeparator" w:id="0">
    <w:p w14:paraId="1ECC1045" w14:textId="77777777" w:rsidR="004728B9" w:rsidRDefault="004728B9"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50"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49A89" w14:textId="77777777" w:rsidR="004728B9" w:rsidRDefault="004728B9" w:rsidP="00202B90">
      <w:bookmarkStart w:id="0" w:name="_Hlk191386689"/>
      <w:bookmarkEnd w:id="0"/>
      <w:r>
        <w:separator/>
      </w:r>
    </w:p>
  </w:footnote>
  <w:footnote w:type="continuationSeparator" w:id="0">
    <w:p w14:paraId="4070D8F1" w14:textId="77777777" w:rsidR="004728B9" w:rsidRDefault="004728B9"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12330C5B" w14:textId="77777777" w:rsidR="007936BA" w:rsidRPr="007936BA" w:rsidRDefault="007936BA" w:rsidP="007936BA">
    <w:pPr>
      <w:pStyle w:val="Header"/>
      <w:tabs>
        <w:tab w:val="left" w:pos="630"/>
      </w:tabs>
      <w:rPr>
        <w:rFonts w:ascii="Garamond" w:hAnsi="Garamond"/>
        <w:sz w:val="20"/>
        <w:szCs w:val="22"/>
        <w:lang w:val="en-GB"/>
      </w:rPr>
    </w:pPr>
    <w:r w:rsidRPr="007936BA">
      <w:rPr>
        <w:rFonts w:ascii="Garamond" w:hAnsi="Garamond"/>
        <w:sz w:val="20"/>
        <w:szCs w:val="22"/>
        <w:lang w:val="en-GB"/>
      </w:rPr>
      <w:t xml:space="preserve">Nutrition Knowledge, Diet Quality and Nutritional Status of Pregnant Adolescents </w:t>
    </w:r>
  </w:p>
  <w:p w14:paraId="5D172485" w14:textId="26741847" w:rsidR="002238CA" w:rsidRDefault="007936BA" w:rsidP="00E94E49">
    <w:pPr>
      <w:pStyle w:val="Header"/>
      <w:tabs>
        <w:tab w:val="clear" w:pos="4320"/>
        <w:tab w:val="clear" w:pos="8640"/>
        <w:tab w:val="left" w:pos="630"/>
      </w:tabs>
      <w:jc w:val="both"/>
      <w:rPr>
        <w:rFonts w:ascii="Garamond" w:hAnsi="Garamond"/>
        <w:sz w:val="20"/>
        <w:szCs w:val="22"/>
        <w:lang w:val="en-GB"/>
      </w:rPr>
    </w:pPr>
    <w:proofErr w:type="spellStart"/>
    <w:r w:rsidRPr="007936BA">
      <w:rPr>
        <w:rFonts w:ascii="Garamond" w:hAnsi="Garamond"/>
        <w:sz w:val="20"/>
        <w:szCs w:val="22"/>
        <w:lang w:val="en-GB"/>
      </w:rPr>
      <w:t>Onyekweli-Ugeh</w:t>
    </w:r>
    <w:proofErr w:type="spellEnd"/>
    <w:r w:rsidRPr="007936BA">
      <w:rPr>
        <w:rFonts w:ascii="Garamond" w:hAnsi="Garamond"/>
        <w:sz w:val="20"/>
        <w:szCs w:val="22"/>
      </w:rPr>
      <w:t xml:space="preserve"> </w:t>
    </w:r>
    <w:r w:rsidR="008134A3">
      <w:rPr>
        <w:rFonts w:ascii="Garamond" w:hAnsi="Garamond"/>
        <w:sz w:val="20"/>
        <w:szCs w:val="22"/>
      </w:rPr>
      <w:t>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21F22FFD" w14:textId="77777777" w:rsidR="007936BA" w:rsidRPr="007936BA" w:rsidRDefault="007936BA" w:rsidP="007936BA">
    <w:pPr>
      <w:pStyle w:val="Header"/>
      <w:tabs>
        <w:tab w:val="left" w:pos="630"/>
      </w:tabs>
      <w:rPr>
        <w:rFonts w:ascii="Garamond" w:hAnsi="Garamond"/>
        <w:sz w:val="20"/>
        <w:szCs w:val="22"/>
        <w:lang w:val="en-GB"/>
      </w:rPr>
    </w:pPr>
    <w:r w:rsidRPr="007936BA">
      <w:rPr>
        <w:rFonts w:ascii="Garamond" w:hAnsi="Garamond"/>
        <w:sz w:val="20"/>
        <w:szCs w:val="22"/>
        <w:lang w:val="en-GB"/>
      </w:rPr>
      <w:t xml:space="preserve">Nutrition Knowledge, Diet Quality and Nutritional Status of Pregnant Adolescents </w:t>
    </w:r>
  </w:p>
  <w:p w14:paraId="6327B22F" w14:textId="77777777" w:rsidR="007936BA" w:rsidRDefault="007936BA" w:rsidP="007936BA">
    <w:pPr>
      <w:pStyle w:val="Header"/>
      <w:tabs>
        <w:tab w:val="clear" w:pos="4320"/>
        <w:tab w:val="clear" w:pos="8640"/>
        <w:tab w:val="left" w:pos="630"/>
      </w:tabs>
      <w:jc w:val="both"/>
      <w:rPr>
        <w:rFonts w:ascii="Garamond" w:hAnsi="Garamond"/>
        <w:sz w:val="20"/>
        <w:szCs w:val="22"/>
        <w:lang w:val="en-GB"/>
      </w:rPr>
    </w:pPr>
    <w:proofErr w:type="spellStart"/>
    <w:r w:rsidRPr="007936BA">
      <w:rPr>
        <w:rFonts w:ascii="Garamond" w:hAnsi="Garamond"/>
        <w:sz w:val="20"/>
        <w:szCs w:val="22"/>
        <w:lang w:val="en-GB"/>
      </w:rPr>
      <w:t>Onyekweli-Ugeh</w:t>
    </w:r>
    <w:proofErr w:type="spellEnd"/>
    <w:r w:rsidRPr="007936BA">
      <w:rPr>
        <w:rFonts w:ascii="Garamond" w:hAnsi="Garamond"/>
        <w:sz w:val="20"/>
        <w:szCs w:val="22"/>
      </w:rPr>
      <w:t xml:space="preserve"> </w:t>
    </w:r>
    <w:r>
      <w:rPr>
        <w:rFonts w:ascii="Garamond" w:hAnsi="Garamond"/>
        <w:sz w:val="20"/>
        <w:szCs w:val="22"/>
      </w:rPr>
      <w:t>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16704473" w14:textId="77777777" w:rsidR="007936BA" w:rsidRPr="007936BA" w:rsidRDefault="007936BA" w:rsidP="007936BA">
    <w:pPr>
      <w:pStyle w:val="Header"/>
      <w:tabs>
        <w:tab w:val="left" w:pos="630"/>
      </w:tabs>
      <w:rPr>
        <w:rFonts w:ascii="Garamond" w:hAnsi="Garamond"/>
        <w:sz w:val="20"/>
        <w:szCs w:val="22"/>
        <w:lang w:val="en-GB"/>
      </w:rPr>
    </w:pPr>
    <w:r w:rsidRPr="007936BA">
      <w:rPr>
        <w:rFonts w:ascii="Garamond" w:hAnsi="Garamond"/>
        <w:sz w:val="20"/>
        <w:szCs w:val="22"/>
        <w:lang w:val="en-GB"/>
      </w:rPr>
      <w:t xml:space="preserve">Nutrition Knowledge, Diet Quality and Nutritional Status of Pregnant Adolescents </w:t>
    </w:r>
  </w:p>
  <w:p w14:paraId="6BFE9DA2" w14:textId="77777777" w:rsidR="007936BA" w:rsidRDefault="007936BA" w:rsidP="007936BA">
    <w:pPr>
      <w:pStyle w:val="Header"/>
      <w:tabs>
        <w:tab w:val="clear" w:pos="4320"/>
        <w:tab w:val="clear" w:pos="8640"/>
        <w:tab w:val="left" w:pos="630"/>
      </w:tabs>
      <w:jc w:val="both"/>
      <w:rPr>
        <w:rFonts w:ascii="Garamond" w:hAnsi="Garamond"/>
        <w:sz w:val="20"/>
        <w:szCs w:val="22"/>
        <w:lang w:val="en-GB"/>
      </w:rPr>
    </w:pPr>
    <w:proofErr w:type="spellStart"/>
    <w:r w:rsidRPr="007936BA">
      <w:rPr>
        <w:rFonts w:ascii="Garamond" w:hAnsi="Garamond"/>
        <w:sz w:val="20"/>
        <w:szCs w:val="22"/>
        <w:lang w:val="en-GB"/>
      </w:rPr>
      <w:t>Onyekweli-Ugeh</w:t>
    </w:r>
    <w:proofErr w:type="spellEnd"/>
    <w:r w:rsidRPr="007936BA">
      <w:rPr>
        <w:rFonts w:ascii="Garamond" w:hAnsi="Garamond"/>
        <w:sz w:val="20"/>
        <w:szCs w:val="22"/>
      </w:rPr>
      <w:t xml:space="preserve"> </w:t>
    </w:r>
    <w:r>
      <w:rPr>
        <w:rFonts w:ascii="Garamond" w:hAnsi="Garamond"/>
        <w:sz w:val="20"/>
        <w:szCs w:val="22"/>
      </w:rPr>
      <w:t>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245278"/>
    <w:multiLevelType w:val="multilevel"/>
    <w:tmpl w:val="21D07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19"/>
  </w:num>
  <w:num w:numId="13" w16cid:durableId="52851340">
    <w:abstractNumId w:val="20"/>
  </w:num>
  <w:num w:numId="14" w16cid:durableId="1055860988">
    <w:abstractNumId w:val="12"/>
  </w:num>
  <w:num w:numId="15" w16cid:durableId="1380934824">
    <w:abstractNumId w:val="21"/>
  </w:num>
  <w:num w:numId="16" w16cid:durableId="1314261793">
    <w:abstractNumId w:val="5"/>
  </w:num>
  <w:num w:numId="17" w16cid:durableId="1221361593">
    <w:abstractNumId w:val="24"/>
  </w:num>
  <w:num w:numId="18" w16cid:durableId="377054002">
    <w:abstractNumId w:val="8"/>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9"/>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99826754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2BA8"/>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ECA"/>
    <w:rsid w:val="00300F04"/>
    <w:rsid w:val="0030520A"/>
    <w:rsid w:val="0030596C"/>
    <w:rsid w:val="00306701"/>
    <w:rsid w:val="00307E62"/>
    <w:rsid w:val="00310818"/>
    <w:rsid w:val="00310A0B"/>
    <w:rsid w:val="00313E51"/>
    <w:rsid w:val="00316BC0"/>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10F"/>
    <w:rsid w:val="00384FB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35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17B0"/>
    <w:rsid w:val="004728B9"/>
    <w:rsid w:val="00472E78"/>
    <w:rsid w:val="00474FFF"/>
    <w:rsid w:val="004754AA"/>
    <w:rsid w:val="00476E9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96AD5"/>
    <w:rsid w:val="005A1025"/>
    <w:rsid w:val="005A3DA6"/>
    <w:rsid w:val="005A46B6"/>
    <w:rsid w:val="005A486D"/>
    <w:rsid w:val="005B38EF"/>
    <w:rsid w:val="005C0FDE"/>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5E8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6BA"/>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1CD8"/>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475B"/>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5A0"/>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6FFF"/>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4EF"/>
    <w:rsid w:val="00C067B5"/>
    <w:rsid w:val="00C11E74"/>
    <w:rsid w:val="00C140B1"/>
    <w:rsid w:val="00C16735"/>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56E4"/>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38AE"/>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5149"/>
    <w:rsid w:val="00DE6FDC"/>
    <w:rsid w:val="00DE7A02"/>
    <w:rsid w:val="00DF0088"/>
    <w:rsid w:val="00DF1105"/>
    <w:rsid w:val="00DF4D85"/>
    <w:rsid w:val="00DF4F59"/>
    <w:rsid w:val="00DF7DB1"/>
    <w:rsid w:val="00E01B40"/>
    <w:rsid w:val="00E022E6"/>
    <w:rsid w:val="00E03827"/>
    <w:rsid w:val="00E1345C"/>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D6F97"/>
    <w:rsid w:val="00EE184D"/>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0B84"/>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B5C13"/>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ehch@pg.abuad.edu.ng"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s://www.researchgate.net/publication/3585655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77" TargetMode="External"/><Relationship Id="rId28" Type="http://schemas.openxmlformats.org/officeDocument/2006/relationships/chart" Target="charts/chart3.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77" TargetMode="External"/><Relationship Id="rId27" Type="http://schemas.openxmlformats.org/officeDocument/2006/relationships/chart" Target="charts/chart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Sheet1!$B$1</c:f>
              <c:strCache>
                <c:ptCount val="1"/>
                <c:pt idx="0">
                  <c:v>High</c:v>
                </c:pt>
              </c:strCache>
            </c:strRef>
          </c:tx>
          <c:spPr>
            <a:solidFill>
              <a:srgbClr val="00B050"/>
            </a:solidFill>
          </c:spPr>
          <c:invertIfNegative val="0"/>
          <c:dLbls>
            <c:dLbl>
              <c:idx val="0"/>
              <c:layout>
                <c:manualLayout>
                  <c:x val="3.4509044068776432E-2"/>
                  <c:y val="-8.6960263252910362E-3"/>
                </c:manualLayout>
              </c:layout>
              <c:tx>
                <c:rich>
                  <a:bodyPr wrap="square" lIns="38100" tIns="19050" rIns="38100" bIns="19050" anchor="ctr">
                    <a:spAutoFit/>
                  </a:bodyPr>
                  <a:lstStyle/>
                  <a:p>
                    <a:pPr>
                      <a:defRPr sz="1000" b="1"/>
                    </a:pPr>
                    <a:r>
                      <a:rPr lang="en-US" sz="1000"/>
                      <a:t>132(66%)</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D396-42EF-8CA1-439CE07F642F}"/>
                </c:ext>
              </c:extLst>
            </c:dLbl>
            <c:spPr>
              <a:noFill/>
              <a:ln>
                <a:noFill/>
              </a:ln>
              <a:effectLst/>
            </c:spPr>
            <c:txPr>
              <a:bodyPr wrap="square" lIns="38100" tIns="19050" rIns="38100" bIns="19050" anchor="ctr">
                <a:spAutoFit/>
              </a:bodyPr>
              <a:lstStyle/>
              <a:p>
                <a:pPr>
                  <a:defRPr b="1"/>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c:f>
              <c:strCache>
                <c:ptCount val="1"/>
                <c:pt idx="0">
                  <c:v>Category 1</c:v>
                </c:pt>
              </c:strCache>
            </c:strRef>
          </c:cat>
          <c:val>
            <c:numRef>
              <c:f>Sheet1!$B$2</c:f>
              <c:numCache>
                <c:formatCode>General</c:formatCode>
                <c:ptCount val="1"/>
                <c:pt idx="0">
                  <c:v>66</c:v>
                </c:pt>
              </c:numCache>
            </c:numRef>
          </c:val>
          <c:extLst>
            <c:ext xmlns:c16="http://schemas.microsoft.com/office/drawing/2014/chart" uri="{C3380CC4-5D6E-409C-BE32-E72D297353CC}">
              <c16:uniqueId val="{00000001-D396-42EF-8CA1-439CE07F642F}"/>
            </c:ext>
          </c:extLst>
        </c:ser>
        <c:ser>
          <c:idx val="1"/>
          <c:order val="1"/>
          <c:tx>
            <c:strRef>
              <c:f>Sheet1!$C$1</c:f>
              <c:strCache>
                <c:ptCount val="1"/>
                <c:pt idx="0">
                  <c:v>Medium</c:v>
                </c:pt>
              </c:strCache>
            </c:strRef>
          </c:tx>
          <c:spPr>
            <a:solidFill>
              <a:srgbClr val="4F81BD"/>
            </a:solidFill>
          </c:spPr>
          <c:invertIfNegative val="0"/>
          <c:dLbls>
            <c:dLbl>
              <c:idx val="0"/>
              <c:layout>
                <c:manualLayout>
                  <c:x val="7.6186690760287903E-2"/>
                  <c:y val="-6.5372034344624005E-2"/>
                </c:manualLayout>
              </c:layout>
              <c:tx>
                <c:rich>
                  <a:bodyPr wrap="square" lIns="38100" tIns="19050" rIns="38100" bIns="19050" anchor="ctr">
                    <a:noAutofit/>
                  </a:bodyPr>
                  <a:lstStyle/>
                  <a:p>
                    <a:pPr>
                      <a:defRPr sz="900" b="1"/>
                    </a:pPr>
                    <a:r>
                      <a:rPr lang="en-US" sz="900" b="1"/>
                      <a:t>56(28%)</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layout>
                    <c:manualLayout>
                      <c:w val="0.18534625056684667"/>
                      <c:h val="0.20672063016627007"/>
                    </c:manualLayout>
                  </c15:layout>
                  <c15:showDataLabelsRange val="0"/>
                </c:ext>
                <c:ext xmlns:c16="http://schemas.microsoft.com/office/drawing/2014/chart" uri="{C3380CC4-5D6E-409C-BE32-E72D297353CC}">
                  <c16:uniqueId val="{00000002-D396-42EF-8CA1-439CE07F642F}"/>
                </c:ext>
              </c:extLst>
            </c:dLbl>
            <c:spPr>
              <a:noFill/>
              <a:ln>
                <a:noFill/>
              </a:ln>
              <a:effectLst/>
            </c:spPr>
            <c:txPr>
              <a:bodyPr wrap="square" lIns="38100" tIns="19050" rIns="38100" bIns="19050" anchor="ctr">
                <a:spAutoFit/>
              </a:bodyPr>
              <a:lstStyle/>
              <a:p>
                <a:pPr>
                  <a:defRPr sz="900" b="1"/>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c:f>
              <c:strCache>
                <c:ptCount val="1"/>
                <c:pt idx="0">
                  <c:v>Category 1</c:v>
                </c:pt>
              </c:strCache>
            </c:strRef>
          </c:cat>
          <c:val>
            <c:numRef>
              <c:f>Sheet1!$C$2</c:f>
              <c:numCache>
                <c:formatCode>General</c:formatCode>
                <c:ptCount val="1"/>
                <c:pt idx="0">
                  <c:v>28</c:v>
                </c:pt>
              </c:numCache>
            </c:numRef>
          </c:val>
          <c:extLst>
            <c:ext xmlns:c16="http://schemas.microsoft.com/office/drawing/2014/chart" uri="{C3380CC4-5D6E-409C-BE32-E72D297353CC}">
              <c16:uniqueId val="{00000003-D396-42EF-8CA1-439CE07F642F}"/>
            </c:ext>
          </c:extLst>
        </c:ser>
        <c:ser>
          <c:idx val="2"/>
          <c:order val="2"/>
          <c:tx>
            <c:strRef>
              <c:f>Sheet1!$D$1</c:f>
              <c:strCache>
                <c:ptCount val="1"/>
                <c:pt idx="0">
                  <c:v>Low</c:v>
                </c:pt>
              </c:strCache>
            </c:strRef>
          </c:tx>
          <c:spPr>
            <a:solidFill>
              <a:srgbClr val="FF0000"/>
            </a:solidFill>
          </c:spPr>
          <c:invertIfNegative val="0"/>
          <c:dLbls>
            <c:dLbl>
              <c:idx val="0"/>
              <c:layout>
                <c:manualLayout>
                  <c:x val="1.3888888888888888E-2"/>
                  <c:y val="-5.1803768431385074E-2"/>
                </c:manualLayout>
              </c:layout>
              <c:tx>
                <c:rich>
                  <a:bodyPr/>
                  <a:lstStyle/>
                  <a:p>
                    <a:r>
                      <a:rPr lang="en-US"/>
                      <a:t>12(6%)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D396-42EF-8CA1-439CE07F642F}"/>
                </c:ext>
              </c:extLst>
            </c:dLbl>
            <c:spPr>
              <a:noFill/>
              <a:ln>
                <a:noFill/>
              </a:ln>
              <a:effectLst/>
            </c:spPr>
            <c:txPr>
              <a:bodyPr wrap="square" lIns="38100" tIns="19050" rIns="38100" bIns="19050" anchor="ctr">
                <a:spAutoFit/>
              </a:bodyPr>
              <a:lstStyle/>
              <a:p>
                <a:pPr>
                  <a:defRPr b="1"/>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c:f>
              <c:strCache>
                <c:ptCount val="1"/>
                <c:pt idx="0">
                  <c:v>Category 1</c:v>
                </c:pt>
              </c:strCache>
            </c:strRef>
          </c:cat>
          <c:val>
            <c:numRef>
              <c:f>Sheet1!$D$2</c:f>
              <c:numCache>
                <c:formatCode>General</c:formatCode>
                <c:ptCount val="1"/>
                <c:pt idx="0">
                  <c:v>6</c:v>
                </c:pt>
              </c:numCache>
            </c:numRef>
          </c:val>
          <c:extLst>
            <c:ext xmlns:c16="http://schemas.microsoft.com/office/drawing/2014/chart" uri="{C3380CC4-5D6E-409C-BE32-E72D297353CC}">
              <c16:uniqueId val="{00000005-D396-42EF-8CA1-439CE07F642F}"/>
            </c:ext>
          </c:extLst>
        </c:ser>
        <c:dLbls>
          <c:showLegendKey val="0"/>
          <c:showVal val="0"/>
          <c:showCatName val="0"/>
          <c:showSerName val="0"/>
          <c:showPercent val="0"/>
          <c:showBubbleSize val="0"/>
        </c:dLbls>
        <c:gapWidth val="150"/>
        <c:shape val="cylinder"/>
        <c:axId val="110280704"/>
        <c:axId val="137553408"/>
        <c:axId val="0"/>
      </c:bar3DChart>
      <c:catAx>
        <c:axId val="110280704"/>
        <c:scaling>
          <c:orientation val="minMax"/>
        </c:scaling>
        <c:delete val="1"/>
        <c:axPos val="l"/>
        <c:numFmt formatCode="General" sourceLinked="0"/>
        <c:majorTickMark val="out"/>
        <c:minorTickMark val="none"/>
        <c:tickLblPos val="nextTo"/>
        <c:crossAx val="137553408"/>
        <c:crosses val="autoZero"/>
        <c:auto val="1"/>
        <c:lblAlgn val="ctr"/>
        <c:lblOffset val="100"/>
        <c:noMultiLvlLbl val="0"/>
      </c:catAx>
      <c:valAx>
        <c:axId val="137553408"/>
        <c:scaling>
          <c:orientation val="minMax"/>
        </c:scaling>
        <c:delete val="0"/>
        <c:axPos val="b"/>
        <c:numFmt formatCode="General" sourceLinked="1"/>
        <c:majorTickMark val="out"/>
        <c:minorTickMark val="none"/>
        <c:tickLblPos val="nextTo"/>
        <c:crossAx val="110280704"/>
        <c:crosses val="autoZero"/>
        <c:crossBetween val="between"/>
      </c:valAx>
      <c:spPr>
        <a:noFill/>
        <a:ln w="25400">
          <a:noFill/>
        </a:ln>
      </c:spPr>
    </c:plotArea>
    <c:legend>
      <c:legendPos val="r"/>
      <c:overlay val="0"/>
      <c:txPr>
        <a:bodyPr/>
        <a:lstStyle/>
        <a:p>
          <a:pPr>
            <a:defRPr sz="1000" b="0" i="0">
              <a:latin typeface="Garamond" panose="02020404030301010803" pitchFamily="18" charset="0"/>
            </a:defRPr>
          </a:pPr>
          <a:endParaRPr lang="en-US"/>
        </a:p>
      </c:txPr>
    </c:legend>
    <c:plotVisOnly val="1"/>
    <c:dispBlanksAs val="gap"/>
    <c:showDLblsOverMax val="0"/>
  </c:chart>
  <c:txPr>
    <a:bodyPr/>
    <a:lstStyle/>
    <a:p>
      <a:pPr>
        <a:defRPr sz="1050">
          <a:latin typeface="Times New Roman" pitchFamily="18" charset="0"/>
          <a:cs typeface="Times New Roman" pitchFamily="18" charset="0"/>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Sheet1!$B$1</c:f>
              <c:strCache>
                <c:ptCount val="1"/>
                <c:pt idx="0">
                  <c:v>Adequate Dietary Diversity </c:v>
                </c:pt>
              </c:strCache>
            </c:strRef>
          </c:tx>
          <c:spPr>
            <a:solidFill>
              <a:schemeClr val="accent3"/>
            </a:solidFill>
          </c:spPr>
          <c:invertIfNegative val="0"/>
          <c:dLbls>
            <c:dLbl>
              <c:idx val="0"/>
              <c:layout>
                <c:manualLayout>
                  <c:x val="2.9852960639724972E-2"/>
                  <c:y val="9.7677790276214892E-3"/>
                </c:manualLayout>
              </c:layout>
              <c:tx>
                <c:rich>
                  <a:bodyPr/>
                  <a:lstStyle/>
                  <a:p>
                    <a:r>
                      <a:rPr lang="en-US" b="0"/>
                      <a:t>107(53.5%)</a:t>
                    </a:r>
                  </a:p>
                </c:rich>
              </c:tx>
              <c:showLegendKey val="0"/>
              <c:showVal val="1"/>
              <c:showCatName val="0"/>
              <c:showSerName val="0"/>
              <c:showPercent val="0"/>
              <c:showBubbleSize val="0"/>
              <c:extLst>
                <c:ext xmlns:c15="http://schemas.microsoft.com/office/drawing/2012/chart" uri="{CE6537A1-D6FC-4f65-9D91-7224C49458BB}">
                  <c15:layout>
                    <c:manualLayout>
                      <c:w val="0.23880473127204815"/>
                      <c:h val="0.17612698412698413"/>
                    </c:manualLayout>
                  </c15:layout>
                  <c15:showDataLabelsRange val="0"/>
                </c:ext>
                <c:ext xmlns:c16="http://schemas.microsoft.com/office/drawing/2014/chart" uri="{C3380CC4-5D6E-409C-BE32-E72D297353CC}">
                  <c16:uniqueId val="{00000000-443C-4524-AF4E-C1CFB3C42609}"/>
                </c:ext>
              </c:extLst>
            </c:dLbl>
            <c:spPr>
              <a:noFill/>
              <a:ln>
                <a:noFill/>
              </a:ln>
              <a:effectLst/>
            </c:spPr>
            <c:txPr>
              <a:bodyPr/>
              <a:lstStyle/>
              <a:p>
                <a:pPr>
                  <a:defRPr lang="en-GB" sz="1100" b="0" i="0">
                    <a:latin typeface="Garamond" panose="02020404030301010803" pitchFamily="18" charset="0"/>
                    <a:cs typeface="Times New Roman"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c:f>
              <c:strCache>
                <c:ptCount val="1"/>
                <c:pt idx="0">
                  <c:v>Category 1</c:v>
                </c:pt>
              </c:strCache>
            </c:strRef>
          </c:cat>
          <c:val>
            <c:numRef>
              <c:f>Sheet1!$B$2</c:f>
              <c:numCache>
                <c:formatCode>General</c:formatCode>
                <c:ptCount val="1"/>
                <c:pt idx="0">
                  <c:v>53.5</c:v>
                </c:pt>
              </c:numCache>
            </c:numRef>
          </c:val>
          <c:extLst>
            <c:ext xmlns:c16="http://schemas.microsoft.com/office/drawing/2014/chart" uri="{C3380CC4-5D6E-409C-BE32-E72D297353CC}">
              <c16:uniqueId val="{00000001-443C-4524-AF4E-C1CFB3C42609}"/>
            </c:ext>
          </c:extLst>
        </c:ser>
        <c:ser>
          <c:idx val="1"/>
          <c:order val="1"/>
          <c:tx>
            <c:strRef>
              <c:f>Sheet1!$C$1</c:f>
              <c:strCache>
                <c:ptCount val="1"/>
                <c:pt idx="0">
                  <c:v>low Dietary Diversity</c:v>
                </c:pt>
              </c:strCache>
            </c:strRef>
          </c:tx>
          <c:invertIfNegative val="0"/>
          <c:dLbls>
            <c:dLbl>
              <c:idx val="0"/>
              <c:layout>
                <c:manualLayout>
                  <c:x val="4.2303613013303959E-2"/>
                  <c:y val="-4.8840048840048953E-3"/>
                </c:manualLayout>
              </c:layout>
              <c:tx>
                <c:rich>
                  <a:bodyPr/>
                  <a:lstStyle/>
                  <a:p>
                    <a:pPr>
                      <a:defRPr lang="en-GB" sz="1100" b="0" i="0">
                        <a:latin typeface="Garamond" panose="02020404030301010803" pitchFamily="18" charset="0"/>
                        <a:cs typeface="Times New Roman" pitchFamily="18" charset="0"/>
                      </a:defRPr>
                    </a:pPr>
                    <a:r>
                      <a:rPr lang="en-US" sz="1100" b="0" i="0">
                        <a:latin typeface="Garamond" panose="02020404030301010803" pitchFamily="18" charset="0"/>
                      </a:rPr>
                      <a:t>93(46.5%)</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layout>
                    <c:manualLayout>
                      <c:w val="0.22176783826487345"/>
                      <c:h val="0.17612698412698413"/>
                    </c:manualLayout>
                  </c15:layout>
                  <c15:showDataLabelsRange val="0"/>
                </c:ext>
                <c:ext xmlns:c16="http://schemas.microsoft.com/office/drawing/2014/chart" uri="{C3380CC4-5D6E-409C-BE32-E72D297353CC}">
                  <c16:uniqueId val="{00000002-443C-4524-AF4E-C1CFB3C42609}"/>
                </c:ext>
              </c:extLst>
            </c:dLbl>
            <c:spPr>
              <a:noFill/>
              <a:ln>
                <a:noFill/>
              </a:ln>
              <a:effectLst/>
            </c:spPr>
            <c:txPr>
              <a:bodyPr/>
              <a:lstStyle/>
              <a:p>
                <a:pPr>
                  <a:defRPr lang="en-GB" sz="1200">
                    <a:latin typeface="Times New Roman" pitchFamily="18" charset="0"/>
                    <a:cs typeface="Times New Roman"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c:f>
              <c:strCache>
                <c:ptCount val="1"/>
                <c:pt idx="0">
                  <c:v>Category 1</c:v>
                </c:pt>
              </c:strCache>
            </c:strRef>
          </c:cat>
          <c:val>
            <c:numRef>
              <c:f>Sheet1!$C$2</c:f>
              <c:numCache>
                <c:formatCode>General</c:formatCode>
                <c:ptCount val="1"/>
                <c:pt idx="0">
                  <c:v>46.5</c:v>
                </c:pt>
              </c:numCache>
            </c:numRef>
          </c:val>
          <c:extLst>
            <c:ext xmlns:c16="http://schemas.microsoft.com/office/drawing/2014/chart" uri="{C3380CC4-5D6E-409C-BE32-E72D297353CC}">
              <c16:uniqueId val="{00000003-443C-4524-AF4E-C1CFB3C42609}"/>
            </c:ext>
          </c:extLst>
        </c:ser>
        <c:dLbls>
          <c:showLegendKey val="0"/>
          <c:showVal val="0"/>
          <c:showCatName val="0"/>
          <c:showSerName val="0"/>
          <c:showPercent val="0"/>
          <c:showBubbleSize val="0"/>
        </c:dLbls>
        <c:gapWidth val="150"/>
        <c:shape val="cylinder"/>
        <c:axId val="165430784"/>
        <c:axId val="165432320"/>
        <c:axId val="0"/>
      </c:bar3DChart>
      <c:catAx>
        <c:axId val="165430784"/>
        <c:scaling>
          <c:orientation val="minMax"/>
        </c:scaling>
        <c:delete val="1"/>
        <c:axPos val="l"/>
        <c:numFmt formatCode="General" sourceLinked="0"/>
        <c:majorTickMark val="out"/>
        <c:minorTickMark val="none"/>
        <c:tickLblPos val="nextTo"/>
        <c:crossAx val="165432320"/>
        <c:crosses val="autoZero"/>
        <c:auto val="1"/>
        <c:lblAlgn val="ctr"/>
        <c:lblOffset val="100"/>
        <c:noMultiLvlLbl val="0"/>
      </c:catAx>
      <c:valAx>
        <c:axId val="165432320"/>
        <c:scaling>
          <c:orientation val="minMax"/>
        </c:scaling>
        <c:delete val="0"/>
        <c:axPos val="b"/>
        <c:numFmt formatCode="General" sourceLinked="1"/>
        <c:majorTickMark val="out"/>
        <c:minorTickMark val="none"/>
        <c:tickLblPos val="nextTo"/>
        <c:txPr>
          <a:bodyPr/>
          <a:lstStyle/>
          <a:p>
            <a:pPr>
              <a:defRPr lang="en-GB"/>
            </a:pPr>
            <a:endParaRPr lang="en-US"/>
          </a:p>
        </c:txPr>
        <c:crossAx val="165430784"/>
        <c:crosses val="autoZero"/>
        <c:crossBetween val="between"/>
      </c:valAx>
      <c:spPr>
        <a:noFill/>
        <a:ln w="25400">
          <a:noFill/>
        </a:ln>
      </c:spPr>
    </c:plotArea>
    <c:legend>
      <c:legendPos val="r"/>
      <c:legendEntry>
        <c:idx val="0"/>
        <c:txPr>
          <a:bodyPr/>
          <a:lstStyle/>
          <a:p>
            <a:pPr>
              <a:defRPr lang="en-GB" sz="1000" b="0" i="0">
                <a:latin typeface="Garamond" panose="02020404030301010803" pitchFamily="18" charset="0"/>
                <a:cs typeface="Times New Roman" pitchFamily="18" charset="0"/>
              </a:defRPr>
            </a:pPr>
            <a:endParaRPr lang="en-US"/>
          </a:p>
        </c:txPr>
      </c:legendEntry>
      <c:legendEntry>
        <c:idx val="1"/>
        <c:txPr>
          <a:bodyPr/>
          <a:lstStyle/>
          <a:p>
            <a:pPr>
              <a:defRPr lang="en-GB" sz="1000" b="0" i="0">
                <a:latin typeface="Garamond" panose="02020404030301010803" pitchFamily="18" charset="0"/>
                <a:cs typeface="Times New Roman" pitchFamily="18" charset="0"/>
              </a:defRPr>
            </a:pPr>
            <a:endParaRPr lang="en-US"/>
          </a:p>
        </c:txPr>
      </c:legendEntry>
      <c:layout>
        <c:manualLayout>
          <c:xMode val="edge"/>
          <c:yMode val="edge"/>
          <c:x val="0.64368894124798004"/>
          <c:y val="0.22864041994750656"/>
          <c:w val="0.35631105875201996"/>
          <c:h val="0.54271916010498689"/>
        </c:manualLayout>
      </c:layout>
      <c:overlay val="0"/>
      <c:txPr>
        <a:bodyPr/>
        <a:lstStyle/>
        <a:p>
          <a:pPr>
            <a:defRPr lang="en-GB" sz="1000" b="0">
              <a:latin typeface="Times New Roman" pitchFamily="18" charset="0"/>
              <a:cs typeface="Times New Roman" pitchFamily="18" charset="0"/>
            </a:defRPr>
          </a:pPr>
          <a:endParaRPr lang="en-US"/>
        </a:p>
      </c:txPr>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Sheet1!$B$1</c:f>
              <c:strCache>
                <c:ptCount val="1"/>
                <c:pt idx="0">
                  <c:v>undernutrition</c:v>
                </c:pt>
              </c:strCache>
            </c:strRef>
          </c:tx>
          <c:spPr>
            <a:solidFill>
              <a:srgbClr val="C0504D"/>
            </a:solidFill>
          </c:spPr>
          <c:invertIfNegative val="0"/>
          <c:dLbls>
            <c:dLbl>
              <c:idx val="0"/>
              <c:layout>
                <c:manualLayout>
                  <c:x val="1.8135324144084641E-2"/>
                  <c:y val="-5.5303278031631816E-3"/>
                </c:manualLayout>
              </c:layout>
              <c:tx>
                <c:rich>
                  <a:bodyPr wrap="square" lIns="38100" tIns="19050" rIns="38100" bIns="19050" anchor="ctr">
                    <a:noAutofit/>
                  </a:bodyPr>
                  <a:lstStyle/>
                  <a:p>
                    <a:pPr>
                      <a:defRPr sz="800" b="0" i="0">
                        <a:latin typeface="Garamond" panose="02020404030301010803" pitchFamily="18" charset="0"/>
                      </a:defRPr>
                    </a:pPr>
                    <a:r>
                      <a:rPr lang="en-US" b="1"/>
                      <a:t>149(74.5%)</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layout>
                    <c:manualLayout>
                      <c:w val="0.21448805861187881"/>
                      <c:h val="0.18961925940429741"/>
                    </c:manualLayout>
                  </c15:layout>
                  <c15:showDataLabelsRange val="0"/>
                </c:ext>
                <c:ext xmlns:c16="http://schemas.microsoft.com/office/drawing/2014/chart" uri="{C3380CC4-5D6E-409C-BE32-E72D297353CC}">
                  <c16:uniqueId val="{00000000-1923-443B-86ED-2F32ECD0CDA8}"/>
                </c:ext>
              </c:extLst>
            </c:dLbl>
            <c:spPr>
              <a:noFill/>
              <a:ln>
                <a:noFill/>
              </a:ln>
              <a:effectLst/>
            </c:spPr>
            <c:txPr>
              <a:bodyPr wrap="square" lIns="38100" tIns="19050" rIns="38100" bIns="19050" anchor="ctr">
                <a:spAutoFit/>
              </a:bodyPr>
              <a:lstStyle/>
              <a:p>
                <a:pPr>
                  <a:defRPr sz="800" b="0" i="0">
                    <a:latin typeface="Garamond" panose="02020404030301010803" pitchFamily="18" charset="0"/>
                  </a:defRPr>
                </a:pPr>
                <a:endParaRPr lang="en-NG"/>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c:f>
              <c:strCache>
                <c:ptCount val="1"/>
                <c:pt idx="0">
                  <c:v>Category 1</c:v>
                </c:pt>
              </c:strCache>
            </c:strRef>
          </c:cat>
          <c:val>
            <c:numRef>
              <c:f>Sheet1!$B$2</c:f>
              <c:numCache>
                <c:formatCode>General</c:formatCode>
                <c:ptCount val="1"/>
                <c:pt idx="0">
                  <c:v>74.5</c:v>
                </c:pt>
              </c:numCache>
            </c:numRef>
          </c:val>
          <c:extLst>
            <c:ext xmlns:c16="http://schemas.microsoft.com/office/drawing/2014/chart" uri="{C3380CC4-5D6E-409C-BE32-E72D297353CC}">
              <c16:uniqueId val="{00000001-1923-443B-86ED-2F32ECD0CDA8}"/>
            </c:ext>
          </c:extLst>
        </c:ser>
        <c:ser>
          <c:idx val="1"/>
          <c:order val="1"/>
          <c:tx>
            <c:strRef>
              <c:f>Sheet1!$C$1</c:f>
              <c:strCache>
                <c:ptCount val="1"/>
                <c:pt idx="0">
                  <c:v>Normal</c:v>
                </c:pt>
              </c:strCache>
            </c:strRef>
          </c:tx>
          <c:spPr>
            <a:solidFill>
              <a:srgbClr val="00B050"/>
            </a:solidFill>
          </c:spPr>
          <c:invertIfNegative val="0"/>
          <c:dLbls>
            <c:dLbl>
              <c:idx val="0"/>
              <c:layout>
                <c:manualLayout>
                  <c:x val="2.7777777777777912E-2"/>
                  <c:y val="-4.8840048840048953E-3"/>
                </c:manualLayout>
              </c:layout>
              <c:tx>
                <c:rich>
                  <a:bodyPr/>
                  <a:lstStyle/>
                  <a:p>
                    <a:r>
                      <a:rPr lang="en-US" b="1"/>
                      <a:t>51(25.5%)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1923-443B-86ED-2F32ECD0CDA8}"/>
                </c:ext>
              </c:extLst>
            </c:dLbl>
            <c:spPr>
              <a:noFill/>
              <a:ln>
                <a:noFill/>
              </a:ln>
              <a:effectLst/>
            </c:spPr>
            <c:txPr>
              <a:bodyPr wrap="square" lIns="38100" tIns="19050" rIns="38100" bIns="19050" anchor="ctr">
                <a:spAutoFit/>
              </a:bodyPr>
              <a:lstStyle/>
              <a:p>
                <a:pPr>
                  <a:defRPr sz="800" b="0" i="0">
                    <a:latin typeface="Garamond" panose="02020404030301010803" pitchFamily="18" charset="0"/>
                  </a:defRPr>
                </a:pPr>
                <a:endParaRPr lang="en-NG"/>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c:f>
              <c:strCache>
                <c:ptCount val="1"/>
                <c:pt idx="0">
                  <c:v>Category 1</c:v>
                </c:pt>
              </c:strCache>
            </c:strRef>
          </c:cat>
          <c:val>
            <c:numRef>
              <c:f>Sheet1!$C$2</c:f>
              <c:numCache>
                <c:formatCode>General</c:formatCode>
                <c:ptCount val="1"/>
                <c:pt idx="0">
                  <c:v>25.5</c:v>
                </c:pt>
              </c:numCache>
            </c:numRef>
          </c:val>
          <c:extLst>
            <c:ext xmlns:c16="http://schemas.microsoft.com/office/drawing/2014/chart" uri="{C3380CC4-5D6E-409C-BE32-E72D297353CC}">
              <c16:uniqueId val="{00000003-1923-443B-86ED-2F32ECD0CDA8}"/>
            </c:ext>
          </c:extLst>
        </c:ser>
        <c:dLbls>
          <c:showLegendKey val="0"/>
          <c:showVal val="0"/>
          <c:showCatName val="0"/>
          <c:showSerName val="0"/>
          <c:showPercent val="0"/>
          <c:showBubbleSize val="0"/>
        </c:dLbls>
        <c:gapWidth val="150"/>
        <c:shape val="cylinder"/>
        <c:axId val="189904768"/>
        <c:axId val="189906304"/>
        <c:axId val="0"/>
      </c:bar3DChart>
      <c:catAx>
        <c:axId val="189904768"/>
        <c:scaling>
          <c:orientation val="minMax"/>
        </c:scaling>
        <c:delete val="1"/>
        <c:axPos val="l"/>
        <c:numFmt formatCode="General" sourceLinked="0"/>
        <c:majorTickMark val="out"/>
        <c:minorTickMark val="none"/>
        <c:tickLblPos val="nextTo"/>
        <c:crossAx val="189906304"/>
        <c:crosses val="autoZero"/>
        <c:auto val="1"/>
        <c:lblAlgn val="ctr"/>
        <c:lblOffset val="100"/>
        <c:noMultiLvlLbl val="0"/>
      </c:catAx>
      <c:valAx>
        <c:axId val="189906304"/>
        <c:scaling>
          <c:orientation val="minMax"/>
        </c:scaling>
        <c:delete val="0"/>
        <c:axPos val="b"/>
        <c:numFmt formatCode="General" sourceLinked="1"/>
        <c:majorTickMark val="out"/>
        <c:minorTickMark val="none"/>
        <c:tickLblPos val="nextTo"/>
        <c:crossAx val="189904768"/>
        <c:crosses val="autoZero"/>
        <c:crossBetween val="between"/>
      </c:valAx>
      <c:spPr>
        <a:noFill/>
        <a:ln w="25400">
          <a:noFill/>
        </a:ln>
      </c:spPr>
    </c:plotArea>
    <c:legend>
      <c:legendPos val="r"/>
      <c:legendEntry>
        <c:idx val="0"/>
        <c:txPr>
          <a:bodyPr/>
          <a:lstStyle/>
          <a:p>
            <a:pPr>
              <a:defRPr sz="1050" b="0" i="0">
                <a:latin typeface="Garamond" panose="02020404030301010803" pitchFamily="18" charset="0"/>
              </a:defRPr>
            </a:pPr>
            <a:endParaRPr lang="en-NG"/>
          </a:p>
        </c:txPr>
      </c:legendEntry>
      <c:legendEntry>
        <c:idx val="1"/>
        <c:txPr>
          <a:bodyPr/>
          <a:lstStyle/>
          <a:p>
            <a:pPr>
              <a:defRPr sz="1050" b="0" i="0">
                <a:latin typeface="Garamond" panose="02020404030301010803" pitchFamily="18" charset="0"/>
              </a:defRPr>
            </a:pPr>
            <a:endParaRPr lang="en-NG"/>
          </a:p>
        </c:txPr>
      </c:legendEntry>
      <c:layout>
        <c:manualLayout>
          <c:xMode val="edge"/>
          <c:yMode val="edge"/>
          <c:x val="0.64148882776242377"/>
          <c:y val="0.30275800338456804"/>
          <c:w val="0.33367673515148355"/>
          <c:h val="0.3826426670023263"/>
        </c:manualLayout>
      </c:layout>
      <c:overlay val="0"/>
      <c:txPr>
        <a:bodyPr/>
        <a:lstStyle/>
        <a:p>
          <a:pPr>
            <a:defRPr sz="1050"/>
          </a:pPr>
          <a:endParaRPr lang="en-NG"/>
        </a:p>
      </c:txPr>
    </c:legend>
    <c:plotVisOnly val="1"/>
    <c:dispBlanksAs val="gap"/>
    <c:showDLblsOverMax val="0"/>
  </c:chart>
  <c:txPr>
    <a:bodyPr/>
    <a:lstStyle/>
    <a:p>
      <a:pPr>
        <a:defRPr sz="1200">
          <a:latin typeface="Times New Roman" pitchFamily="18" charset="0"/>
          <a:cs typeface="Times New Roman" pitchFamily="18"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7026</Words>
  <Characters>40052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2026-04-06T06:51:00Z</dcterms:created>
  <dcterms:modified xsi:type="dcterms:W3CDTF">2026-04-06T06:52:00Z</dcterms:modified>
</cp:coreProperties>
</file>