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6607C04E">
                <wp:simplePos x="0" y="0"/>
                <wp:positionH relativeFrom="column">
                  <wp:posOffset>-238539</wp:posOffset>
                </wp:positionH>
                <wp:positionV relativeFrom="paragraph">
                  <wp:posOffset>122997</wp:posOffset>
                </wp:positionV>
                <wp:extent cx="6419850" cy="628153"/>
                <wp:effectExtent l="0" t="0" r="19050" b="1968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2815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D3FD0B5" id="Round Diagonal Corner Rectangle 262" o:spid="_x0000_s1026" style="position:absolute;margin-left:-18.8pt;margin-top:9.7pt;width:505.5pt;height:49.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2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" path="m104694,l6419850,r,l6419850,523459v,57821,-46873,104694,-104694,104694l,628153r,l,104694c,46873,46873,,104694,xe" fillcolor="#1a601c" strokecolor="#385723" strokeweight="1pt">
                <v:stroke joinstyle="miter"/>
                <v:path arrowok="t" o:connecttype="custom" o:connectlocs="104694,0;6419850,0;6419850,0;6419850,523459;6315156,628153;0,628153;0,628153;0,104694;104694,0" o:connectangles="0,0,0,0,0,0,0,0,0"/>
              </v:shape>
            </w:pict>
          </mc:Fallback>
        </mc:AlternateContent>
      </w:r>
    </w:p>
    <w:p w14:paraId="17F16DE5" w14:textId="77777777" w:rsidR="00EC1C33" w:rsidRDefault="00EC1C33" w:rsidP="002265FA">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EC1C33">
        <w:rPr>
          <w:rFonts w:ascii="Garamond" w:hAnsi="Garamond" w:cs="Times New Roman"/>
          <w:b/>
          <w:bCs/>
          <w:color w:val="FFFFFF" w:themeColor="background1"/>
          <w:sz w:val="32"/>
          <w:szCs w:val="32"/>
        </w:rPr>
        <w:t>Effect of Petroleum Products Inhalation on Oxidative Stress Parameters of Male Wistar Albino Rats</w:t>
      </w:r>
    </w:p>
    <w:p w14:paraId="2B259987" w14:textId="23CC9B21" w:rsidR="00874376" w:rsidRPr="00874376" w:rsidRDefault="00EC1C33" w:rsidP="00874376">
      <w:pPr>
        <w:pBdr>
          <w:bottom w:val="single" w:sz="6" w:space="1" w:color="auto"/>
        </w:pBdr>
        <w:jc w:val="both"/>
        <w:rPr>
          <w:rFonts w:ascii="Garamond" w:hAnsi="Garamond"/>
          <w:b/>
          <w:bCs/>
          <w:i/>
          <w:iCs/>
          <w:color w:val="FFFFFF" w:themeColor="background1"/>
          <w:sz w:val="22"/>
          <w:szCs w:val="22"/>
        </w:rPr>
      </w:pPr>
      <w:r w:rsidRPr="00EC1C33">
        <w:rPr>
          <w:rFonts w:ascii="Garamond" w:hAnsi="Garamond" w:cs="Times New Roman"/>
          <w:b/>
          <w:bCs/>
          <w:i/>
          <w:iCs/>
          <w:color w:val="FFFFFF" w:themeColor="background1"/>
          <w:sz w:val="32"/>
          <w:szCs w:val="32"/>
          <w:vertAlign w:val="superscript"/>
        </w:rPr>
        <w:t xml:space="preserve"> </w:t>
      </w:r>
      <w:r w:rsidR="0024597C" w:rsidRPr="0024597C">
        <w:rPr>
          <w:rFonts w:ascii="Garamond" w:hAnsi="Garamond"/>
          <w:b/>
          <w:bCs/>
          <w:i/>
          <w:iCs/>
          <w:color w:val="FFFFFF" w:themeColor="background1"/>
          <w:sz w:val="22"/>
          <w:szCs w:val="22"/>
          <w:vertAlign w:val="superscript"/>
        </w:rPr>
        <w:t>1</w:t>
      </w:r>
      <w:r w:rsidR="00874376" w:rsidRPr="00874376">
        <w:rPr>
          <w:rFonts w:ascii="Garamond" w:hAnsi="Garamond"/>
          <w:b/>
          <w:bCs/>
          <w:i/>
          <w:iCs/>
          <w:color w:val="FFFFFF" w:themeColor="background1"/>
          <w:sz w:val="22"/>
          <w:szCs w:val="22"/>
        </w:rPr>
        <w:t xml:space="preserve">Cyril Onyekachi </w:t>
      </w:r>
      <w:proofErr w:type="spellStart"/>
      <w:r w:rsidR="00874376" w:rsidRPr="00874376">
        <w:rPr>
          <w:rFonts w:ascii="Garamond" w:hAnsi="Garamond"/>
          <w:b/>
          <w:bCs/>
          <w:i/>
          <w:iCs/>
          <w:color w:val="FFFFFF" w:themeColor="background1"/>
          <w:sz w:val="22"/>
          <w:szCs w:val="22"/>
        </w:rPr>
        <w:t>Edog</w:t>
      </w:r>
      <w:r w:rsidR="00874376">
        <w:rPr>
          <w:rFonts w:ascii="Garamond" w:hAnsi="Garamond"/>
          <w:b/>
          <w:bCs/>
          <w:i/>
          <w:iCs/>
          <w:color w:val="FFFFFF" w:themeColor="background1"/>
          <w:sz w:val="22"/>
          <w:szCs w:val="22"/>
        </w:rPr>
        <w:t>a</w:t>
      </w:r>
      <w:proofErr w:type="spellEnd"/>
      <w:r w:rsidR="00874376">
        <w:rPr>
          <w:rFonts w:ascii="Garamond" w:hAnsi="Garamond"/>
          <w:b/>
          <w:bCs/>
          <w:i/>
          <w:iCs/>
          <w:color w:val="FFFFFF" w:themeColor="background1"/>
          <w:sz w:val="22"/>
          <w:szCs w:val="22"/>
        </w:rPr>
        <w:t xml:space="preserve">, </w:t>
      </w:r>
      <w:r w:rsidR="00874376" w:rsidRPr="00874376">
        <w:rPr>
          <w:rFonts w:ascii="Garamond" w:hAnsi="Garamond"/>
          <w:b/>
          <w:bCs/>
          <w:i/>
          <w:iCs/>
          <w:color w:val="FFFFFF" w:themeColor="background1"/>
          <w:sz w:val="22"/>
          <w:szCs w:val="22"/>
          <w:vertAlign w:val="superscript"/>
        </w:rPr>
        <w:t>1</w:t>
      </w:r>
      <w:r w:rsidR="00874376" w:rsidRPr="00874376">
        <w:rPr>
          <w:rFonts w:ascii="Garamond" w:hAnsi="Garamond"/>
          <w:b/>
          <w:bCs/>
          <w:i/>
          <w:iCs/>
          <w:color w:val="FFFFFF" w:themeColor="background1"/>
          <w:sz w:val="22"/>
          <w:szCs w:val="22"/>
        </w:rPr>
        <w:t>Amarachukwu Grace Offo</w:t>
      </w:r>
      <w:r w:rsidR="00874376">
        <w:rPr>
          <w:rFonts w:ascii="Garamond" w:hAnsi="Garamond"/>
          <w:b/>
          <w:bCs/>
          <w:i/>
          <w:iCs/>
          <w:color w:val="FFFFFF" w:themeColor="background1"/>
          <w:sz w:val="22"/>
          <w:szCs w:val="22"/>
        </w:rPr>
        <w:t xml:space="preserve">r, </w:t>
      </w:r>
      <w:r w:rsidR="00874376" w:rsidRPr="00874376">
        <w:rPr>
          <w:rFonts w:ascii="Garamond" w:hAnsi="Garamond"/>
          <w:b/>
          <w:bCs/>
          <w:i/>
          <w:iCs/>
          <w:color w:val="FFFFFF" w:themeColor="background1"/>
          <w:sz w:val="22"/>
          <w:szCs w:val="22"/>
          <w:vertAlign w:val="superscript"/>
        </w:rPr>
        <w:t>1</w:t>
      </w:r>
      <w:r w:rsidR="00874376" w:rsidRPr="00874376">
        <w:rPr>
          <w:rFonts w:ascii="Garamond" w:hAnsi="Garamond"/>
          <w:b/>
          <w:bCs/>
          <w:i/>
          <w:iCs/>
          <w:color w:val="FFFFFF" w:themeColor="background1"/>
          <w:sz w:val="22"/>
          <w:szCs w:val="22"/>
        </w:rPr>
        <w:t>John Uchenna Anukwu</w:t>
      </w:r>
      <w:r w:rsidR="0067535C">
        <w:rPr>
          <w:rFonts w:ascii="Garamond" w:hAnsi="Garamond"/>
          <w:b/>
          <w:bCs/>
          <w:i/>
          <w:iCs/>
          <w:color w:val="FFFFFF" w:themeColor="background1"/>
          <w:sz w:val="22"/>
          <w:szCs w:val="22"/>
        </w:rPr>
        <w:t xml:space="preserve"> </w:t>
      </w:r>
    </w:p>
    <w:p w14:paraId="3168E98E" w14:textId="13E42808" w:rsidR="001532DE" w:rsidRPr="001532DE" w:rsidRDefault="001532DE" w:rsidP="001532DE">
      <w:pPr>
        <w:pBdr>
          <w:bottom w:val="single" w:sz="6" w:space="1" w:color="auto"/>
        </w:pBdr>
        <w:jc w:val="both"/>
        <w:rPr>
          <w:rFonts w:ascii="Garamond" w:hAnsi="Garamond"/>
          <w:i/>
          <w:iCs/>
          <w:sz w:val="20"/>
          <w:szCs w:val="20"/>
        </w:rPr>
      </w:pPr>
      <w:bookmarkStart w:id="4" w:name="_Hlk209348096"/>
      <w:bookmarkEnd w:id="2"/>
      <w:bookmarkEnd w:id="3"/>
      <w:r w:rsidRPr="001532DE">
        <w:rPr>
          <w:rFonts w:ascii="Garamond" w:hAnsi="Garamond"/>
          <w:i/>
          <w:iCs/>
          <w:sz w:val="20"/>
          <w:szCs w:val="20"/>
          <w:vertAlign w:val="superscript"/>
        </w:rPr>
        <w:t>1</w:t>
      </w:r>
      <w:r w:rsidRPr="001532DE">
        <w:rPr>
          <w:rFonts w:ascii="Garamond" w:hAnsi="Garamond"/>
          <w:i/>
          <w:iCs/>
          <w:sz w:val="20"/>
          <w:szCs w:val="20"/>
        </w:rPr>
        <w:t>Department of Applied Biology and Biotechnology, Enugu State University of Science and Technology (ESUT), Enugu, Nigeria.</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6C367007" w14:textId="5DB61621" w:rsidR="00874376"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F20CA0" w:rsidRPr="00F20CA0">
        <w:rPr>
          <w:rFonts w:ascii="Garamond" w:hAnsi="Garamond" w:cs="Segoe UI"/>
          <w:b/>
          <w:bCs/>
          <w:sz w:val="20"/>
          <w:szCs w:val="20"/>
          <w:shd w:val="clear" w:color="auto" w:fill="FFFFFF"/>
        </w:rPr>
        <w:t>Shuaib</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874376" w:rsidRPr="00874376">
        <w:rPr>
          <w:rFonts w:ascii="Garamond" w:hAnsi="Garamond"/>
          <w:bCs/>
          <w:sz w:val="20"/>
          <w:szCs w:val="20"/>
        </w:rPr>
        <w:t>Department of Applied Biology and Biotechnology, Enugu State University of Science and Technology (ESUT), Enugu, Nigeria.</w:t>
      </w:r>
      <w:r w:rsidR="00874376" w:rsidRPr="00874376">
        <w:rPr>
          <w:rFonts w:ascii="Times New Roman" w:eastAsia="Times New Roman" w:hAnsi="Times New Roman" w:cs="Times New Roman"/>
          <w:color w:val="000000"/>
          <w:kern w:val="2"/>
          <w:szCs w:val="22"/>
          <w14:ligatures w14:val="standardContextual"/>
        </w:rPr>
        <w:t xml:space="preserve"> </w:t>
      </w:r>
      <w:hyperlink r:id="rId8" w:history="1">
        <w:r w:rsidR="00874376" w:rsidRPr="00874376">
          <w:rPr>
            <w:rStyle w:val="Hyperlink"/>
            <w:rFonts w:ascii="Garamond" w:hAnsi="Garamond"/>
            <w:bCs/>
            <w:sz w:val="20"/>
            <w:szCs w:val="20"/>
          </w:rPr>
          <w:t>offoramarchioa@gmail.com</w:t>
        </w:r>
      </w:hyperlink>
      <w:r w:rsidR="00874376">
        <w:rPr>
          <w:rFonts w:ascii="Garamond" w:hAnsi="Garamond"/>
          <w:bCs/>
          <w:sz w:val="20"/>
          <w:szCs w:val="20"/>
        </w:rPr>
        <w:t>:</w:t>
      </w:r>
      <w:r w:rsidR="00874376" w:rsidRPr="00874376">
        <w:rPr>
          <w:rFonts w:ascii="Garamond" w:hAnsi="Garamond"/>
          <w:bCs/>
          <w:sz w:val="20"/>
          <w:szCs w:val="20"/>
        </w:rPr>
        <w:t>+2348137101799</w:t>
      </w:r>
    </w:p>
    <w:p w14:paraId="38B9A854" w14:textId="77777777" w:rsidR="00874376" w:rsidRDefault="00874376" w:rsidP="00855308">
      <w:pPr>
        <w:pBdr>
          <w:bottom w:val="single" w:sz="6" w:space="1" w:color="auto"/>
        </w:pBdr>
        <w:jc w:val="both"/>
        <w:rPr>
          <w:rFonts w:ascii="Garamond" w:hAnsi="Garamond"/>
          <w:bCs/>
          <w:sz w:val="20"/>
          <w:szCs w:val="20"/>
        </w:rPr>
      </w:pPr>
    </w:p>
    <w:p w14:paraId="15BB8056" w14:textId="5F610632"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042A0F">
        <w:rPr>
          <w:rFonts w:ascii="Garamond" w:hAnsi="Garamond"/>
          <w:sz w:val="16"/>
          <w:szCs w:val="16"/>
        </w:rPr>
        <w:t>17</w:t>
      </w:r>
      <w:r w:rsidR="00943E61" w:rsidRPr="00F30FAF">
        <w:rPr>
          <w:rFonts w:ascii="Garamond" w:hAnsi="Garamond"/>
          <w:sz w:val="16"/>
          <w:szCs w:val="16"/>
        </w:rPr>
        <w:t xml:space="preserve"> </w:t>
      </w:r>
      <w:r w:rsidR="00042A0F">
        <w:rPr>
          <w:rFonts w:ascii="Garamond" w:hAnsi="Garamond"/>
          <w:sz w:val="16"/>
          <w:szCs w:val="16"/>
        </w:rPr>
        <w:t>December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042A0F">
        <w:rPr>
          <w:rFonts w:ascii="Garamond" w:hAnsi="Garamond"/>
          <w:sz w:val="16"/>
          <w:szCs w:val="16"/>
        </w:rPr>
        <w:t>14</w:t>
      </w:r>
      <w:r w:rsidR="00943E61" w:rsidRPr="00F30FAF">
        <w:rPr>
          <w:rFonts w:ascii="Garamond" w:hAnsi="Garamond"/>
          <w:sz w:val="16"/>
          <w:szCs w:val="16"/>
        </w:rPr>
        <w:t xml:space="preserve"> </w:t>
      </w:r>
      <w:r w:rsidR="00042A0F">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1CCAA19" w:rsidR="006732D7" w:rsidRPr="000931E7" w:rsidRDefault="00631A2B" w:rsidP="006732D7">
      <w:pPr>
        <w:jc w:val="both"/>
        <w:rPr>
          <w:rFonts w:ascii="Garamond" w:hAnsi="Garamond"/>
          <w:sz w:val="22"/>
          <w:szCs w:val="22"/>
        </w:rPr>
      </w:pPr>
      <w:r w:rsidRPr="000931E7">
        <w:rPr>
          <w:rFonts w:ascii="Garamond" w:hAnsi="Garamond"/>
          <w:b/>
          <w:sz w:val="22"/>
          <w:szCs w:val="20"/>
        </w:rPr>
        <w:t>ABSTRACT</w:t>
      </w:r>
    </w:p>
    <w:p w14:paraId="6029ADA1" w14:textId="77777777" w:rsidR="00EC1C33" w:rsidRDefault="0017507F" w:rsidP="00EC1C33">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C56DA5" w:rsidRPr="00C56DA5">
        <w:rPr>
          <w:rFonts w:ascii="Garamond" w:eastAsiaTheme="minorHAnsi" w:hAnsi="Garamond" w:cstheme="minorHAnsi"/>
          <w:bCs/>
          <w:sz w:val="20"/>
          <w:szCs w:val="20"/>
          <w:lang w:val="en-GB"/>
        </w:rPr>
        <w:t xml:space="preserve"> </w:t>
      </w:r>
      <w:r w:rsidR="00EC1C33" w:rsidRPr="00EC1C33">
        <w:rPr>
          <w:rFonts w:ascii="Garamond" w:eastAsiaTheme="minorHAnsi" w:hAnsi="Garamond" w:cstheme="minorHAnsi"/>
          <w:bCs/>
          <w:sz w:val="20"/>
          <w:szCs w:val="20"/>
        </w:rPr>
        <w:t xml:space="preserve">The widespread use of petroleum products in modern industries has raised concerns about their potential toxic effects on biological systems. The study explored the effect of petroleum product inhalation on the oxidative stress parameters of the male Wistar albino rats. </w:t>
      </w:r>
    </w:p>
    <w:p w14:paraId="6D12350E" w14:textId="77777777" w:rsidR="00EC1C33" w:rsidRDefault="00EC1C33" w:rsidP="00EC1C33">
      <w:pPr>
        <w:jc w:val="both"/>
        <w:rPr>
          <w:rFonts w:ascii="Garamond" w:eastAsiaTheme="minorHAnsi" w:hAnsi="Garamond" w:cstheme="minorHAnsi"/>
          <w:bCs/>
          <w:sz w:val="20"/>
          <w:szCs w:val="20"/>
        </w:rPr>
      </w:pPr>
      <w:r w:rsidRPr="00EC1C33">
        <w:rPr>
          <w:rFonts w:ascii="Garamond" w:eastAsiaTheme="minorHAnsi" w:hAnsi="Garamond" w:cstheme="minorHAnsi"/>
          <w:b/>
          <w:sz w:val="20"/>
          <w:szCs w:val="20"/>
        </w:rPr>
        <w:t>Method</w:t>
      </w:r>
      <w:r>
        <w:rPr>
          <w:rFonts w:ascii="Garamond" w:eastAsiaTheme="minorHAnsi" w:hAnsi="Garamond" w:cstheme="minorHAnsi"/>
          <w:bCs/>
          <w:sz w:val="20"/>
          <w:szCs w:val="20"/>
        </w:rPr>
        <w:t xml:space="preserve">: </w:t>
      </w:r>
      <w:r w:rsidRPr="00EC1C33">
        <w:rPr>
          <w:rFonts w:ascii="Garamond" w:eastAsiaTheme="minorHAnsi" w:hAnsi="Garamond" w:cstheme="minorHAnsi"/>
          <w:bCs/>
          <w:sz w:val="20"/>
          <w:szCs w:val="20"/>
        </w:rPr>
        <w:t>Forty-five rats, aged three months and weighing 180–220 g, were divided into five groups: Group A (Control), Group B (PMS exposure - 500 ml), Group C (Kerosene exposure - 500 ml), Group D (Diesel exposure - 500 ml), and Group E (Mixed petroleum products - 500 ml). The exposure lasted for 28 days, with lungs and hippocampal tissue homogenate samples collected at day 0, 14, and 28 to measure hydrogen peroxide (H</w:t>
      </w:r>
      <w:r w:rsidRPr="00EC1C33">
        <w:rPr>
          <w:rFonts w:ascii="Garamond" w:eastAsiaTheme="minorHAnsi" w:hAnsi="Garamond" w:cstheme="minorHAnsi"/>
          <w:bCs/>
          <w:sz w:val="20"/>
          <w:szCs w:val="20"/>
          <w:vertAlign w:val="subscript"/>
        </w:rPr>
        <w:t>2</w:t>
      </w:r>
      <w:r w:rsidRPr="00EC1C33">
        <w:rPr>
          <w:rFonts w:ascii="Garamond" w:eastAsiaTheme="minorHAnsi" w:hAnsi="Garamond" w:cstheme="minorHAnsi"/>
          <w:bCs/>
          <w:sz w:val="20"/>
          <w:szCs w:val="20"/>
        </w:rPr>
        <w:t>O</w:t>
      </w:r>
      <w:r w:rsidRPr="00EC1C33">
        <w:rPr>
          <w:rFonts w:ascii="Garamond" w:eastAsiaTheme="minorHAnsi" w:hAnsi="Garamond" w:cstheme="minorHAnsi"/>
          <w:bCs/>
          <w:sz w:val="20"/>
          <w:szCs w:val="20"/>
          <w:vertAlign w:val="subscript"/>
        </w:rPr>
        <w:t>2</w:t>
      </w:r>
      <w:r w:rsidRPr="00EC1C33">
        <w:rPr>
          <w:rFonts w:ascii="Garamond" w:eastAsiaTheme="minorHAnsi" w:hAnsi="Garamond" w:cstheme="minorHAnsi"/>
          <w:bCs/>
          <w:sz w:val="20"/>
          <w:szCs w:val="20"/>
        </w:rPr>
        <w:t>) scavenging activity, nitric oxide (NO) activity, reduced glutathione (GSH) level, superoxide dismutase (SOD) activity, and malondialdehyde (MDA) level.</w:t>
      </w:r>
    </w:p>
    <w:p w14:paraId="350D0D60" w14:textId="77777777" w:rsidR="00EC1C33" w:rsidRDefault="00EC1C33" w:rsidP="00EC1C33">
      <w:pPr>
        <w:jc w:val="both"/>
        <w:rPr>
          <w:rFonts w:ascii="Garamond" w:eastAsiaTheme="minorHAnsi" w:hAnsi="Garamond" w:cstheme="minorHAnsi"/>
          <w:bCs/>
          <w:sz w:val="20"/>
          <w:szCs w:val="20"/>
        </w:rPr>
      </w:pPr>
      <w:r w:rsidRPr="00EC1C33">
        <w:rPr>
          <w:rFonts w:ascii="Garamond" w:eastAsiaTheme="minorHAnsi" w:hAnsi="Garamond" w:cstheme="minorHAnsi"/>
          <w:b/>
          <w:sz w:val="20"/>
          <w:szCs w:val="20"/>
        </w:rPr>
        <w:t>Results:</w:t>
      </w:r>
      <w:r>
        <w:rPr>
          <w:rFonts w:ascii="Garamond" w:eastAsiaTheme="minorHAnsi" w:hAnsi="Garamond" w:cstheme="minorHAnsi"/>
          <w:bCs/>
          <w:sz w:val="20"/>
          <w:szCs w:val="20"/>
        </w:rPr>
        <w:t xml:space="preserve"> </w:t>
      </w:r>
      <w:r w:rsidRPr="00EC1C33">
        <w:rPr>
          <w:rFonts w:ascii="Garamond" w:eastAsiaTheme="minorHAnsi" w:hAnsi="Garamond" w:cstheme="minorHAnsi"/>
          <w:bCs/>
          <w:sz w:val="20"/>
          <w:szCs w:val="20"/>
        </w:rPr>
        <w:t xml:space="preserve"> The results showed that H</w:t>
      </w:r>
      <w:r w:rsidRPr="00EC1C33">
        <w:rPr>
          <w:rFonts w:ascii="Garamond" w:eastAsiaTheme="minorHAnsi" w:hAnsi="Garamond" w:cstheme="minorHAnsi"/>
          <w:bCs/>
          <w:sz w:val="20"/>
          <w:szCs w:val="20"/>
          <w:vertAlign w:val="subscript"/>
        </w:rPr>
        <w:t>2</w:t>
      </w:r>
      <w:r w:rsidRPr="00EC1C33">
        <w:rPr>
          <w:rFonts w:ascii="Garamond" w:eastAsiaTheme="minorHAnsi" w:hAnsi="Garamond" w:cstheme="minorHAnsi"/>
          <w:bCs/>
          <w:sz w:val="20"/>
          <w:szCs w:val="20"/>
        </w:rPr>
        <w:t>O</w:t>
      </w:r>
      <w:r w:rsidRPr="00EC1C33">
        <w:rPr>
          <w:rFonts w:ascii="Garamond" w:eastAsiaTheme="minorHAnsi" w:hAnsi="Garamond" w:cstheme="minorHAnsi"/>
          <w:bCs/>
          <w:sz w:val="20"/>
          <w:szCs w:val="20"/>
          <w:vertAlign w:val="subscript"/>
        </w:rPr>
        <w:t>2</w:t>
      </w:r>
      <w:r w:rsidRPr="00EC1C33">
        <w:rPr>
          <w:rFonts w:ascii="Garamond" w:eastAsiaTheme="minorHAnsi" w:hAnsi="Garamond" w:cstheme="minorHAnsi"/>
          <w:bCs/>
          <w:sz w:val="20"/>
          <w:szCs w:val="20"/>
        </w:rPr>
        <w:t xml:space="preserve"> scavenging activity, NO activity and MDA level were significantly </w:t>
      </w:r>
      <w:bookmarkStart w:id="5" w:name="_Hlk184820932"/>
      <w:r w:rsidRPr="00EC1C33">
        <w:rPr>
          <w:rFonts w:ascii="Garamond" w:eastAsiaTheme="minorHAnsi" w:hAnsi="Garamond" w:cstheme="minorHAnsi"/>
          <w:bCs/>
          <w:sz w:val="20"/>
          <w:szCs w:val="20"/>
        </w:rPr>
        <w:t>increased (p&gt;0.05) (24.34 ± 1.19, 4.90 ± 0.54, and 1.20 ± 0.14 mg/dl) when compared to control (31,04 ± 1.11, 4.15 ± 0.59 and 1.46 ± 0.20 mg/dl) while GSH level and SOD activity were significantly decreased (p&lt;0.05) (1.93 ± 0.31 and 11.12 ± 0.48 mg/L) when compared with the control (3.28 ± 0.30 and 12.87 ± 0.93 µ/mg)</w:t>
      </w:r>
      <w:bookmarkEnd w:id="5"/>
      <w:r w:rsidRPr="00EC1C33">
        <w:rPr>
          <w:rFonts w:ascii="Garamond" w:eastAsiaTheme="minorHAnsi" w:hAnsi="Garamond" w:cstheme="minorHAnsi"/>
          <w:bCs/>
          <w:sz w:val="20"/>
          <w:szCs w:val="20"/>
        </w:rPr>
        <w:t xml:space="preserve">. </w:t>
      </w:r>
    </w:p>
    <w:p w14:paraId="59727057" w14:textId="77777777" w:rsidR="00EC1C33" w:rsidRDefault="00EC1C33" w:rsidP="00EC1C33">
      <w:pPr>
        <w:jc w:val="both"/>
        <w:rPr>
          <w:rFonts w:ascii="Garamond" w:eastAsiaTheme="minorHAnsi" w:hAnsi="Garamond" w:cstheme="minorHAnsi"/>
          <w:bCs/>
          <w:sz w:val="20"/>
          <w:szCs w:val="20"/>
        </w:rPr>
      </w:pPr>
      <w:r w:rsidRPr="00EC1C33">
        <w:rPr>
          <w:rFonts w:ascii="Garamond" w:eastAsiaTheme="minorHAnsi" w:hAnsi="Garamond" w:cstheme="minorHAnsi"/>
          <w:b/>
          <w:sz w:val="20"/>
          <w:szCs w:val="20"/>
        </w:rPr>
        <w:t>Conclusion:</w:t>
      </w:r>
      <w:r>
        <w:rPr>
          <w:rFonts w:ascii="Garamond" w:eastAsiaTheme="minorHAnsi" w:hAnsi="Garamond" w:cstheme="minorHAnsi"/>
          <w:bCs/>
          <w:sz w:val="20"/>
          <w:szCs w:val="20"/>
        </w:rPr>
        <w:t xml:space="preserve"> </w:t>
      </w:r>
      <w:r w:rsidRPr="00EC1C33">
        <w:rPr>
          <w:rFonts w:ascii="Garamond" w:eastAsiaTheme="minorHAnsi" w:hAnsi="Garamond" w:cstheme="minorHAnsi"/>
          <w:bCs/>
          <w:sz w:val="20"/>
          <w:szCs w:val="20"/>
        </w:rPr>
        <w:t>The results inferred the detrimental effects of inhaling petroleum products on critical organ systems, particularly the brain and lungs.</w:t>
      </w:r>
    </w:p>
    <w:p w14:paraId="16A3E158" w14:textId="77777777" w:rsidR="00EC1C33" w:rsidRDefault="00EC1C33" w:rsidP="00EC1C33">
      <w:pPr>
        <w:jc w:val="both"/>
        <w:rPr>
          <w:rFonts w:ascii="Garamond" w:eastAsiaTheme="minorHAnsi" w:hAnsi="Garamond" w:cstheme="minorHAnsi"/>
          <w:bCs/>
          <w:sz w:val="20"/>
          <w:szCs w:val="20"/>
        </w:rPr>
      </w:pPr>
    </w:p>
    <w:p w14:paraId="173ABDBA" w14:textId="666C2AE3" w:rsidR="006732D7" w:rsidRPr="005030CD" w:rsidRDefault="00EC1C33" w:rsidP="006732D7">
      <w:pPr>
        <w:jc w:val="both"/>
        <w:rPr>
          <w:rFonts w:ascii="Garamond" w:eastAsiaTheme="minorHAnsi" w:hAnsi="Garamond" w:cstheme="minorHAnsi"/>
          <w:bCs/>
          <w:sz w:val="20"/>
          <w:szCs w:val="20"/>
        </w:rPr>
        <w:sectPr w:rsidR="006732D7" w:rsidRPr="005030CD" w:rsidSect="00631A2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12"/>
          <w:cols w:space="720"/>
          <w:docGrid w:linePitch="326"/>
        </w:sectPr>
      </w:pPr>
      <w:r w:rsidRPr="00EC1C33">
        <w:rPr>
          <w:rFonts w:ascii="Garamond" w:eastAsiaTheme="minorHAnsi" w:hAnsi="Garamond" w:cstheme="minorHAnsi"/>
          <w:b/>
          <w:bCs/>
          <w:sz w:val="20"/>
          <w:szCs w:val="20"/>
        </w:rPr>
        <w:t xml:space="preserve">Keywords: </w:t>
      </w:r>
      <w:r w:rsidRPr="00EC1C33">
        <w:rPr>
          <w:rFonts w:ascii="Garamond" w:eastAsiaTheme="minorHAnsi" w:hAnsi="Garamond" w:cstheme="minorHAnsi"/>
          <w:bCs/>
          <w:sz w:val="20"/>
          <w:szCs w:val="20"/>
        </w:rPr>
        <w:t>SOD, H</w:t>
      </w:r>
      <w:r w:rsidRPr="00EC1C33">
        <w:rPr>
          <w:rFonts w:ascii="Garamond" w:eastAsiaTheme="minorHAnsi" w:hAnsi="Garamond" w:cstheme="minorHAnsi"/>
          <w:bCs/>
          <w:sz w:val="20"/>
          <w:szCs w:val="20"/>
          <w:vertAlign w:val="subscript"/>
        </w:rPr>
        <w:t>2</w:t>
      </w:r>
      <w:r w:rsidRPr="00EC1C33">
        <w:rPr>
          <w:rFonts w:ascii="Garamond" w:eastAsiaTheme="minorHAnsi" w:hAnsi="Garamond" w:cstheme="minorHAnsi"/>
          <w:bCs/>
          <w:sz w:val="20"/>
          <w:szCs w:val="20"/>
        </w:rPr>
        <w:t>O</w:t>
      </w:r>
      <w:r w:rsidRPr="00EC1C33">
        <w:rPr>
          <w:rFonts w:ascii="Garamond" w:eastAsiaTheme="minorHAnsi" w:hAnsi="Garamond" w:cstheme="minorHAnsi"/>
          <w:bCs/>
          <w:sz w:val="20"/>
          <w:szCs w:val="20"/>
          <w:vertAlign w:val="subscript"/>
        </w:rPr>
        <w:t>2</w:t>
      </w:r>
      <w:r w:rsidRPr="00EC1C33">
        <w:rPr>
          <w:rFonts w:ascii="Garamond" w:eastAsiaTheme="minorHAnsi" w:hAnsi="Garamond" w:cstheme="minorHAnsi"/>
          <w:bCs/>
          <w:sz w:val="20"/>
          <w:szCs w:val="20"/>
        </w:rPr>
        <w:t>, Nitric oxide, MDA, GSH, Petroleum products</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77F8EDED"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4E379D45">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2CBB0AF">
                <wp:simplePos x="0" y="0"/>
                <wp:positionH relativeFrom="margin">
                  <wp:align>right</wp:align>
                </wp:positionH>
                <wp:positionV relativeFrom="paragraph">
                  <wp:posOffset>25455</wp:posOffset>
                </wp:positionV>
                <wp:extent cx="2671639" cy="927073"/>
                <wp:effectExtent l="0" t="0" r="14605" b="26035"/>
                <wp:wrapNone/>
                <wp:docPr id="8" name="Text Box 8"/>
                <wp:cNvGraphicFramePr/>
                <a:graphic xmlns:a="http://schemas.openxmlformats.org/drawingml/2006/main">
                  <a:graphicData uri="http://schemas.microsoft.com/office/word/2010/wordprocessingShape">
                    <wps:wsp>
                      <wps:cNvSpPr txBox="1"/>
                      <wps:spPr>
                        <a:xfrm>
                          <a:off x="0" y="0"/>
                          <a:ext cx="2671639" cy="927073"/>
                        </a:xfrm>
                        <a:prstGeom prst="rect">
                          <a:avLst/>
                        </a:prstGeom>
                        <a:solidFill>
                          <a:sysClr val="window" lastClr="FFFFFF"/>
                        </a:solidFill>
                        <a:ln w="6350">
                          <a:solidFill>
                            <a:srgbClr val="70AD47">
                              <a:lumMod val="75000"/>
                            </a:srgbClr>
                          </a:solidFill>
                        </a:ln>
                      </wps:spPr>
                      <wps:txbx>
                        <w:txbxContent>
                          <w:p w14:paraId="65562D4D" w14:textId="798ACB8B" w:rsidR="00576722" w:rsidRPr="00874376" w:rsidRDefault="00874376" w:rsidP="00D26558">
                            <w:pPr>
                              <w:pBdr>
                                <w:bottom w:val="single" w:sz="6" w:space="1" w:color="auto"/>
                              </w:pBdr>
                              <w:jc w:val="both"/>
                              <w:rPr>
                                <w:rFonts w:ascii="Garamond" w:hAnsi="Garamond" w:cs="Segoe UI"/>
                                <w:color w:val="000000" w:themeColor="text1"/>
                                <w:sz w:val="22"/>
                                <w:szCs w:val="22"/>
                                <w:shd w:val="clear" w:color="auto" w:fill="FFFFFF"/>
                              </w:rPr>
                            </w:pPr>
                            <w:proofErr w:type="spellStart"/>
                            <w:r w:rsidRPr="00874376">
                              <w:rPr>
                                <w:rFonts w:ascii="Garamond" w:hAnsi="Garamond" w:cs="Segoe UI"/>
                                <w:i/>
                                <w:iCs/>
                                <w:sz w:val="22"/>
                                <w:szCs w:val="22"/>
                                <w:shd w:val="clear" w:color="auto" w:fill="FFFFFF"/>
                              </w:rPr>
                              <w:t>Edoga</w:t>
                            </w:r>
                            <w:proofErr w:type="spellEnd"/>
                            <w:r w:rsidRPr="00874376">
                              <w:rPr>
                                <w:rFonts w:ascii="Garamond" w:hAnsi="Garamond" w:cs="Segoe UI"/>
                                <w:i/>
                                <w:iCs/>
                                <w:sz w:val="22"/>
                                <w:szCs w:val="22"/>
                                <w:shd w:val="clear" w:color="auto" w:fill="FFFFFF"/>
                              </w:rPr>
                              <w:t xml:space="preserve"> CO, Offor</w:t>
                            </w:r>
                            <w:r w:rsidRPr="00874376">
                              <w:rPr>
                                <w:rFonts w:ascii="Garamond" w:hAnsi="Garamond" w:cs="Segoe UI"/>
                                <w:i/>
                                <w:iCs/>
                                <w:sz w:val="22"/>
                                <w:szCs w:val="22"/>
                                <w:shd w:val="clear" w:color="auto" w:fill="FFFFFF"/>
                                <w:vertAlign w:val="superscript"/>
                              </w:rPr>
                              <w:t xml:space="preserve"> </w:t>
                            </w:r>
                            <w:r w:rsidRPr="00874376">
                              <w:rPr>
                                <w:rFonts w:ascii="Garamond" w:hAnsi="Garamond" w:cs="Segoe UI"/>
                                <w:i/>
                                <w:iCs/>
                                <w:sz w:val="22"/>
                                <w:szCs w:val="22"/>
                                <w:shd w:val="clear" w:color="auto" w:fill="FFFFFF"/>
                              </w:rPr>
                              <w:t xml:space="preserve">AG, </w:t>
                            </w:r>
                            <w:proofErr w:type="spellStart"/>
                            <w:r w:rsidRPr="00874376">
                              <w:rPr>
                                <w:rFonts w:ascii="Garamond" w:hAnsi="Garamond" w:cs="Segoe UI"/>
                                <w:i/>
                                <w:iCs/>
                                <w:sz w:val="22"/>
                                <w:szCs w:val="22"/>
                                <w:shd w:val="clear" w:color="auto" w:fill="FFFFFF"/>
                              </w:rPr>
                              <w:t>Anukwu</w:t>
                            </w:r>
                            <w:proofErr w:type="spellEnd"/>
                            <w:r w:rsidRPr="00874376">
                              <w:rPr>
                                <w:rFonts w:ascii="Garamond" w:hAnsi="Garamond" w:cs="Segoe UI"/>
                                <w:i/>
                                <w:iCs/>
                                <w:sz w:val="22"/>
                                <w:szCs w:val="22"/>
                                <w:shd w:val="clear" w:color="auto" w:fill="FFFFFF"/>
                                <w:vertAlign w:val="superscript"/>
                              </w:rPr>
                              <w:t xml:space="preserve"> </w:t>
                            </w:r>
                            <w:r w:rsidRPr="00874376">
                              <w:rPr>
                                <w:rFonts w:ascii="Garamond" w:hAnsi="Garamond" w:cs="Segoe UI"/>
                                <w:i/>
                                <w:iCs/>
                                <w:sz w:val="22"/>
                                <w:szCs w:val="22"/>
                                <w:shd w:val="clear" w:color="auto" w:fill="FFFFFF"/>
                              </w:rPr>
                              <w:t xml:space="preserve">JU. </w:t>
                            </w:r>
                            <w:r w:rsidR="0092298E" w:rsidRPr="00874376">
                              <w:rPr>
                                <w:rFonts w:ascii="Garamond" w:hAnsi="Garamond" w:cs="Segoe UI"/>
                                <w:sz w:val="22"/>
                                <w:szCs w:val="22"/>
                                <w:shd w:val="clear" w:color="auto" w:fill="FFFFFF"/>
                              </w:rPr>
                              <w:t xml:space="preserve">Effect of Petroleum Products Inhalation on Oxidative Stress Parameters of Male Wistar Albino Rats. </w:t>
                            </w:r>
                            <w:r w:rsidR="00576722" w:rsidRPr="00874376">
                              <w:rPr>
                                <w:rFonts w:ascii="Garamond" w:hAnsi="Garamond" w:cs="Segoe UI"/>
                                <w:color w:val="000000" w:themeColor="text1"/>
                                <w:sz w:val="22"/>
                                <w:szCs w:val="22"/>
                                <w:shd w:val="clear" w:color="auto" w:fill="FFFFFF"/>
                              </w:rPr>
                              <w:t>The Nigerian Health Journal 202</w:t>
                            </w:r>
                            <w:r w:rsidR="00347612" w:rsidRPr="00874376">
                              <w:rPr>
                                <w:rFonts w:ascii="Garamond" w:hAnsi="Garamond" w:cs="Segoe UI"/>
                                <w:color w:val="000000" w:themeColor="text1"/>
                                <w:sz w:val="22"/>
                                <w:szCs w:val="22"/>
                                <w:shd w:val="clear" w:color="auto" w:fill="FFFFFF"/>
                              </w:rPr>
                              <w:t>6</w:t>
                            </w:r>
                            <w:r w:rsidR="00576722" w:rsidRPr="00874376">
                              <w:rPr>
                                <w:rFonts w:ascii="Garamond" w:hAnsi="Garamond" w:cs="Segoe UI"/>
                                <w:color w:val="000000" w:themeColor="text1"/>
                                <w:sz w:val="22"/>
                                <w:szCs w:val="22"/>
                                <w:shd w:val="clear" w:color="auto" w:fill="FFFFFF"/>
                              </w:rPr>
                              <w:t>; 2</w:t>
                            </w:r>
                            <w:r w:rsidR="00347612" w:rsidRPr="00874376">
                              <w:rPr>
                                <w:rFonts w:ascii="Garamond" w:hAnsi="Garamond" w:cs="Segoe UI"/>
                                <w:color w:val="000000" w:themeColor="text1"/>
                                <w:sz w:val="22"/>
                                <w:szCs w:val="22"/>
                                <w:shd w:val="clear" w:color="auto" w:fill="FFFFFF"/>
                              </w:rPr>
                              <w:t>6</w:t>
                            </w:r>
                            <w:r w:rsidR="00576722" w:rsidRPr="00874376">
                              <w:rPr>
                                <w:rFonts w:ascii="Garamond" w:hAnsi="Garamond" w:cs="Segoe UI"/>
                                <w:color w:val="000000" w:themeColor="text1"/>
                                <w:sz w:val="22"/>
                                <w:szCs w:val="22"/>
                                <w:shd w:val="clear" w:color="auto" w:fill="FFFFFF"/>
                              </w:rPr>
                              <w:t>(</w:t>
                            </w:r>
                            <w:r w:rsidR="00347612" w:rsidRPr="00874376">
                              <w:rPr>
                                <w:rFonts w:ascii="Garamond" w:hAnsi="Garamond" w:cs="Segoe UI"/>
                                <w:color w:val="000000" w:themeColor="text1"/>
                                <w:sz w:val="22"/>
                                <w:szCs w:val="22"/>
                                <w:shd w:val="clear" w:color="auto" w:fill="FFFFFF"/>
                              </w:rPr>
                              <w:t>1</w:t>
                            </w:r>
                            <w:r w:rsidR="00576722" w:rsidRPr="00874376">
                              <w:rPr>
                                <w:rFonts w:ascii="Garamond" w:hAnsi="Garamond" w:cs="Segoe UI"/>
                                <w:color w:val="000000" w:themeColor="text1"/>
                                <w:sz w:val="22"/>
                                <w:szCs w:val="22"/>
                                <w:shd w:val="clear" w:color="auto" w:fill="FFFFFF"/>
                              </w:rPr>
                              <w:t>)</w:t>
                            </w:r>
                            <w:r w:rsidR="00631A2B">
                              <w:rPr>
                                <w:rFonts w:ascii="Garamond" w:hAnsi="Garamond" w:cs="Segoe UI"/>
                                <w:color w:val="000000" w:themeColor="text1"/>
                                <w:sz w:val="22"/>
                                <w:szCs w:val="22"/>
                                <w:shd w:val="clear" w:color="auto" w:fill="FFFFFF"/>
                              </w:rPr>
                              <w:t xml:space="preserve">: 212 – 220. </w:t>
                            </w:r>
                            <w:hyperlink r:id="rId22" w:history="1">
                              <w:r w:rsidR="00631A2B" w:rsidRPr="008D4B15">
                                <w:rPr>
                                  <w:rStyle w:val="Hyperlink"/>
                                  <w:rFonts w:ascii="Garamond" w:hAnsi="Garamond" w:cs="Arial"/>
                                  <w:sz w:val="20"/>
                                  <w:szCs w:val="20"/>
                                </w:rPr>
                                <w:t>https://doi.org/10.71637/tnhj.v26i1.1281</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73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" fillcolor="window" strokecolor="#548235" strokeweight=".5pt">
                <v:textbox>
                  <w:txbxContent>
                    <w:p w14:paraId="65562D4D" w14:textId="798ACB8B" w:rsidR="00576722" w:rsidRPr="00874376" w:rsidRDefault="00874376" w:rsidP="00D26558">
                      <w:pPr>
                        <w:pBdr>
                          <w:bottom w:val="single" w:sz="6" w:space="1" w:color="auto"/>
                        </w:pBdr>
                        <w:jc w:val="both"/>
                        <w:rPr>
                          <w:rFonts w:ascii="Garamond" w:hAnsi="Garamond" w:cs="Segoe UI"/>
                          <w:color w:val="000000" w:themeColor="text1"/>
                          <w:sz w:val="22"/>
                          <w:szCs w:val="22"/>
                          <w:shd w:val="clear" w:color="auto" w:fill="FFFFFF"/>
                        </w:rPr>
                      </w:pPr>
                      <w:proofErr w:type="spellStart"/>
                      <w:r w:rsidRPr="00874376">
                        <w:rPr>
                          <w:rFonts w:ascii="Garamond" w:hAnsi="Garamond" w:cs="Segoe UI"/>
                          <w:i/>
                          <w:iCs/>
                          <w:sz w:val="22"/>
                          <w:szCs w:val="22"/>
                          <w:shd w:val="clear" w:color="auto" w:fill="FFFFFF"/>
                        </w:rPr>
                        <w:t>Edoga</w:t>
                      </w:r>
                      <w:proofErr w:type="spellEnd"/>
                      <w:r w:rsidRPr="00874376">
                        <w:rPr>
                          <w:rFonts w:ascii="Garamond" w:hAnsi="Garamond" w:cs="Segoe UI"/>
                          <w:i/>
                          <w:iCs/>
                          <w:sz w:val="22"/>
                          <w:szCs w:val="22"/>
                          <w:shd w:val="clear" w:color="auto" w:fill="FFFFFF"/>
                        </w:rPr>
                        <w:t xml:space="preserve"> CO, Offor</w:t>
                      </w:r>
                      <w:r w:rsidRPr="00874376">
                        <w:rPr>
                          <w:rFonts w:ascii="Garamond" w:hAnsi="Garamond" w:cs="Segoe UI"/>
                          <w:i/>
                          <w:iCs/>
                          <w:sz w:val="22"/>
                          <w:szCs w:val="22"/>
                          <w:shd w:val="clear" w:color="auto" w:fill="FFFFFF"/>
                          <w:vertAlign w:val="superscript"/>
                        </w:rPr>
                        <w:t xml:space="preserve"> </w:t>
                      </w:r>
                      <w:r w:rsidRPr="00874376">
                        <w:rPr>
                          <w:rFonts w:ascii="Garamond" w:hAnsi="Garamond" w:cs="Segoe UI"/>
                          <w:i/>
                          <w:iCs/>
                          <w:sz w:val="22"/>
                          <w:szCs w:val="22"/>
                          <w:shd w:val="clear" w:color="auto" w:fill="FFFFFF"/>
                        </w:rPr>
                        <w:t xml:space="preserve">AG, </w:t>
                      </w:r>
                      <w:proofErr w:type="spellStart"/>
                      <w:r w:rsidRPr="00874376">
                        <w:rPr>
                          <w:rFonts w:ascii="Garamond" w:hAnsi="Garamond" w:cs="Segoe UI"/>
                          <w:i/>
                          <w:iCs/>
                          <w:sz w:val="22"/>
                          <w:szCs w:val="22"/>
                          <w:shd w:val="clear" w:color="auto" w:fill="FFFFFF"/>
                        </w:rPr>
                        <w:t>Anukwu</w:t>
                      </w:r>
                      <w:proofErr w:type="spellEnd"/>
                      <w:r w:rsidRPr="00874376">
                        <w:rPr>
                          <w:rFonts w:ascii="Garamond" w:hAnsi="Garamond" w:cs="Segoe UI"/>
                          <w:i/>
                          <w:iCs/>
                          <w:sz w:val="22"/>
                          <w:szCs w:val="22"/>
                          <w:shd w:val="clear" w:color="auto" w:fill="FFFFFF"/>
                          <w:vertAlign w:val="superscript"/>
                        </w:rPr>
                        <w:t xml:space="preserve"> </w:t>
                      </w:r>
                      <w:r w:rsidRPr="00874376">
                        <w:rPr>
                          <w:rFonts w:ascii="Garamond" w:hAnsi="Garamond" w:cs="Segoe UI"/>
                          <w:i/>
                          <w:iCs/>
                          <w:sz w:val="22"/>
                          <w:szCs w:val="22"/>
                          <w:shd w:val="clear" w:color="auto" w:fill="FFFFFF"/>
                        </w:rPr>
                        <w:t xml:space="preserve">JU. </w:t>
                      </w:r>
                      <w:r w:rsidR="0092298E" w:rsidRPr="00874376">
                        <w:rPr>
                          <w:rFonts w:ascii="Garamond" w:hAnsi="Garamond" w:cs="Segoe UI"/>
                          <w:sz w:val="22"/>
                          <w:szCs w:val="22"/>
                          <w:shd w:val="clear" w:color="auto" w:fill="FFFFFF"/>
                        </w:rPr>
                        <w:t xml:space="preserve">Effect of Petroleum Products Inhalation on Oxidative Stress Parameters of Male Wistar Albino Rats. </w:t>
                      </w:r>
                      <w:r w:rsidR="00576722" w:rsidRPr="00874376">
                        <w:rPr>
                          <w:rFonts w:ascii="Garamond" w:hAnsi="Garamond" w:cs="Segoe UI"/>
                          <w:color w:val="000000" w:themeColor="text1"/>
                          <w:sz w:val="22"/>
                          <w:szCs w:val="22"/>
                          <w:shd w:val="clear" w:color="auto" w:fill="FFFFFF"/>
                        </w:rPr>
                        <w:t>The Nigerian Health Journal 202</w:t>
                      </w:r>
                      <w:r w:rsidR="00347612" w:rsidRPr="00874376">
                        <w:rPr>
                          <w:rFonts w:ascii="Garamond" w:hAnsi="Garamond" w:cs="Segoe UI"/>
                          <w:color w:val="000000" w:themeColor="text1"/>
                          <w:sz w:val="22"/>
                          <w:szCs w:val="22"/>
                          <w:shd w:val="clear" w:color="auto" w:fill="FFFFFF"/>
                        </w:rPr>
                        <w:t>6</w:t>
                      </w:r>
                      <w:r w:rsidR="00576722" w:rsidRPr="00874376">
                        <w:rPr>
                          <w:rFonts w:ascii="Garamond" w:hAnsi="Garamond" w:cs="Segoe UI"/>
                          <w:color w:val="000000" w:themeColor="text1"/>
                          <w:sz w:val="22"/>
                          <w:szCs w:val="22"/>
                          <w:shd w:val="clear" w:color="auto" w:fill="FFFFFF"/>
                        </w:rPr>
                        <w:t>; 2</w:t>
                      </w:r>
                      <w:r w:rsidR="00347612" w:rsidRPr="00874376">
                        <w:rPr>
                          <w:rFonts w:ascii="Garamond" w:hAnsi="Garamond" w:cs="Segoe UI"/>
                          <w:color w:val="000000" w:themeColor="text1"/>
                          <w:sz w:val="22"/>
                          <w:szCs w:val="22"/>
                          <w:shd w:val="clear" w:color="auto" w:fill="FFFFFF"/>
                        </w:rPr>
                        <w:t>6</w:t>
                      </w:r>
                      <w:r w:rsidR="00576722" w:rsidRPr="00874376">
                        <w:rPr>
                          <w:rFonts w:ascii="Garamond" w:hAnsi="Garamond" w:cs="Segoe UI"/>
                          <w:color w:val="000000" w:themeColor="text1"/>
                          <w:sz w:val="22"/>
                          <w:szCs w:val="22"/>
                          <w:shd w:val="clear" w:color="auto" w:fill="FFFFFF"/>
                        </w:rPr>
                        <w:t>(</w:t>
                      </w:r>
                      <w:r w:rsidR="00347612" w:rsidRPr="00874376">
                        <w:rPr>
                          <w:rFonts w:ascii="Garamond" w:hAnsi="Garamond" w:cs="Segoe UI"/>
                          <w:color w:val="000000" w:themeColor="text1"/>
                          <w:sz w:val="22"/>
                          <w:szCs w:val="22"/>
                          <w:shd w:val="clear" w:color="auto" w:fill="FFFFFF"/>
                        </w:rPr>
                        <w:t>1</w:t>
                      </w:r>
                      <w:r w:rsidR="00576722" w:rsidRPr="00874376">
                        <w:rPr>
                          <w:rFonts w:ascii="Garamond" w:hAnsi="Garamond" w:cs="Segoe UI"/>
                          <w:color w:val="000000" w:themeColor="text1"/>
                          <w:sz w:val="22"/>
                          <w:szCs w:val="22"/>
                          <w:shd w:val="clear" w:color="auto" w:fill="FFFFFF"/>
                        </w:rPr>
                        <w:t>)</w:t>
                      </w:r>
                      <w:r w:rsidR="00631A2B">
                        <w:rPr>
                          <w:rFonts w:ascii="Garamond" w:hAnsi="Garamond" w:cs="Segoe UI"/>
                          <w:color w:val="000000" w:themeColor="text1"/>
                          <w:sz w:val="22"/>
                          <w:szCs w:val="22"/>
                          <w:shd w:val="clear" w:color="auto" w:fill="FFFFFF"/>
                        </w:rPr>
                        <w:t xml:space="preserve">: 212 – 220. </w:t>
                      </w:r>
                      <w:hyperlink r:id="rId23" w:history="1">
                        <w:r w:rsidR="00631A2B" w:rsidRPr="008D4B15">
                          <w:rPr>
                            <w:rStyle w:val="Hyperlink"/>
                            <w:rFonts w:ascii="Garamond" w:hAnsi="Garamond" w:cs="Arial"/>
                            <w:sz w:val="20"/>
                            <w:szCs w:val="20"/>
                          </w:rPr>
                          <w:t>https://doi.org/10.71637/tnhj.v26i1.1281</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02DB4DC8" w:rsidR="000720E5" w:rsidRDefault="0067535C"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4E0ED00C" w14:textId="6544DC49" w:rsidR="008A056F" w:rsidRDefault="008A056F" w:rsidP="008A056F">
      <w:pPr>
        <w:spacing w:line="259" w:lineRule="auto"/>
        <w:jc w:val="both"/>
        <w:rPr>
          <w:rFonts w:ascii="Garamond" w:hAnsi="Garamond"/>
          <w:bCs/>
          <w:iCs/>
          <w:sz w:val="20"/>
          <w:szCs w:val="20"/>
        </w:rPr>
      </w:pPr>
      <w:r w:rsidRPr="008A056F">
        <w:rPr>
          <w:rFonts w:ascii="Garamond" w:hAnsi="Garamond"/>
          <w:bCs/>
          <w:iCs/>
          <w:sz w:val="20"/>
          <w:szCs w:val="20"/>
        </w:rPr>
        <w:t>Petroleum products are widely used today and serve important functions in sectors like home operations, energy production, and transportation</w:t>
      </w:r>
      <w:r w:rsidRPr="008A056F">
        <w:rPr>
          <w:rFonts w:ascii="Garamond" w:hAnsi="Garamond"/>
          <w:bCs/>
          <w:iCs/>
          <w:sz w:val="20"/>
          <w:szCs w:val="20"/>
          <w:vertAlign w:val="superscript"/>
        </w:rPr>
        <w:t>1</w:t>
      </w:r>
      <w:r w:rsidRPr="008A056F">
        <w:rPr>
          <w:rFonts w:ascii="Garamond" w:hAnsi="Garamond"/>
          <w:bCs/>
          <w:iCs/>
          <w:sz w:val="20"/>
          <w:szCs w:val="20"/>
        </w:rPr>
        <w:t>. However, their extensive use raises serious concerns about possible health dangers, especially when exposure happens through inhalation</w:t>
      </w:r>
      <w:r w:rsidRPr="008A056F">
        <w:rPr>
          <w:rFonts w:ascii="Garamond" w:hAnsi="Garamond"/>
          <w:bCs/>
          <w:iCs/>
          <w:sz w:val="20"/>
          <w:szCs w:val="20"/>
          <w:vertAlign w:val="superscript"/>
        </w:rPr>
        <w:t>2</w:t>
      </w:r>
      <w:r w:rsidRPr="008A056F">
        <w:rPr>
          <w:rFonts w:ascii="Garamond" w:hAnsi="Garamond"/>
          <w:bCs/>
          <w:iCs/>
          <w:sz w:val="20"/>
          <w:szCs w:val="20"/>
        </w:rPr>
        <w:t xml:space="preserve">. </w:t>
      </w:r>
    </w:p>
    <w:p w14:paraId="0405A22C" w14:textId="1DC3C9B1" w:rsidR="008A056F" w:rsidRPr="008A056F" w:rsidRDefault="008A056F" w:rsidP="008A056F">
      <w:pPr>
        <w:spacing w:line="259" w:lineRule="auto"/>
        <w:jc w:val="both"/>
        <w:rPr>
          <w:rFonts w:ascii="Garamond" w:hAnsi="Garamond"/>
          <w:bCs/>
          <w:iCs/>
          <w:sz w:val="20"/>
          <w:szCs w:val="20"/>
        </w:rPr>
      </w:pPr>
      <w:r w:rsidRPr="008A056F">
        <w:rPr>
          <w:rFonts w:ascii="Garamond" w:hAnsi="Garamond"/>
          <w:bCs/>
          <w:iCs/>
          <w:sz w:val="20"/>
          <w:szCs w:val="20"/>
        </w:rPr>
        <w:t>Inhaling petroleum products has been linked to several toxicological effects, including oxidative stress, tissue damage, and abnormal behaviour</w:t>
      </w:r>
      <w:r w:rsidRPr="008A056F">
        <w:rPr>
          <w:rFonts w:ascii="Garamond" w:hAnsi="Garamond"/>
          <w:bCs/>
          <w:iCs/>
          <w:sz w:val="20"/>
          <w:szCs w:val="20"/>
          <w:vertAlign w:val="superscript"/>
        </w:rPr>
        <w:t>3</w:t>
      </w:r>
      <w:r w:rsidRPr="008A056F">
        <w:rPr>
          <w:rFonts w:ascii="Garamond" w:hAnsi="Garamond"/>
          <w:bCs/>
          <w:iCs/>
          <w:sz w:val="20"/>
          <w:szCs w:val="20"/>
        </w:rPr>
        <w:t xml:space="preserve">. Oxidative stress, which is </w:t>
      </w:r>
      <w:proofErr w:type="spellStart"/>
      <w:r w:rsidRPr="008A056F">
        <w:rPr>
          <w:rFonts w:ascii="Garamond" w:hAnsi="Garamond"/>
          <w:bCs/>
          <w:iCs/>
          <w:sz w:val="20"/>
          <w:szCs w:val="20"/>
        </w:rPr>
        <w:t>characterised</w:t>
      </w:r>
      <w:proofErr w:type="spellEnd"/>
      <w:r w:rsidRPr="008A056F">
        <w:rPr>
          <w:rFonts w:ascii="Garamond" w:hAnsi="Garamond"/>
          <w:bCs/>
          <w:iCs/>
          <w:sz w:val="20"/>
          <w:szCs w:val="20"/>
        </w:rPr>
        <w:t xml:space="preserve"> by an imbalance between the production of reactive oxygen species (ROS) and the capacity of the antioxidant </w:t>
      </w:r>
      <w:proofErr w:type="spellStart"/>
      <w:r w:rsidRPr="008A056F">
        <w:rPr>
          <w:rFonts w:ascii="Garamond" w:hAnsi="Garamond"/>
          <w:bCs/>
          <w:iCs/>
          <w:sz w:val="20"/>
          <w:szCs w:val="20"/>
        </w:rPr>
        <w:t>defence</w:t>
      </w:r>
      <w:proofErr w:type="spellEnd"/>
      <w:r w:rsidRPr="008A056F">
        <w:rPr>
          <w:rFonts w:ascii="Garamond" w:hAnsi="Garamond"/>
          <w:bCs/>
          <w:iCs/>
          <w:sz w:val="20"/>
          <w:szCs w:val="20"/>
        </w:rPr>
        <w:t xml:space="preserve"> system, is one of the primary reasons behind the toxicity of these chemicals</w:t>
      </w:r>
      <w:r w:rsidRPr="008A056F">
        <w:rPr>
          <w:rFonts w:ascii="Garamond" w:hAnsi="Garamond"/>
          <w:bCs/>
          <w:iCs/>
          <w:sz w:val="20"/>
          <w:szCs w:val="20"/>
          <w:vertAlign w:val="superscript"/>
        </w:rPr>
        <w:t>4</w:t>
      </w:r>
      <w:r w:rsidRPr="008A056F">
        <w:rPr>
          <w:rFonts w:ascii="Garamond" w:hAnsi="Garamond"/>
          <w:bCs/>
          <w:iCs/>
          <w:sz w:val="20"/>
          <w:szCs w:val="20"/>
        </w:rPr>
        <w:t>. ROS can potentially harm DNA, proteins, and lipids, among other components of cells. They are created either during metabolism or due to exposure to outside pollutants. According to studies, inhaling petroleum products increases oxidative stress by lowering the activity of antioxidant enzymes such as glutathione (GSH) and superoxide dismutase (SOD) and raising levels of the lipid peroxidation marker malondialdehyde (MDA)</w:t>
      </w:r>
      <w:r w:rsidRPr="008A056F">
        <w:rPr>
          <w:rFonts w:ascii="Garamond" w:hAnsi="Garamond"/>
          <w:bCs/>
          <w:iCs/>
          <w:sz w:val="20"/>
          <w:szCs w:val="20"/>
          <w:vertAlign w:val="superscript"/>
        </w:rPr>
        <w:t>5</w:t>
      </w:r>
      <w:r w:rsidRPr="008A056F">
        <w:rPr>
          <w:rFonts w:ascii="Garamond" w:hAnsi="Garamond"/>
          <w:bCs/>
          <w:iCs/>
          <w:sz w:val="20"/>
          <w:szCs w:val="20"/>
        </w:rPr>
        <w:t xml:space="preserve">. </w:t>
      </w:r>
    </w:p>
    <w:p w14:paraId="066AB2A9" w14:textId="7B1D57B9" w:rsidR="008A056F" w:rsidRPr="008A056F" w:rsidRDefault="008A056F" w:rsidP="008A056F">
      <w:pPr>
        <w:spacing w:line="259" w:lineRule="auto"/>
        <w:jc w:val="both"/>
        <w:rPr>
          <w:rFonts w:ascii="Garamond" w:hAnsi="Garamond"/>
          <w:bCs/>
          <w:iCs/>
          <w:sz w:val="20"/>
          <w:szCs w:val="20"/>
        </w:rPr>
      </w:pPr>
      <w:r w:rsidRPr="008A056F">
        <w:rPr>
          <w:rFonts w:ascii="Garamond" w:hAnsi="Garamond"/>
          <w:bCs/>
          <w:iCs/>
          <w:sz w:val="20"/>
          <w:szCs w:val="20"/>
        </w:rPr>
        <w:t xml:space="preserve">Despite remarkable advancements, there are still a number of gaps in our knowledge of the harmful impacts of petroleum products. Without examining the possible connections between these variables, a significant amount of the current research has concentrated on specific endpoints, such as </w:t>
      </w:r>
      <w:proofErr w:type="spellStart"/>
      <w:r w:rsidRPr="008A056F">
        <w:rPr>
          <w:rFonts w:ascii="Garamond" w:hAnsi="Garamond"/>
          <w:bCs/>
          <w:iCs/>
          <w:sz w:val="20"/>
          <w:szCs w:val="20"/>
        </w:rPr>
        <w:t>behavioural</w:t>
      </w:r>
      <w:proofErr w:type="spellEnd"/>
      <w:r w:rsidRPr="008A056F">
        <w:rPr>
          <w:rFonts w:ascii="Garamond" w:hAnsi="Garamond"/>
          <w:bCs/>
          <w:iCs/>
          <w:sz w:val="20"/>
          <w:szCs w:val="20"/>
        </w:rPr>
        <w:t xml:space="preserve"> outcomes or oxidative stress markers</w:t>
      </w:r>
      <w:r w:rsidRPr="008A056F">
        <w:rPr>
          <w:rFonts w:ascii="Garamond" w:hAnsi="Garamond"/>
          <w:bCs/>
          <w:iCs/>
          <w:sz w:val="20"/>
          <w:szCs w:val="20"/>
          <w:vertAlign w:val="superscript"/>
        </w:rPr>
        <w:t>6</w:t>
      </w:r>
      <w:r w:rsidRPr="008A056F">
        <w:rPr>
          <w:rFonts w:ascii="Garamond" w:hAnsi="Garamond"/>
          <w:bCs/>
          <w:iCs/>
          <w:sz w:val="20"/>
          <w:szCs w:val="20"/>
        </w:rPr>
        <w:t xml:space="preserve">. </w:t>
      </w:r>
    </w:p>
    <w:p w14:paraId="42F15C66" w14:textId="42347FC9" w:rsidR="008A056F" w:rsidRPr="008A056F" w:rsidRDefault="008A056F" w:rsidP="008A056F">
      <w:pPr>
        <w:spacing w:line="259" w:lineRule="auto"/>
        <w:jc w:val="both"/>
        <w:rPr>
          <w:rFonts w:ascii="Garamond" w:hAnsi="Garamond"/>
          <w:bCs/>
          <w:iCs/>
          <w:sz w:val="20"/>
          <w:szCs w:val="20"/>
        </w:rPr>
      </w:pPr>
      <w:r w:rsidRPr="008A056F">
        <w:rPr>
          <w:rFonts w:ascii="Garamond" w:hAnsi="Garamond"/>
          <w:bCs/>
          <w:iCs/>
          <w:sz w:val="20"/>
          <w:szCs w:val="20"/>
        </w:rPr>
        <w:t>The usage of petroleum products, which are known to discharge harmful substances into the environment, has increased due to increased industrial activity. These substances pose serious health concerns when inhaled, especially to the respiratory and central neurological systems</w:t>
      </w:r>
      <w:r w:rsidRPr="008A056F">
        <w:rPr>
          <w:rFonts w:ascii="Garamond" w:hAnsi="Garamond"/>
          <w:bCs/>
          <w:iCs/>
          <w:sz w:val="20"/>
          <w:szCs w:val="20"/>
          <w:vertAlign w:val="superscript"/>
        </w:rPr>
        <w:t>7</w:t>
      </w:r>
      <w:r w:rsidRPr="008A056F">
        <w:rPr>
          <w:rFonts w:ascii="Garamond" w:hAnsi="Garamond"/>
          <w:bCs/>
          <w:iCs/>
          <w:sz w:val="20"/>
          <w:szCs w:val="20"/>
        </w:rPr>
        <w:t>. One important part of the brain that controls memory and learning, the hippocampus, is particularly vulnerable to oxidative stress, which can be worsened by exposure to harmful chemicals like those in petroleum products</w:t>
      </w:r>
      <w:r w:rsidRPr="008A056F">
        <w:rPr>
          <w:rFonts w:ascii="Garamond" w:hAnsi="Garamond"/>
          <w:bCs/>
          <w:iCs/>
          <w:sz w:val="20"/>
          <w:szCs w:val="20"/>
          <w:vertAlign w:val="superscript"/>
        </w:rPr>
        <w:t>8</w:t>
      </w:r>
      <w:r w:rsidRPr="008A056F">
        <w:rPr>
          <w:rFonts w:ascii="Garamond" w:hAnsi="Garamond"/>
          <w:bCs/>
          <w:iCs/>
          <w:sz w:val="20"/>
          <w:szCs w:val="20"/>
        </w:rPr>
        <w:t>. In a similar vein, inhaling these toxicants can cause structural and functional abnormalities in the lungs, which are the main route of exposure</w:t>
      </w:r>
      <w:r w:rsidRPr="008A056F">
        <w:rPr>
          <w:rFonts w:ascii="Garamond" w:hAnsi="Garamond"/>
          <w:bCs/>
          <w:iCs/>
          <w:sz w:val="20"/>
          <w:szCs w:val="20"/>
          <w:vertAlign w:val="superscript"/>
        </w:rPr>
        <w:t>9</w:t>
      </w:r>
      <w:r w:rsidRPr="008A056F">
        <w:rPr>
          <w:rFonts w:ascii="Garamond" w:hAnsi="Garamond"/>
          <w:bCs/>
          <w:iCs/>
          <w:sz w:val="20"/>
          <w:szCs w:val="20"/>
        </w:rPr>
        <w:t>.</w:t>
      </w:r>
    </w:p>
    <w:p w14:paraId="7AED4CB2" w14:textId="2FBB5EE7" w:rsidR="008A056F" w:rsidRPr="008A056F" w:rsidRDefault="008A056F" w:rsidP="008A056F">
      <w:pPr>
        <w:spacing w:line="259" w:lineRule="auto"/>
        <w:jc w:val="both"/>
        <w:rPr>
          <w:rFonts w:ascii="Garamond" w:hAnsi="Garamond"/>
          <w:bCs/>
          <w:iCs/>
          <w:sz w:val="20"/>
          <w:szCs w:val="20"/>
        </w:rPr>
      </w:pPr>
      <w:r w:rsidRPr="008A056F">
        <w:rPr>
          <w:rFonts w:ascii="Garamond" w:hAnsi="Garamond"/>
          <w:bCs/>
          <w:iCs/>
          <w:sz w:val="20"/>
          <w:szCs w:val="20"/>
        </w:rPr>
        <w:t>Although the broad health impacts of inhaling petroleum products have been studied in the past, more focused research on the oxidative stress parameters is required. Because of its physiological and anatomical similarities to humans, the male Wistar albino rat, a popular model for human health studies, provides a pertinent system to examine these impacts</w:t>
      </w:r>
      <w:r w:rsidRPr="008A056F">
        <w:rPr>
          <w:rFonts w:ascii="Garamond" w:hAnsi="Garamond"/>
          <w:bCs/>
          <w:iCs/>
          <w:sz w:val="20"/>
          <w:szCs w:val="20"/>
          <w:vertAlign w:val="superscript"/>
        </w:rPr>
        <w:t>10</w:t>
      </w:r>
      <w:r w:rsidRPr="008A056F">
        <w:rPr>
          <w:rFonts w:ascii="Garamond" w:hAnsi="Garamond"/>
          <w:bCs/>
          <w:iCs/>
          <w:sz w:val="20"/>
          <w:szCs w:val="20"/>
        </w:rPr>
        <w:t xml:space="preserve">. The effects of inhaling petroleum products on these particular </w:t>
      </w:r>
      <w:r w:rsidRPr="008A056F">
        <w:rPr>
          <w:rFonts w:ascii="Garamond" w:hAnsi="Garamond"/>
          <w:bCs/>
          <w:iCs/>
          <w:sz w:val="20"/>
          <w:szCs w:val="20"/>
        </w:rPr>
        <w:t>indices may help identify possible health hazards to people and aid in the management strategies.</w:t>
      </w:r>
    </w:p>
    <w:p w14:paraId="4F0C5DCA" w14:textId="77777777" w:rsidR="008A056F" w:rsidRPr="008A056F" w:rsidRDefault="008A056F" w:rsidP="008A056F">
      <w:pPr>
        <w:spacing w:line="259" w:lineRule="auto"/>
        <w:jc w:val="both"/>
        <w:rPr>
          <w:rFonts w:ascii="Garamond" w:hAnsi="Garamond"/>
          <w:bCs/>
          <w:iCs/>
          <w:sz w:val="20"/>
          <w:szCs w:val="20"/>
        </w:rPr>
      </w:pPr>
      <w:r w:rsidRPr="008A056F">
        <w:rPr>
          <w:rFonts w:ascii="Garamond" w:hAnsi="Garamond"/>
          <w:bCs/>
          <w:iCs/>
          <w:sz w:val="20"/>
          <w:szCs w:val="20"/>
        </w:rPr>
        <w:t>This research attempts to give a thorough grasp of how inhaling petroleum products affects the lungs and hippocampal regions by investigating oxidative stress indicators like MDA and antioxidant enzymes. The results will add to the expanding body of research on petroleum toxicity and could influence occupational safety regulations and public health initiatives that try to lower exposure hazards. Given that petroleum products have an impact on oxidative stress, this study would help understand the systems underlying their harmful effects while opening up the possibilities to the creation of focused therapies.</w:t>
      </w:r>
    </w:p>
    <w:p w14:paraId="2876E9DF" w14:textId="77777777" w:rsidR="008A056F" w:rsidRPr="008A056F" w:rsidRDefault="008A056F" w:rsidP="008A056F">
      <w:pPr>
        <w:spacing w:line="259" w:lineRule="auto"/>
        <w:jc w:val="both"/>
        <w:rPr>
          <w:rFonts w:ascii="Garamond" w:hAnsi="Garamond"/>
          <w:b/>
          <w:bCs/>
          <w:iCs/>
          <w:sz w:val="20"/>
          <w:szCs w:val="20"/>
        </w:rPr>
      </w:pPr>
    </w:p>
    <w:p w14:paraId="74F6E188" w14:textId="670927B3" w:rsidR="008A056F" w:rsidRPr="008A056F" w:rsidRDefault="0067535C" w:rsidP="008A056F">
      <w:pPr>
        <w:spacing w:line="259" w:lineRule="auto"/>
        <w:jc w:val="both"/>
        <w:rPr>
          <w:rFonts w:ascii="Garamond" w:hAnsi="Garamond"/>
          <w:bCs/>
          <w:iCs/>
          <w:sz w:val="22"/>
          <w:szCs w:val="22"/>
        </w:rPr>
      </w:pPr>
      <w:r w:rsidRPr="008A056F">
        <w:rPr>
          <w:rFonts w:ascii="Garamond" w:hAnsi="Garamond"/>
          <w:b/>
          <w:bCs/>
          <w:iCs/>
          <w:sz w:val="22"/>
          <w:szCs w:val="22"/>
        </w:rPr>
        <w:t>METHOD</w:t>
      </w:r>
    </w:p>
    <w:p w14:paraId="3E371039" w14:textId="77777777" w:rsidR="008A056F" w:rsidRPr="008A056F" w:rsidRDefault="008A056F" w:rsidP="008A056F">
      <w:pPr>
        <w:spacing w:line="259" w:lineRule="auto"/>
        <w:jc w:val="both"/>
        <w:rPr>
          <w:rFonts w:ascii="Garamond" w:hAnsi="Garamond"/>
          <w:b/>
          <w:bCs/>
          <w:iCs/>
          <w:sz w:val="20"/>
          <w:szCs w:val="20"/>
        </w:rPr>
      </w:pPr>
      <w:r w:rsidRPr="008A056F">
        <w:rPr>
          <w:rFonts w:ascii="Garamond" w:hAnsi="Garamond"/>
          <w:b/>
          <w:bCs/>
          <w:iCs/>
          <w:sz w:val="20"/>
          <w:szCs w:val="20"/>
        </w:rPr>
        <w:t>Experimental design</w:t>
      </w:r>
    </w:p>
    <w:p w14:paraId="002CF686" w14:textId="1B482C55" w:rsidR="008A056F" w:rsidRPr="0067535C" w:rsidRDefault="008A056F" w:rsidP="008A056F">
      <w:pPr>
        <w:spacing w:line="259" w:lineRule="auto"/>
        <w:jc w:val="both"/>
        <w:rPr>
          <w:rFonts w:ascii="Garamond" w:hAnsi="Garamond"/>
          <w:bCs/>
          <w:iCs/>
          <w:sz w:val="20"/>
          <w:szCs w:val="20"/>
        </w:rPr>
      </w:pPr>
      <w:r w:rsidRPr="008A056F">
        <w:rPr>
          <w:rFonts w:ascii="Garamond" w:hAnsi="Garamond"/>
          <w:bCs/>
          <w:iCs/>
          <w:sz w:val="20"/>
          <w:szCs w:val="20"/>
        </w:rPr>
        <w:t xml:space="preserve">Forty-five (45) </w:t>
      </w:r>
      <w:proofErr w:type="gramStart"/>
      <w:r w:rsidRPr="008A056F">
        <w:rPr>
          <w:rFonts w:ascii="Garamond" w:hAnsi="Garamond"/>
          <w:bCs/>
          <w:iCs/>
          <w:sz w:val="20"/>
          <w:szCs w:val="20"/>
        </w:rPr>
        <w:t>adult</w:t>
      </w:r>
      <w:proofErr w:type="gramEnd"/>
      <w:r w:rsidRPr="008A056F">
        <w:rPr>
          <w:rFonts w:ascii="Garamond" w:hAnsi="Garamond"/>
          <w:bCs/>
          <w:iCs/>
          <w:sz w:val="20"/>
          <w:szCs w:val="20"/>
        </w:rPr>
        <w:t xml:space="preserve"> male Wistar rats aged three (3) months, weighing between 180 – 220 grams, were procured from the Department of Human Physiology, University of Nigeria, Enugu campus, Enugu State. The experiment was laid out in a complete randomized design. The rats were housed in a wire-gauze ventilated cages at Power-Tech Analytical and Scientific Research Laboratory, Independence Layout, Enugu, Enugu State. They were fed on standard rat chow and clean water </w:t>
      </w:r>
      <w:r w:rsidRPr="008A056F">
        <w:rPr>
          <w:rFonts w:ascii="Garamond" w:hAnsi="Garamond"/>
          <w:bCs/>
          <w:i/>
          <w:iCs/>
          <w:sz w:val="20"/>
          <w:szCs w:val="20"/>
        </w:rPr>
        <w:t xml:space="preserve">ad-libitum </w:t>
      </w:r>
      <w:r w:rsidRPr="008A056F">
        <w:rPr>
          <w:rFonts w:ascii="Garamond" w:hAnsi="Garamond"/>
          <w:bCs/>
          <w:iCs/>
          <w:sz w:val="20"/>
          <w:szCs w:val="20"/>
        </w:rPr>
        <w:t>and kept under normal room temperature of 25 ± 2</w:t>
      </w:r>
      <w:r w:rsidRPr="008A056F">
        <w:rPr>
          <w:rFonts w:ascii="Garamond" w:hAnsi="Garamond"/>
          <w:bCs/>
          <w:iCs/>
          <w:sz w:val="20"/>
          <w:szCs w:val="20"/>
          <w:vertAlign w:val="superscript"/>
        </w:rPr>
        <w:t>0</w:t>
      </w:r>
      <w:r w:rsidRPr="008A056F">
        <w:rPr>
          <w:rFonts w:ascii="Garamond" w:hAnsi="Garamond"/>
          <w:bCs/>
          <w:iCs/>
          <w:sz w:val="20"/>
          <w:szCs w:val="20"/>
        </w:rPr>
        <w:t xml:space="preserve">C with humidity of 45 ± 5%. The rats were allowed to acclimatize for 2 weeks before the start of the experiment. The procedure involving animals and their care was performed in accordance with the National Institute of Health (NIH) guidelines for the care and use of animals. The rats were grouped into five (5) cages labeled A-E, which comprised three (3) rats each; this was replicated thrice. The groups were grouped as follows: Group A (Control Group) comprised of nine rats that were fed with normal rats' chow and clean water without exposure to any petroleum products; Group B comprised of nine rats that were exposed to 500 ml of Premium Motor Spirit (PMS); Group C comprised of nine rats that were exposed to 500 ml of dual purpose kerosene (DPK); Group D comprised of nine rats that was exposed to 500 ml of diesel; and Group E, comprised of nine rats that was exposed to 500 ml of a combined mixture of PMS, DPK, and diesel. The experiment lasted for 28 days post-petroleum products exposure. Lungs and hippocampal tissue homogenate were taken from three rats each from the experimental and control groups for oxidative stress parameters on </w:t>
      </w:r>
      <w:r w:rsidRPr="008A056F">
        <w:rPr>
          <w:rFonts w:ascii="Garamond" w:hAnsi="Garamond"/>
          <w:bCs/>
          <w:iCs/>
          <w:sz w:val="20"/>
          <w:szCs w:val="20"/>
        </w:rPr>
        <w:lastRenderedPageBreak/>
        <w:t>week 0, week 2, and week 4 post-exposure. The sample was taken to the Power–Tech Analytical and Scientific Research Laboratory for oxidative test analysis.</w:t>
      </w:r>
    </w:p>
    <w:p w14:paraId="2FDEFD81" w14:textId="3395F797" w:rsidR="008A056F" w:rsidRP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Animal Model Selection</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 xml:space="preserve">Forty-five (45) </w:t>
      </w:r>
      <w:proofErr w:type="gramStart"/>
      <w:r w:rsidRPr="008A056F">
        <w:rPr>
          <w:rFonts w:ascii="Garamond" w:hAnsi="Garamond"/>
          <w:bCs/>
          <w:iCs/>
          <w:sz w:val="20"/>
          <w:szCs w:val="20"/>
        </w:rPr>
        <w:t>adult</w:t>
      </w:r>
      <w:proofErr w:type="gramEnd"/>
      <w:r w:rsidRPr="008A056F">
        <w:rPr>
          <w:rFonts w:ascii="Garamond" w:hAnsi="Garamond"/>
          <w:bCs/>
          <w:iCs/>
          <w:sz w:val="20"/>
          <w:szCs w:val="20"/>
        </w:rPr>
        <w:t xml:space="preserve"> male Wistar rats aged three (3) months, weighing between 180 – 220 grams, were obtained from the Department of Human Physiology, University of Nigeria, Enugu campus, Enugu State. They were housed in well-ventilated cages. They were fed on standard rat chow and tap water </w:t>
      </w:r>
      <w:r w:rsidRPr="008A056F">
        <w:rPr>
          <w:rFonts w:ascii="Garamond" w:hAnsi="Garamond"/>
          <w:bCs/>
          <w:i/>
          <w:iCs/>
          <w:sz w:val="20"/>
          <w:szCs w:val="20"/>
        </w:rPr>
        <w:t>ad-libitum</w:t>
      </w:r>
      <w:r w:rsidRPr="008A056F">
        <w:rPr>
          <w:rFonts w:ascii="Garamond" w:hAnsi="Garamond"/>
          <w:bCs/>
          <w:iCs/>
          <w:sz w:val="20"/>
          <w:szCs w:val="20"/>
        </w:rPr>
        <w:t xml:space="preserve">. The male Wistar albino rat is a commonly used animal model for toxicological studies due to its physiological similarity to humans. </w:t>
      </w:r>
    </w:p>
    <w:p w14:paraId="23B78F9C" w14:textId="3AD96F81" w:rsidR="008A056F" w:rsidRP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Petroleum-Products Inhalation Protocol</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The method of exposure employed in this study was inhalation. The animal was placed in a sealed, ventilated exposure chamber. Petroleum product (PMS, DPK, diesel) was gotten from Nigerian National Petroleum Corporation (NNPC) Mega Filling Station, Enugu, Nigeria, four highly perforated 1000 ml cans containing 500 ml of diesel, dual purpose kerosene (DPK), premium motor spirit (PMS), and mixed doses of the three was placed in the exposure chamber and the animals was allowed to inhale the fumes evaporating from the cans. The exposure period lasted for 5 hours daily. The experiment lasted for twenty-eight (28) days. The time of exposure was between 9.00 am to 2.00 pm, after which the animals were transferred to the fume-free section of the experimental animal house.</w:t>
      </w:r>
    </w:p>
    <w:p w14:paraId="703AE31E" w14:textId="769999E4" w:rsidR="008A056F" w:rsidRP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Collection and preparation of respiratory tissue homogenate</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The lungs of the sacrificed rat were harvested using the dissection method, and they were weighed and homogenized with a Potter-Elvehjem tissue homogenizer in a potassium phosphate buffer, 10Mm and pH 7.4. The respiratory tissue homogenate was centrifuged at 10,000 revolutions per minute for fifteen (15) minutes in a cold centrifuge, and the resultant supernatant was used for different estimations of oxidative stress markers.</w:t>
      </w:r>
    </w:p>
    <w:p w14:paraId="7E6C715D" w14:textId="13C9F391" w:rsid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Collection and preparation of hippocampal tissue homogenate</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The rats were sacrificed using cervical dislocation, and the hippocampus of the sacrificed rat was harvested using a dissection method. The hippocampi were weighed and homogenized with a Potter-Elvehjem tissue homogenizer in a potassium phosphate buffer, 10Mm and pH 7.4. The tissue homogenate was centrifuged at 10,000 revolutions per minute for fifteen (15) minutes in a cold centrifuge, and the resultant supernatant was used for different estimations of oxidative stress markers.</w:t>
      </w:r>
    </w:p>
    <w:p w14:paraId="2145F81F" w14:textId="77777777" w:rsidR="008A056F" w:rsidRPr="008A056F" w:rsidRDefault="008A056F" w:rsidP="008A056F">
      <w:pPr>
        <w:spacing w:line="259" w:lineRule="auto"/>
        <w:jc w:val="both"/>
        <w:rPr>
          <w:rFonts w:ascii="Garamond" w:hAnsi="Garamond"/>
          <w:b/>
          <w:bCs/>
          <w:iCs/>
          <w:sz w:val="20"/>
          <w:szCs w:val="20"/>
        </w:rPr>
      </w:pPr>
      <w:r w:rsidRPr="008A056F">
        <w:rPr>
          <w:rFonts w:ascii="Garamond" w:hAnsi="Garamond"/>
          <w:b/>
          <w:bCs/>
          <w:iCs/>
          <w:sz w:val="20"/>
          <w:szCs w:val="20"/>
        </w:rPr>
        <w:t xml:space="preserve">Oxidative Stress Analysis </w:t>
      </w:r>
    </w:p>
    <w:p w14:paraId="5376D55E" w14:textId="53B275BD" w:rsidR="008A056F" w:rsidRP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Hydrogen peroxide (H</w:t>
      </w:r>
      <w:r w:rsidRPr="0067535C">
        <w:rPr>
          <w:rFonts w:ascii="Garamond" w:hAnsi="Garamond"/>
          <w:b/>
          <w:bCs/>
          <w:i/>
          <w:sz w:val="20"/>
          <w:szCs w:val="20"/>
          <w:vertAlign w:val="subscript"/>
        </w:rPr>
        <w:t>2</w:t>
      </w:r>
      <w:r w:rsidRPr="0067535C">
        <w:rPr>
          <w:rFonts w:ascii="Garamond" w:hAnsi="Garamond"/>
          <w:b/>
          <w:bCs/>
          <w:i/>
          <w:sz w:val="20"/>
          <w:szCs w:val="20"/>
        </w:rPr>
        <w:t>O</w:t>
      </w:r>
      <w:r w:rsidRPr="0067535C">
        <w:rPr>
          <w:rFonts w:ascii="Garamond" w:hAnsi="Garamond"/>
          <w:b/>
          <w:bCs/>
          <w:i/>
          <w:sz w:val="20"/>
          <w:szCs w:val="20"/>
          <w:vertAlign w:val="subscript"/>
        </w:rPr>
        <w:t>2</w:t>
      </w:r>
      <w:r w:rsidRPr="0067535C">
        <w:rPr>
          <w:rFonts w:ascii="Garamond" w:hAnsi="Garamond"/>
          <w:b/>
          <w:bCs/>
          <w:i/>
          <w:sz w:val="20"/>
          <w:szCs w:val="20"/>
        </w:rPr>
        <w:t>) scavenging assay</w:t>
      </w:r>
      <w:r w:rsidR="0067535C">
        <w:rPr>
          <w:rFonts w:ascii="Garamond" w:hAnsi="Garamond"/>
          <w:b/>
          <w:bCs/>
          <w:i/>
          <w:sz w:val="20"/>
          <w:szCs w:val="20"/>
        </w:rPr>
        <w:t xml:space="preserve">: </w:t>
      </w:r>
      <w:r w:rsidRPr="008A056F">
        <w:rPr>
          <w:rFonts w:ascii="Garamond" w:hAnsi="Garamond"/>
          <w:bCs/>
          <w:iCs/>
          <w:sz w:val="20"/>
          <w:szCs w:val="20"/>
        </w:rPr>
        <w:t>Hydrogen peroxide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was determined by the method of Ruch </w:t>
      </w:r>
      <w:r w:rsidRPr="008A056F">
        <w:rPr>
          <w:rFonts w:ascii="Garamond" w:hAnsi="Garamond"/>
          <w:bCs/>
          <w:i/>
          <w:iCs/>
          <w:sz w:val="20"/>
          <w:szCs w:val="20"/>
        </w:rPr>
        <w:t>et al</w:t>
      </w:r>
      <w:r w:rsidRPr="008A056F">
        <w:rPr>
          <w:rFonts w:ascii="Garamond" w:hAnsi="Garamond"/>
          <w:bCs/>
          <w:iCs/>
          <w:sz w:val="20"/>
          <w:szCs w:val="20"/>
        </w:rPr>
        <w:t>.</w:t>
      </w:r>
      <w:r w:rsidRPr="008A056F">
        <w:rPr>
          <w:rFonts w:ascii="Garamond" w:hAnsi="Garamond"/>
          <w:bCs/>
          <w:iCs/>
          <w:sz w:val="20"/>
          <w:szCs w:val="20"/>
          <w:vertAlign w:val="superscript"/>
        </w:rPr>
        <w:t>11</w:t>
      </w:r>
      <w:r w:rsidRPr="008A056F">
        <w:rPr>
          <w:rFonts w:ascii="Garamond" w:hAnsi="Garamond"/>
          <w:bCs/>
          <w:iCs/>
          <w:sz w:val="20"/>
          <w:szCs w:val="20"/>
        </w:rPr>
        <w:t>. A solution of hydrogen peroxide (40 mM) was prepared in phosphate buffer (50 mM, pH 7.4). The concentration of hydrogen peroxide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was determined by absorption at 230 </w:t>
      </w:r>
      <w:proofErr w:type="spellStart"/>
      <w:r w:rsidRPr="008A056F">
        <w:rPr>
          <w:rFonts w:ascii="Cambria" w:hAnsi="Cambria" w:cs="Cambria"/>
          <w:bCs/>
          <w:iCs/>
          <w:sz w:val="20"/>
          <w:szCs w:val="20"/>
        </w:rPr>
        <w:t>ƞ</w:t>
      </w:r>
      <w:r w:rsidRPr="008A056F">
        <w:rPr>
          <w:rFonts w:ascii="Garamond" w:hAnsi="Garamond"/>
          <w:bCs/>
          <w:iCs/>
          <w:sz w:val="20"/>
          <w:szCs w:val="20"/>
        </w:rPr>
        <w:t>M</w:t>
      </w:r>
      <w:proofErr w:type="spellEnd"/>
      <w:r w:rsidRPr="008A056F">
        <w:rPr>
          <w:rFonts w:ascii="Garamond" w:hAnsi="Garamond"/>
          <w:bCs/>
          <w:iCs/>
          <w:sz w:val="20"/>
          <w:szCs w:val="20"/>
        </w:rPr>
        <w:t xml:space="preserve"> using a spectrophotometer. One milliliter of serum sample in two milliliters of physiological saline was added to hydrogen peroxide, and absorbance at 230 </w:t>
      </w:r>
      <w:proofErr w:type="spellStart"/>
      <w:r w:rsidRPr="008A056F">
        <w:rPr>
          <w:rFonts w:ascii="Cambria" w:hAnsi="Cambria" w:cs="Cambria"/>
          <w:bCs/>
          <w:iCs/>
          <w:sz w:val="20"/>
          <w:szCs w:val="20"/>
        </w:rPr>
        <w:t>ƞ</w:t>
      </w:r>
      <w:r w:rsidRPr="008A056F">
        <w:rPr>
          <w:rFonts w:ascii="Garamond" w:hAnsi="Garamond"/>
          <w:bCs/>
          <w:iCs/>
          <w:sz w:val="20"/>
          <w:szCs w:val="20"/>
        </w:rPr>
        <w:t>m</w:t>
      </w:r>
      <w:proofErr w:type="spellEnd"/>
      <w:r w:rsidRPr="008A056F">
        <w:rPr>
          <w:rFonts w:ascii="Garamond" w:hAnsi="Garamond"/>
          <w:bCs/>
          <w:iCs/>
          <w:sz w:val="20"/>
          <w:szCs w:val="20"/>
        </w:rPr>
        <w:t xml:space="preserve"> was determined after 10 min against a blank solution containing phosphate buffer without hydrogen peroxide. The percentage of hydrogen peroxide scavenging was calculated as follows:</w:t>
      </w:r>
    </w:p>
    <w:p w14:paraId="32DB507C" w14:textId="6B72A495" w:rsidR="008A056F" w:rsidRPr="0067535C" w:rsidRDefault="008A056F" w:rsidP="008A056F">
      <w:pPr>
        <w:spacing w:line="259" w:lineRule="auto"/>
        <w:jc w:val="both"/>
        <w:rPr>
          <w:rFonts w:ascii="Garamond" w:hAnsi="Garamond"/>
          <w:bCs/>
          <w:iCs/>
          <w:sz w:val="20"/>
          <w:szCs w:val="20"/>
        </w:rPr>
      </w:pPr>
      <w:r w:rsidRPr="008A056F">
        <w:rPr>
          <w:rFonts w:ascii="Garamond" w:hAnsi="Garamond"/>
          <w:bCs/>
          <w:iCs/>
          <w:sz w:val="20"/>
          <w:szCs w:val="20"/>
        </w:rPr>
        <w:t>% scavenged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 [(A</w:t>
      </w:r>
      <w:r w:rsidRPr="008A056F">
        <w:rPr>
          <w:rFonts w:ascii="Garamond" w:hAnsi="Garamond"/>
          <w:bCs/>
          <w:iCs/>
          <w:sz w:val="20"/>
          <w:szCs w:val="20"/>
          <w:vertAlign w:val="subscript"/>
        </w:rPr>
        <w:t>i</w:t>
      </w:r>
      <w:r w:rsidRPr="008A056F">
        <w:rPr>
          <w:rFonts w:ascii="Garamond" w:hAnsi="Garamond"/>
          <w:bCs/>
          <w:iCs/>
          <w:sz w:val="20"/>
          <w:szCs w:val="20"/>
        </w:rPr>
        <w:t>-A</w:t>
      </w:r>
      <w:r w:rsidRPr="008A056F">
        <w:rPr>
          <w:rFonts w:ascii="Garamond" w:hAnsi="Garamond"/>
          <w:bCs/>
          <w:iCs/>
          <w:sz w:val="20"/>
          <w:szCs w:val="20"/>
          <w:vertAlign w:val="subscript"/>
        </w:rPr>
        <w:t>t</w:t>
      </w:r>
      <w:r w:rsidRPr="008A056F">
        <w:rPr>
          <w:rFonts w:ascii="Garamond" w:hAnsi="Garamond"/>
          <w:bCs/>
          <w:iCs/>
          <w:sz w:val="20"/>
          <w:szCs w:val="20"/>
        </w:rPr>
        <w:t>)/A</w:t>
      </w:r>
      <w:r w:rsidRPr="008A056F">
        <w:rPr>
          <w:rFonts w:ascii="Garamond" w:hAnsi="Garamond"/>
          <w:bCs/>
          <w:iCs/>
          <w:sz w:val="20"/>
          <w:szCs w:val="20"/>
          <w:vertAlign w:val="subscript"/>
        </w:rPr>
        <w:t>i</w:t>
      </w:r>
      <w:r w:rsidRPr="008A056F">
        <w:rPr>
          <w:rFonts w:ascii="Garamond" w:hAnsi="Garamond"/>
          <w:bCs/>
          <w:iCs/>
          <w:sz w:val="20"/>
          <w:szCs w:val="20"/>
        </w:rPr>
        <w:t>] ×100</w:t>
      </w:r>
      <w:r w:rsidR="0067535C">
        <w:rPr>
          <w:rFonts w:ascii="Garamond" w:hAnsi="Garamond"/>
          <w:bCs/>
          <w:iCs/>
          <w:sz w:val="20"/>
          <w:szCs w:val="20"/>
        </w:rPr>
        <w:t xml:space="preserve">. </w:t>
      </w:r>
      <w:r w:rsidRPr="008A056F">
        <w:rPr>
          <w:rFonts w:ascii="Garamond" w:hAnsi="Garamond"/>
          <w:bCs/>
          <w:iCs/>
          <w:sz w:val="20"/>
          <w:szCs w:val="20"/>
        </w:rPr>
        <w:t>Where A</w:t>
      </w:r>
      <w:r w:rsidRPr="008A056F">
        <w:rPr>
          <w:rFonts w:ascii="Garamond" w:hAnsi="Garamond"/>
          <w:bCs/>
          <w:iCs/>
          <w:sz w:val="20"/>
          <w:szCs w:val="20"/>
          <w:vertAlign w:val="subscript"/>
        </w:rPr>
        <w:t xml:space="preserve">i </w:t>
      </w:r>
      <w:r w:rsidRPr="008A056F">
        <w:rPr>
          <w:rFonts w:ascii="Garamond" w:hAnsi="Garamond"/>
          <w:bCs/>
          <w:iCs/>
          <w:sz w:val="20"/>
          <w:szCs w:val="20"/>
        </w:rPr>
        <w:t xml:space="preserve">is the absorbance of the control, and </w:t>
      </w:r>
      <w:proofErr w:type="gramStart"/>
      <w:r w:rsidRPr="008A056F">
        <w:rPr>
          <w:rFonts w:ascii="Garamond" w:hAnsi="Garamond"/>
          <w:bCs/>
          <w:iCs/>
          <w:sz w:val="20"/>
          <w:szCs w:val="20"/>
        </w:rPr>
        <w:t>A</w:t>
      </w:r>
      <w:r w:rsidRPr="008A056F">
        <w:rPr>
          <w:rFonts w:ascii="Garamond" w:hAnsi="Garamond"/>
          <w:bCs/>
          <w:iCs/>
          <w:sz w:val="20"/>
          <w:szCs w:val="20"/>
          <w:vertAlign w:val="subscript"/>
        </w:rPr>
        <w:t>t</w:t>
      </w:r>
      <w:proofErr w:type="gramEnd"/>
      <w:r w:rsidRPr="008A056F">
        <w:rPr>
          <w:rFonts w:ascii="Garamond" w:hAnsi="Garamond"/>
          <w:bCs/>
          <w:iCs/>
          <w:sz w:val="20"/>
          <w:szCs w:val="20"/>
          <w:vertAlign w:val="subscript"/>
        </w:rPr>
        <w:t xml:space="preserve"> </w:t>
      </w:r>
      <w:r w:rsidRPr="008A056F">
        <w:rPr>
          <w:rFonts w:ascii="Garamond" w:hAnsi="Garamond"/>
          <w:bCs/>
          <w:iCs/>
          <w:sz w:val="20"/>
          <w:szCs w:val="20"/>
        </w:rPr>
        <w:t>is the absorbance of the test.</w:t>
      </w:r>
    </w:p>
    <w:p w14:paraId="171C5D56" w14:textId="27C61410" w:rsid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Nitric oxide scavenging activity</w:t>
      </w:r>
      <w:r w:rsidR="0067535C">
        <w:rPr>
          <w:rFonts w:ascii="Garamond" w:hAnsi="Garamond"/>
          <w:b/>
          <w:bCs/>
          <w:iCs/>
          <w:sz w:val="20"/>
          <w:szCs w:val="20"/>
        </w:rPr>
        <w:t xml:space="preserve">: </w:t>
      </w:r>
      <w:r w:rsidRPr="008A056F">
        <w:rPr>
          <w:rFonts w:ascii="Garamond" w:hAnsi="Garamond"/>
          <w:bCs/>
          <w:iCs/>
          <w:sz w:val="20"/>
          <w:szCs w:val="20"/>
        </w:rPr>
        <w:t xml:space="preserve">The method illustrated by </w:t>
      </w:r>
      <w:proofErr w:type="spellStart"/>
      <w:r w:rsidRPr="008A056F">
        <w:rPr>
          <w:rFonts w:ascii="Garamond" w:hAnsi="Garamond"/>
          <w:bCs/>
          <w:iCs/>
          <w:sz w:val="20"/>
          <w:szCs w:val="20"/>
        </w:rPr>
        <w:t>Marcocci</w:t>
      </w:r>
      <w:proofErr w:type="spellEnd"/>
      <w:r w:rsidRPr="008A056F">
        <w:rPr>
          <w:rFonts w:ascii="Garamond" w:hAnsi="Garamond"/>
          <w:bCs/>
          <w:iCs/>
          <w:sz w:val="20"/>
          <w:szCs w:val="20"/>
        </w:rPr>
        <w:t xml:space="preserve"> </w:t>
      </w:r>
      <w:r w:rsidRPr="008A056F">
        <w:rPr>
          <w:rFonts w:ascii="Garamond" w:hAnsi="Garamond"/>
          <w:bCs/>
          <w:i/>
          <w:iCs/>
          <w:sz w:val="20"/>
          <w:szCs w:val="20"/>
        </w:rPr>
        <w:t>et al</w:t>
      </w:r>
      <w:r w:rsidRPr="008A056F">
        <w:rPr>
          <w:rFonts w:ascii="Garamond" w:hAnsi="Garamond"/>
          <w:bCs/>
          <w:iCs/>
          <w:sz w:val="20"/>
          <w:szCs w:val="20"/>
        </w:rPr>
        <w:t>.</w:t>
      </w:r>
      <w:r w:rsidRPr="008A056F">
        <w:rPr>
          <w:rFonts w:ascii="Garamond" w:hAnsi="Garamond"/>
          <w:bCs/>
          <w:iCs/>
          <w:sz w:val="20"/>
          <w:szCs w:val="20"/>
          <w:vertAlign w:val="superscript"/>
        </w:rPr>
        <w:t xml:space="preserve">12 </w:t>
      </w:r>
      <w:r w:rsidRPr="008A056F">
        <w:rPr>
          <w:rFonts w:ascii="Garamond" w:hAnsi="Garamond"/>
          <w:bCs/>
          <w:iCs/>
          <w:sz w:val="20"/>
          <w:szCs w:val="20"/>
        </w:rPr>
        <w:t xml:space="preserve">was used. Two (2.0) mL of 10mM sodium nitroprusside dissolved in 0.5 </w:t>
      </w:r>
      <w:proofErr w:type="spellStart"/>
      <w:r w:rsidRPr="008A056F">
        <w:rPr>
          <w:rFonts w:ascii="Garamond" w:hAnsi="Garamond"/>
          <w:bCs/>
          <w:iCs/>
          <w:sz w:val="20"/>
          <w:szCs w:val="20"/>
        </w:rPr>
        <w:t>mL.</w:t>
      </w:r>
      <w:proofErr w:type="spellEnd"/>
      <w:r w:rsidRPr="008A056F">
        <w:rPr>
          <w:rFonts w:ascii="Garamond" w:hAnsi="Garamond"/>
          <w:bCs/>
          <w:iCs/>
          <w:sz w:val="20"/>
          <w:szCs w:val="20"/>
        </w:rPr>
        <w:t xml:space="preserve"> Phosphate buffer saline (pH 7.4) was mixed with 0.5 mL of the sample at various concentrations (0.2 – 0.8 mg/mL). The mixture was then incubated at 25 </w:t>
      </w:r>
      <w:r w:rsidRPr="008A056F">
        <w:rPr>
          <w:rFonts w:ascii="Garamond" w:hAnsi="Garamond"/>
          <w:bCs/>
          <w:iCs/>
          <w:sz w:val="20"/>
          <w:szCs w:val="20"/>
          <w:vertAlign w:val="superscript"/>
        </w:rPr>
        <w:t>0</w:t>
      </w:r>
      <w:r w:rsidRPr="008A056F">
        <w:rPr>
          <w:rFonts w:ascii="Garamond" w:hAnsi="Garamond"/>
          <w:bCs/>
          <w:iCs/>
          <w:sz w:val="20"/>
          <w:szCs w:val="20"/>
        </w:rPr>
        <w:t xml:space="preserve">C. After 150 min of incubation, 0.5 mL of the incubated solution was withdrawn and mixed with 0.5 mL of Griess reagent [(1.0 mL </w:t>
      </w:r>
      <w:proofErr w:type="spellStart"/>
      <w:r w:rsidRPr="008A056F">
        <w:rPr>
          <w:rFonts w:ascii="Garamond" w:hAnsi="Garamond"/>
          <w:bCs/>
          <w:iCs/>
          <w:sz w:val="20"/>
          <w:szCs w:val="20"/>
        </w:rPr>
        <w:t>sulfanilic</w:t>
      </w:r>
      <w:proofErr w:type="spellEnd"/>
      <w:r w:rsidRPr="008A056F">
        <w:rPr>
          <w:rFonts w:ascii="Garamond" w:hAnsi="Garamond"/>
          <w:bCs/>
          <w:iCs/>
          <w:sz w:val="20"/>
          <w:szCs w:val="20"/>
        </w:rPr>
        <w:t xml:space="preserve"> acid reagent (0.33 % in 20% glacial acetic acid at room temperature for 5min with 1.0 mL of naphthyl ethylenediamine dichloride (0.1% w/v)].</w:t>
      </w:r>
    </w:p>
    <w:p w14:paraId="66081844" w14:textId="74FC7AE2" w:rsidR="008A056F" w:rsidRPr="0067535C" w:rsidRDefault="008A056F" w:rsidP="008A056F">
      <w:pPr>
        <w:spacing w:line="259" w:lineRule="auto"/>
        <w:jc w:val="both"/>
        <w:rPr>
          <w:rFonts w:ascii="Garamond" w:hAnsi="Garamond"/>
          <w:bCs/>
          <w:iCs/>
          <w:sz w:val="20"/>
          <w:szCs w:val="20"/>
        </w:rPr>
      </w:pPr>
      <w:r w:rsidRPr="008A056F">
        <w:rPr>
          <w:rFonts w:ascii="Garamond" w:hAnsi="Garamond"/>
          <w:bCs/>
          <w:iCs/>
          <w:sz w:val="20"/>
          <w:szCs w:val="20"/>
        </w:rPr>
        <w:t xml:space="preserve">The mixture was incubated at room temperature for 30min, and its absorbance pouring into a cuvette was measured at 546 </w:t>
      </w:r>
      <w:proofErr w:type="spellStart"/>
      <w:r w:rsidRPr="008A056F">
        <w:rPr>
          <w:rFonts w:ascii="Cambria" w:hAnsi="Cambria" w:cs="Cambria"/>
          <w:bCs/>
          <w:iCs/>
          <w:sz w:val="20"/>
          <w:szCs w:val="20"/>
        </w:rPr>
        <w:t>ƞ</w:t>
      </w:r>
      <w:r w:rsidRPr="008A056F">
        <w:rPr>
          <w:rFonts w:ascii="Garamond" w:hAnsi="Garamond"/>
          <w:bCs/>
          <w:iCs/>
          <w:sz w:val="20"/>
          <w:szCs w:val="20"/>
        </w:rPr>
        <w:t>m</w:t>
      </w:r>
      <w:proofErr w:type="spellEnd"/>
      <w:r w:rsidRPr="008A056F">
        <w:rPr>
          <w:rFonts w:ascii="Garamond" w:hAnsi="Garamond"/>
          <w:bCs/>
          <w:iCs/>
          <w:sz w:val="20"/>
          <w:szCs w:val="20"/>
        </w:rPr>
        <w:t>. The amount of nitric oxide radical inhibition was calculated following this equation: % inhibition of NO radical = [A</w:t>
      </w:r>
      <w:r w:rsidRPr="008A056F">
        <w:rPr>
          <w:rFonts w:ascii="Garamond" w:hAnsi="Garamond"/>
          <w:bCs/>
          <w:iCs/>
          <w:sz w:val="20"/>
          <w:szCs w:val="20"/>
          <w:vertAlign w:val="subscript"/>
        </w:rPr>
        <w:t>0</w:t>
      </w:r>
      <w:r w:rsidRPr="008A056F">
        <w:rPr>
          <w:rFonts w:ascii="Garamond" w:hAnsi="Garamond"/>
          <w:bCs/>
          <w:iCs/>
          <w:sz w:val="20"/>
          <w:szCs w:val="20"/>
        </w:rPr>
        <w:t>-A</w:t>
      </w:r>
      <w:r w:rsidRPr="008A056F">
        <w:rPr>
          <w:rFonts w:ascii="Garamond" w:hAnsi="Garamond"/>
          <w:bCs/>
          <w:iCs/>
          <w:sz w:val="20"/>
          <w:szCs w:val="20"/>
          <w:vertAlign w:val="subscript"/>
        </w:rPr>
        <w:t>t</w:t>
      </w:r>
      <w:r w:rsidRPr="008A056F">
        <w:rPr>
          <w:rFonts w:ascii="Garamond" w:hAnsi="Garamond"/>
          <w:bCs/>
          <w:iCs/>
          <w:sz w:val="20"/>
          <w:szCs w:val="20"/>
        </w:rPr>
        <w:t>]/A</w:t>
      </w:r>
      <w:r w:rsidRPr="008A056F">
        <w:rPr>
          <w:rFonts w:ascii="Garamond" w:hAnsi="Garamond"/>
          <w:bCs/>
          <w:iCs/>
          <w:sz w:val="20"/>
          <w:szCs w:val="20"/>
          <w:vertAlign w:val="subscript"/>
        </w:rPr>
        <w:t>0</w:t>
      </w:r>
      <w:r w:rsidRPr="008A056F">
        <w:rPr>
          <w:rFonts w:ascii="Garamond" w:hAnsi="Garamond"/>
          <w:bCs/>
          <w:iCs/>
          <w:sz w:val="20"/>
          <w:szCs w:val="20"/>
        </w:rPr>
        <w:t>×100 Sample (µM TE/g).</w:t>
      </w:r>
    </w:p>
    <w:p w14:paraId="384ACBA2" w14:textId="1297F6C2" w:rsidR="008A056F" w:rsidRP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Reduced glutathione (GSH) estimation</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The method illustrated by Ellman</w:t>
      </w:r>
      <w:r w:rsidRPr="008A056F">
        <w:rPr>
          <w:rFonts w:ascii="Garamond" w:hAnsi="Garamond"/>
          <w:bCs/>
          <w:iCs/>
          <w:sz w:val="20"/>
          <w:szCs w:val="20"/>
          <w:vertAlign w:val="superscript"/>
        </w:rPr>
        <w:t>13</w:t>
      </w:r>
      <w:r w:rsidRPr="008A056F">
        <w:rPr>
          <w:rFonts w:ascii="Garamond" w:hAnsi="Garamond"/>
          <w:bCs/>
          <w:iCs/>
          <w:sz w:val="20"/>
          <w:szCs w:val="20"/>
        </w:rPr>
        <w:t xml:space="preserve"> was used for the determination of reduced glutathione. The tissue homogenate (in 0.1 M phosphate buffer, pH 7.4) was taken and added with an equal volume of 20% trichloroacetic acid (TCA) containing 1.0 mM EDTA to precipitate the tissue proteins. The mixture was allowed to stand for 5 min before centrifugation for 10 min at 2000rpm. The supernatant (200 µL) was then transferred to a new set of test tubes and added with 1.8 mL of </w:t>
      </w:r>
      <w:proofErr w:type="spellStart"/>
      <w:r w:rsidRPr="008A056F">
        <w:rPr>
          <w:rFonts w:ascii="Garamond" w:hAnsi="Garamond"/>
          <w:bCs/>
          <w:iCs/>
          <w:sz w:val="20"/>
          <w:szCs w:val="20"/>
        </w:rPr>
        <w:t>Eliman’s</w:t>
      </w:r>
      <w:proofErr w:type="spellEnd"/>
      <w:r w:rsidRPr="008A056F">
        <w:rPr>
          <w:rFonts w:ascii="Garamond" w:hAnsi="Garamond"/>
          <w:bCs/>
          <w:iCs/>
          <w:sz w:val="20"/>
          <w:szCs w:val="20"/>
        </w:rPr>
        <w:t xml:space="preserve"> reagent (5,5-dithiobis-2-nitrobenzoic acid (0.1 mM) prepared in 0.3 M phosphate buffer with 1% of sodium citrate solution). Then all the test tubes were made up to the volume of 2.0mL. After completion of the total reaction, the solution was measured at 412 </w:t>
      </w:r>
      <w:proofErr w:type="spellStart"/>
      <w:r w:rsidRPr="008A056F">
        <w:rPr>
          <w:rFonts w:ascii="Cambria" w:hAnsi="Cambria" w:cs="Cambria"/>
          <w:bCs/>
          <w:iCs/>
          <w:sz w:val="20"/>
          <w:szCs w:val="20"/>
        </w:rPr>
        <w:t>ƞ</w:t>
      </w:r>
      <w:r w:rsidRPr="008A056F">
        <w:rPr>
          <w:rFonts w:ascii="Garamond" w:hAnsi="Garamond"/>
          <w:bCs/>
          <w:iCs/>
          <w:sz w:val="20"/>
          <w:szCs w:val="20"/>
        </w:rPr>
        <w:t>m</w:t>
      </w:r>
      <w:proofErr w:type="spellEnd"/>
      <w:r w:rsidRPr="008A056F">
        <w:rPr>
          <w:rFonts w:ascii="Garamond" w:hAnsi="Garamond"/>
          <w:bCs/>
          <w:iCs/>
          <w:sz w:val="20"/>
          <w:szCs w:val="20"/>
        </w:rPr>
        <w:t xml:space="preserve"> against the blank. </w:t>
      </w:r>
      <w:r w:rsidRPr="008A056F">
        <w:rPr>
          <w:rFonts w:ascii="Garamond" w:hAnsi="Garamond"/>
          <w:bCs/>
          <w:iCs/>
          <w:sz w:val="20"/>
          <w:szCs w:val="20"/>
        </w:rPr>
        <w:lastRenderedPageBreak/>
        <w:t>Absorbance values were compared with a standard curve generated from known GSH.</w:t>
      </w:r>
    </w:p>
    <w:p w14:paraId="587B2C4D" w14:textId="66A01221" w:rsidR="008A056F" w:rsidRPr="0067535C"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Determination of superoxide dismutase (SOD)</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The method described by McCord and Fridovich</w:t>
      </w:r>
      <w:r w:rsidRPr="008A056F">
        <w:rPr>
          <w:rFonts w:ascii="Garamond" w:hAnsi="Garamond"/>
          <w:bCs/>
          <w:iCs/>
          <w:sz w:val="20"/>
          <w:szCs w:val="20"/>
          <w:vertAlign w:val="superscript"/>
        </w:rPr>
        <w:t>14</w:t>
      </w:r>
      <w:r w:rsidRPr="008A056F">
        <w:rPr>
          <w:rFonts w:ascii="Garamond" w:hAnsi="Garamond"/>
          <w:bCs/>
          <w:iCs/>
          <w:sz w:val="20"/>
          <w:szCs w:val="20"/>
        </w:rPr>
        <w:t xml:space="preserve"> was applied to the determination of superoxide dismutase. It was estimated in the erythrocyte lysate prepared from the 5% RBC suspension. 50µL of the lysate, 7 Mm of Tris-HCl buffer (pH 8.2), 30 mM EDTA, and 2mM of pyrogallol added. An increase in absorbance was recorded at 420 nm for 3 min by spectrophotometer. One unit of enzyme activity were 50% inhibition of the rate of autooxidation of pyrogallol as determined by change in absorbance/min at 402</w:t>
      </w:r>
      <w:r w:rsidRPr="008A056F">
        <w:rPr>
          <w:rFonts w:ascii="Cambria" w:hAnsi="Cambria" w:cs="Cambria"/>
          <w:bCs/>
          <w:iCs/>
          <w:sz w:val="20"/>
          <w:szCs w:val="20"/>
        </w:rPr>
        <w:t>ƞ</w:t>
      </w:r>
      <w:r w:rsidRPr="008A056F">
        <w:rPr>
          <w:rFonts w:ascii="Garamond" w:hAnsi="Garamond"/>
          <w:bCs/>
          <w:iCs/>
          <w:sz w:val="20"/>
          <w:szCs w:val="20"/>
        </w:rPr>
        <w:t>m. The activity of SOD was expressed as units/mg protein.</w:t>
      </w:r>
    </w:p>
    <w:p w14:paraId="41C20268" w14:textId="565A3B07" w:rsidR="008A056F" w:rsidRPr="0067535C"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Malondialdehyde</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 xml:space="preserve">The levels of MDA were measured using </w:t>
      </w:r>
      <w:proofErr w:type="spellStart"/>
      <w:r w:rsidRPr="008A056F">
        <w:rPr>
          <w:rFonts w:ascii="Garamond" w:hAnsi="Garamond"/>
          <w:bCs/>
          <w:iCs/>
          <w:sz w:val="20"/>
          <w:szCs w:val="20"/>
        </w:rPr>
        <w:t>thiobarbituric</w:t>
      </w:r>
      <w:proofErr w:type="spellEnd"/>
      <w:r w:rsidRPr="008A056F">
        <w:rPr>
          <w:rFonts w:ascii="Garamond" w:hAnsi="Garamond"/>
          <w:bCs/>
          <w:iCs/>
          <w:sz w:val="20"/>
          <w:szCs w:val="20"/>
        </w:rPr>
        <w:t xml:space="preserve"> acid reactive substances (TBARS) as described by Donnan</w:t>
      </w:r>
      <w:r w:rsidRPr="008A056F">
        <w:rPr>
          <w:rFonts w:ascii="Garamond" w:hAnsi="Garamond"/>
          <w:bCs/>
          <w:iCs/>
          <w:sz w:val="20"/>
          <w:szCs w:val="20"/>
          <w:vertAlign w:val="superscript"/>
        </w:rPr>
        <w:t>15</w:t>
      </w:r>
      <w:r w:rsidRPr="008A056F">
        <w:rPr>
          <w:rFonts w:ascii="Garamond" w:hAnsi="Garamond"/>
          <w:bCs/>
          <w:iCs/>
          <w:sz w:val="20"/>
          <w:szCs w:val="20"/>
        </w:rPr>
        <w:t>. In all these methods, MDA reacts with TBARS in acidic medium at 100°C to generate a pink/red-</w:t>
      </w:r>
      <w:proofErr w:type="spellStart"/>
      <w:r w:rsidRPr="008A056F">
        <w:rPr>
          <w:rFonts w:ascii="Garamond" w:hAnsi="Garamond"/>
          <w:bCs/>
          <w:iCs/>
          <w:sz w:val="20"/>
          <w:szCs w:val="20"/>
        </w:rPr>
        <w:t>coloured</w:t>
      </w:r>
      <w:proofErr w:type="spellEnd"/>
      <w:r w:rsidRPr="008A056F">
        <w:rPr>
          <w:rFonts w:ascii="Garamond" w:hAnsi="Garamond"/>
          <w:bCs/>
          <w:iCs/>
          <w:sz w:val="20"/>
          <w:szCs w:val="20"/>
        </w:rPr>
        <w:t xml:space="preserve"> product which can be extracted with butanol and measured using a spectrophotometer at an absorbance of 520-535</w:t>
      </w:r>
      <w:r w:rsidRPr="008A056F">
        <w:rPr>
          <w:rFonts w:ascii="Times New Roman" w:hAnsi="Times New Roman" w:cs="Times New Roman"/>
          <w:bCs/>
          <w:iCs/>
          <w:sz w:val="20"/>
          <w:szCs w:val="20"/>
        </w:rPr>
        <w:t> </w:t>
      </w:r>
      <w:r w:rsidRPr="008A056F">
        <w:rPr>
          <w:rFonts w:ascii="Garamond" w:hAnsi="Garamond"/>
          <w:bCs/>
          <w:iCs/>
          <w:sz w:val="20"/>
          <w:szCs w:val="20"/>
        </w:rPr>
        <w:t>nm or by a fluorimeter at excitation = 515</w:t>
      </w:r>
      <w:r w:rsidRPr="008A056F">
        <w:rPr>
          <w:rFonts w:ascii="Times New Roman" w:hAnsi="Times New Roman" w:cs="Times New Roman"/>
          <w:bCs/>
          <w:iCs/>
          <w:sz w:val="20"/>
          <w:szCs w:val="20"/>
        </w:rPr>
        <w:t> </w:t>
      </w:r>
      <w:r w:rsidRPr="008A056F">
        <w:rPr>
          <w:rFonts w:ascii="Garamond" w:hAnsi="Garamond"/>
          <w:bCs/>
          <w:iCs/>
          <w:sz w:val="20"/>
          <w:szCs w:val="20"/>
        </w:rPr>
        <w:t>nm and emission = 555</w:t>
      </w:r>
      <w:r w:rsidRPr="008A056F">
        <w:rPr>
          <w:rFonts w:ascii="Times New Roman" w:hAnsi="Times New Roman" w:cs="Times New Roman"/>
          <w:bCs/>
          <w:iCs/>
          <w:sz w:val="20"/>
          <w:szCs w:val="20"/>
        </w:rPr>
        <w:t> </w:t>
      </w:r>
      <w:r w:rsidRPr="008A056F">
        <w:rPr>
          <w:rFonts w:ascii="Garamond" w:hAnsi="Garamond"/>
          <w:bCs/>
          <w:iCs/>
          <w:sz w:val="20"/>
          <w:szCs w:val="20"/>
        </w:rPr>
        <w:t xml:space="preserve">nm. The TBARS method is rapid and easy; however, aldehydes other than MDA may also react with TBARS, producing derivatives that absorb light in the same wavelength range. </w:t>
      </w:r>
    </w:p>
    <w:p w14:paraId="5DB60143" w14:textId="2819D041" w:rsidR="008A056F" w:rsidRPr="008A056F" w:rsidRDefault="008A056F" w:rsidP="008A056F">
      <w:pPr>
        <w:spacing w:line="259" w:lineRule="auto"/>
        <w:jc w:val="both"/>
        <w:rPr>
          <w:rFonts w:ascii="Garamond" w:hAnsi="Garamond"/>
          <w:bCs/>
          <w:iCs/>
          <w:sz w:val="20"/>
          <w:szCs w:val="20"/>
        </w:rPr>
      </w:pPr>
      <w:r w:rsidRPr="0067535C">
        <w:rPr>
          <w:rFonts w:ascii="Garamond" w:hAnsi="Garamond"/>
          <w:b/>
          <w:bCs/>
          <w:i/>
          <w:sz w:val="20"/>
          <w:szCs w:val="20"/>
        </w:rPr>
        <w:t>Statistical Analysis</w:t>
      </w:r>
      <w:r w:rsidR="0067535C" w:rsidRPr="0067535C">
        <w:rPr>
          <w:rFonts w:ascii="Garamond" w:hAnsi="Garamond"/>
          <w:b/>
          <w:bCs/>
          <w:i/>
          <w:sz w:val="20"/>
          <w:szCs w:val="20"/>
        </w:rPr>
        <w:t>:</w:t>
      </w:r>
      <w:r w:rsidR="0067535C">
        <w:rPr>
          <w:rFonts w:ascii="Garamond" w:hAnsi="Garamond"/>
          <w:b/>
          <w:bCs/>
          <w:iCs/>
          <w:sz w:val="20"/>
          <w:szCs w:val="20"/>
        </w:rPr>
        <w:t xml:space="preserve"> </w:t>
      </w:r>
      <w:r w:rsidRPr="008A056F">
        <w:rPr>
          <w:rFonts w:ascii="Garamond" w:hAnsi="Garamond"/>
          <w:bCs/>
          <w:iCs/>
          <w:sz w:val="20"/>
          <w:szCs w:val="20"/>
        </w:rPr>
        <w:t xml:space="preserve">All the statistical analyses were processed by using the Statistical Package of Social Science (SPSS) for Windows (version 16). The value of the measured parameters was expressed as mean </w:t>
      </w:r>
      <w:r w:rsidRPr="008A056F">
        <w:rPr>
          <w:rFonts w:ascii="Garamond" w:hAnsi="Garamond"/>
          <w:bCs/>
          <w:iCs/>
          <w:sz w:val="20"/>
          <w:szCs w:val="20"/>
          <w:u w:val="single"/>
        </w:rPr>
        <w:t xml:space="preserve">+ </w:t>
      </w:r>
      <w:r w:rsidRPr="008A056F">
        <w:rPr>
          <w:rFonts w:ascii="Garamond" w:hAnsi="Garamond"/>
          <w:bCs/>
          <w:iCs/>
          <w:sz w:val="20"/>
          <w:szCs w:val="20"/>
        </w:rPr>
        <w:t>SEM. Two-Way Analysis of Variance (2-way ANOVA) was used to determine the effect of different inhalants and days of post-exposure on the parameters that were studied, and the differences between means were separated using Duncan’s multiple range test. Test for significance was considered at a 0.05 probability level.</w:t>
      </w:r>
    </w:p>
    <w:p w14:paraId="399D1C65" w14:textId="77777777" w:rsidR="008A056F" w:rsidRDefault="008A056F" w:rsidP="008A056F">
      <w:pPr>
        <w:spacing w:line="259" w:lineRule="auto"/>
        <w:jc w:val="both"/>
        <w:rPr>
          <w:rFonts w:ascii="Garamond" w:hAnsi="Garamond"/>
          <w:b/>
          <w:bCs/>
          <w:iCs/>
          <w:sz w:val="22"/>
          <w:szCs w:val="22"/>
        </w:rPr>
      </w:pPr>
    </w:p>
    <w:p w14:paraId="2A5B5988" w14:textId="07C51C7D" w:rsidR="008A056F" w:rsidRPr="008A056F" w:rsidRDefault="0067535C" w:rsidP="008A056F">
      <w:pPr>
        <w:spacing w:line="259" w:lineRule="auto"/>
        <w:jc w:val="both"/>
        <w:rPr>
          <w:rFonts w:ascii="Garamond" w:hAnsi="Garamond"/>
          <w:bCs/>
          <w:iCs/>
          <w:sz w:val="22"/>
          <w:szCs w:val="22"/>
        </w:rPr>
      </w:pPr>
      <w:r w:rsidRPr="008A056F">
        <w:rPr>
          <w:rFonts w:ascii="Garamond" w:hAnsi="Garamond"/>
          <w:b/>
          <w:bCs/>
          <w:iCs/>
          <w:sz w:val="22"/>
          <w:szCs w:val="22"/>
        </w:rPr>
        <w:t>RESULTS</w:t>
      </w:r>
    </w:p>
    <w:p w14:paraId="0D86895B" w14:textId="77777777" w:rsidR="008A056F" w:rsidRPr="005F0E8C" w:rsidRDefault="008A056F" w:rsidP="008A056F">
      <w:pPr>
        <w:spacing w:line="259" w:lineRule="auto"/>
        <w:jc w:val="both"/>
        <w:rPr>
          <w:rFonts w:ascii="Garamond" w:hAnsi="Garamond"/>
          <w:b/>
          <w:bCs/>
          <w:i/>
          <w:sz w:val="20"/>
          <w:szCs w:val="20"/>
        </w:rPr>
      </w:pPr>
      <w:r w:rsidRPr="005F0E8C">
        <w:rPr>
          <w:rFonts w:ascii="Garamond" w:hAnsi="Garamond"/>
          <w:b/>
          <w:bCs/>
          <w:i/>
          <w:sz w:val="20"/>
          <w:szCs w:val="20"/>
        </w:rPr>
        <w:t>Oxidative Stress Parameters</w:t>
      </w:r>
    </w:p>
    <w:p w14:paraId="05AD4367" w14:textId="4AE39131" w:rsidR="008A056F" w:rsidRPr="008A056F" w:rsidRDefault="008A056F" w:rsidP="008A056F">
      <w:pPr>
        <w:spacing w:line="259" w:lineRule="auto"/>
        <w:jc w:val="both"/>
        <w:rPr>
          <w:rFonts w:ascii="Garamond" w:hAnsi="Garamond"/>
          <w:bCs/>
          <w:iCs/>
          <w:sz w:val="20"/>
          <w:szCs w:val="20"/>
        </w:rPr>
      </w:pPr>
      <w:r w:rsidRPr="005F0E8C">
        <w:rPr>
          <w:rFonts w:ascii="Garamond" w:hAnsi="Garamond"/>
          <w:i/>
          <w:sz w:val="20"/>
          <w:szCs w:val="20"/>
        </w:rPr>
        <w:t>Hydrogen peroxide scavenging activity of male Wistar albino rats exposed to petroleum products</w:t>
      </w:r>
      <w:r w:rsidR="0067535C" w:rsidRPr="005F0E8C">
        <w:rPr>
          <w:rFonts w:ascii="Garamond" w:hAnsi="Garamond"/>
          <w:i/>
          <w:sz w:val="20"/>
          <w:szCs w:val="20"/>
        </w:rPr>
        <w:t>:</w:t>
      </w:r>
      <w:r w:rsidR="0067535C">
        <w:rPr>
          <w:rFonts w:ascii="Garamond" w:hAnsi="Garamond"/>
          <w:b/>
          <w:bCs/>
          <w:i/>
          <w:sz w:val="20"/>
          <w:szCs w:val="20"/>
        </w:rPr>
        <w:t xml:space="preserve"> </w:t>
      </w:r>
      <w:r w:rsidRPr="008A056F">
        <w:rPr>
          <w:rFonts w:ascii="Garamond" w:hAnsi="Garamond"/>
          <w:bCs/>
          <w:iCs/>
          <w:sz w:val="20"/>
          <w:szCs w:val="20"/>
        </w:rPr>
        <w:t>The effect of petroleum product inhalation on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scavenging activity in male Wistar albino rats was presented. The baseline result (Day 0) showed no significant difference (p&gt;0.05) between the test group and the control. There was also no difference in the mean value of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(mg/L) among the test groups. The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scavenging activity on the 14</w:t>
      </w:r>
      <w:r w:rsidRPr="008A056F">
        <w:rPr>
          <w:rFonts w:ascii="Garamond" w:hAnsi="Garamond"/>
          <w:bCs/>
          <w:iCs/>
          <w:sz w:val="20"/>
          <w:szCs w:val="20"/>
          <w:vertAlign w:val="superscript"/>
        </w:rPr>
        <w:t>th</w:t>
      </w:r>
      <w:r w:rsidRPr="008A056F">
        <w:rPr>
          <w:rFonts w:ascii="Garamond" w:hAnsi="Garamond"/>
          <w:bCs/>
          <w:iCs/>
          <w:sz w:val="20"/>
          <w:szCs w:val="20"/>
        </w:rPr>
        <w:t xml:space="preserve"> day post-exposure was significantly lower between the test groups (28.46 ± 1.47, 25.36 ± 0.82, 29.06 ± 1.29, </w:t>
      </w:r>
      <w:r w:rsidRPr="008A056F">
        <w:rPr>
          <w:rFonts w:ascii="Garamond" w:hAnsi="Garamond"/>
          <w:bCs/>
          <w:iCs/>
          <w:sz w:val="20"/>
          <w:szCs w:val="20"/>
        </w:rPr>
        <w:t xml:space="preserve">and 29.44 ± 1.97 mg/L) when compared with the control (31.16 ± 1.63 mg/L). There was a significant difference </w:t>
      </w:r>
      <w:bookmarkStart w:id="9" w:name="_Hlk204684045"/>
      <w:r w:rsidRPr="008A056F">
        <w:rPr>
          <w:rFonts w:ascii="Garamond" w:hAnsi="Garamond"/>
          <w:bCs/>
          <w:iCs/>
          <w:sz w:val="20"/>
          <w:szCs w:val="20"/>
        </w:rPr>
        <w:t>(p</w:t>
      </w:r>
      <w:bookmarkEnd w:id="9"/>
      <w:r w:rsidRPr="008A056F">
        <w:rPr>
          <w:rFonts w:ascii="Garamond" w:hAnsi="Garamond"/>
          <w:bCs/>
          <w:iCs/>
          <w:sz w:val="20"/>
          <w:szCs w:val="20"/>
        </w:rPr>
        <w:t xml:space="preserve"> &lt; 0.05) between groups B and C. The mean value of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 xml:space="preserve">2 </w:t>
      </w:r>
      <w:r w:rsidRPr="008A056F">
        <w:rPr>
          <w:rFonts w:ascii="Garamond" w:hAnsi="Garamond"/>
          <w:bCs/>
          <w:iCs/>
          <w:sz w:val="20"/>
          <w:szCs w:val="20"/>
        </w:rPr>
        <w:t>was found to be significantly lower in the kerosene group compared to the other test groups. On day 28 of exposure,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scavenging activity maintained the same trend as on day 14, when compared with the control. Moreso, there were significant differences (p&lt;0.05) among all test groups. All the petroleum products exhibited increased H</w:t>
      </w:r>
      <w:r w:rsidRPr="008A056F">
        <w:rPr>
          <w:rFonts w:ascii="Garamond" w:hAnsi="Garamond"/>
          <w:bCs/>
          <w:iCs/>
          <w:sz w:val="20"/>
          <w:szCs w:val="20"/>
          <w:vertAlign w:val="subscript"/>
        </w:rPr>
        <w:t>2</w:t>
      </w:r>
      <w:r w:rsidRPr="008A056F">
        <w:rPr>
          <w:rFonts w:ascii="Garamond" w:hAnsi="Garamond"/>
          <w:bCs/>
          <w:iCs/>
          <w:sz w:val="20"/>
          <w:szCs w:val="20"/>
        </w:rPr>
        <w:t>O</w:t>
      </w:r>
      <w:r w:rsidRPr="008A056F">
        <w:rPr>
          <w:rFonts w:ascii="Garamond" w:hAnsi="Garamond"/>
          <w:bCs/>
          <w:iCs/>
          <w:sz w:val="20"/>
          <w:szCs w:val="20"/>
          <w:vertAlign w:val="subscript"/>
        </w:rPr>
        <w:t>2</w:t>
      </w:r>
      <w:r w:rsidRPr="008A056F">
        <w:rPr>
          <w:rFonts w:ascii="Garamond" w:hAnsi="Garamond"/>
          <w:bCs/>
          <w:iCs/>
          <w:sz w:val="20"/>
          <w:szCs w:val="20"/>
        </w:rPr>
        <w:t xml:space="preserve"> scavenging activity on day 28, except in group E, which showed a further significant decrease (p &lt; 0.05). On days of exposure, there was no significant difference (p&gt;0.05) for the control, PMS, and diesel, except for day 28 of diesel, which showed a significant difference (p&lt;0.05). However, kerosene and mixed petroleum products presented a significant difference (p&lt;0.05) across exposure days (Table 1).</w:t>
      </w:r>
    </w:p>
    <w:p w14:paraId="5B4C694E" w14:textId="0B0B20EC" w:rsidR="005F0E8C" w:rsidRDefault="005F0E8C" w:rsidP="005F0E8C">
      <w:pPr>
        <w:spacing w:line="259" w:lineRule="auto"/>
        <w:jc w:val="both"/>
        <w:rPr>
          <w:rFonts w:ascii="Garamond" w:hAnsi="Garamond"/>
          <w:bCs/>
          <w:iCs/>
          <w:sz w:val="20"/>
          <w:szCs w:val="20"/>
        </w:rPr>
      </w:pPr>
      <w:r w:rsidRPr="005F0E8C">
        <w:rPr>
          <w:rFonts w:ascii="Garamond" w:hAnsi="Garamond"/>
          <w:i/>
          <w:sz w:val="20"/>
          <w:szCs w:val="20"/>
        </w:rPr>
        <w:t>Nitric oxide (NO) activity of male Wistar albino rats exposed to petroleum products</w:t>
      </w:r>
      <w:r>
        <w:rPr>
          <w:rFonts w:ascii="Garamond" w:hAnsi="Garamond"/>
          <w:i/>
          <w:sz w:val="20"/>
          <w:szCs w:val="20"/>
        </w:rPr>
        <w:t xml:space="preserve">: </w:t>
      </w:r>
      <w:r w:rsidRPr="00883BE5">
        <w:rPr>
          <w:rFonts w:ascii="Garamond" w:hAnsi="Garamond"/>
          <w:bCs/>
          <w:iCs/>
          <w:sz w:val="20"/>
          <w:szCs w:val="20"/>
        </w:rPr>
        <w:t>The effect of petroleum product inhalation on nitric oxide activity in male Wistar albino rats was presented. The baseline result (Day 0) showed no significant difference (p&gt;0.05) between the test group and the control. There was also no significant difference (p&gt;0.05) in the mean value of nitric oxide activity (µ/mg) among the test groups. Nitric oxide activity significantly increased on the 14</w:t>
      </w:r>
      <w:r w:rsidRPr="00883BE5">
        <w:rPr>
          <w:rFonts w:ascii="Garamond" w:hAnsi="Garamond"/>
          <w:bCs/>
          <w:iCs/>
          <w:sz w:val="20"/>
          <w:szCs w:val="20"/>
          <w:vertAlign w:val="superscript"/>
        </w:rPr>
        <w:t>th</w:t>
      </w:r>
      <w:r w:rsidRPr="00883BE5">
        <w:rPr>
          <w:rFonts w:ascii="Garamond" w:hAnsi="Garamond"/>
          <w:bCs/>
          <w:iCs/>
          <w:sz w:val="20"/>
          <w:szCs w:val="20"/>
        </w:rPr>
        <w:t xml:space="preserve"> day post-exposure between the test groups (4.73 ± 0.38, 5.22 ± 0.44, and 4.98 ± 0.06 µ/mg) except for group E, which was significantly lower (4.09 ± 0.16 µ/mg) when compared with the control (4.15 ± 0.59 µ/mg) (p&lt;0.05). There was no significant difference between A and E, and no significant difference (p&gt;0.05) between groups B, C, and D. The nitric oxide activity was found to be significantly higher in rats exposed to kerosene when compared to other test groups. On the 28</w:t>
      </w:r>
      <w:r w:rsidRPr="00883BE5">
        <w:rPr>
          <w:rFonts w:ascii="Garamond" w:hAnsi="Garamond"/>
          <w:bCs/>
          <w:iCs/>
          <w:sz w:val="20"/>
          <w:szCs w:val="20"/>
          <w:vertAlign w:val="superscript"/>
        </w:rPr>
        <w:t>th</w:t>
      </w:r>
      <w:r w:rsidRPr="00883BE5">
        <w:rPr>
          <w:rFonts w:ascii="Garamond" w:hAnsi="Garamond"/>
          <w:bCs/>
          <w:iCs/>
          <w:sz w:val="20"/>
          <w:szCs w:val="20"/>
        </w:rPr>
        <w:t xml:space="preserve"> day of exposure, nitric oxide activity maintained the same trend as on day 14, when compared with the control. However, there were no significant differences (p &gt; 0.05) in mixed petroleum product exposure when compared to the control. There was no significant difference (p&gt;0.05) across the days of exposure for the control, kerosene, PMS, diesel, and mixed petroleum products except for day 14 of diesel, PMS, and day 0 of mixed petroleum products, which were significantly different (p&lt;0.05) (Table 2). </w:t>
      </w:r>
    </w:p>
    <w:p w14:paraId="73905A3E" w14:textId="77777777" w:rsidR="00057CF5" w:rsidRDefault="00057CF5" w:rsidP="007A1526">
      <w:pPr>
        <w:spacing w:line="259" w:lineRule="auto"/>
        <w:jc w:val="both"/>
        <w:rPr>
          <w:rFonts w:ascii="Garamond" w:hAnsi="Garamond"/>
          <w:bCs/>
          <w:iCs/>
          <w:sz w:val="20"/>
          <w:szCs w:val="20"/>
        </w:rPr>
      </w:pPr>
    </w:p>
    <w:p w14:paraId="26BED87A" w14:textId="77777777" w:rsidR="008A056F" w:rsidRDefault="008A056F" w:rsidP="007A1526">
      <w:pPr>
        <w:spacing w:line="259" w:lineRule="auto"/>
        <w:jc w:val="both"/>
        <w:rPr>
          <w:rFonts w:ascii="Garamond" w:hAnsi="Garamond"/>
          <w:bCs/>
          <w:iCs/>
          <w:sz w:val="20"/>
          <w:szCs w:val="20"/>
        </w:rPr>
      </w:pPr>
    </w:p>
    <w:p w14:paraId="14A1996F" w14:textId="77777777" w:rsidR="00883BE5" w:rsidRDefault="00883BE5" w:rsidP="007A1526">
      <w:pPr>
        <w:spacing w:line="259" w:lineRule="auto"/>
        <w:jc w:val="both"/>
        <w:rPr>
          <w:rFonts w:ascii="Garamond" w:hAnsi="Garamond"/>
          <w:bCs/>
          <w:iCs/>
          <w:sz w:val="20"/>
          <w:szCs w:val="20"/>
        </w:rPr>
      </w:pPr>
    </w:p>
    <w:p w14:paraId="2BFB2F53" w14:textId="77777777" w:rsidR="00883BE5" w:rsidRDefault="00883BE5" w:rsidP="007A1526">
      <w:pPr>
        <w:spacing w:line="259" w:lineRule="auto"/>
        <w:jc w:val="both"/>
        <w:rPr>
          <w:rFonts w:ascii="Garamond" w:hAnsi="Garamond"/>
          <w:bCs/>
          <w:iCs/>
          <w:sz w:val="20"/>
          <w:szCs w:val="20"/>
        </w:rPr>
        <w:sectPr w:rsidR="00883BE5" w:rsidSect="003D02D5">
          <w:type w:val="continuous"/>
          <w:pgSz w:w="12240" w:h="15840"/>
          <w:pgMar w:top="1440" w:right="1440" w:bottom="1440" w:left="1440" w:header="720" w:footer="720" w:gutter="0"/>
          <w:cols w:num="2" w:space="720"/>
          <w:titlePg/>
          <w:docGrid w:linePitch="360"/>
        </w:sectPr>
      </w:pPr>
    </w:p>
    <w:p w14:paraId="08A13841" w14:textId="77777777" w:rsidR="00883BE5" w:rsidRPr="00883BE5" w:rsidRDefault="00883BE5" w:rsidP="00883BE5">
      <w:pPr>
        <w:spacing w:line="259" w:lineRule="auto"/>
        <w:jc w:val="both"/>
        <w:rPr>
          <w:rFonts w:ascii="Garamond" w:hAnsi="Garamond"/>
          <w:iCs/>
          <w:sz w:val="20"/>
          <w:szCs w:val="20"/>
        </w:rPr>
      </w:pPr>
      <w:r w:rsidRPr="00883BE5">
        <w:rPr>
          <w:rFonts w:ascii="Garamond" w:hAnsi="Garamond"/>
          <w:b/>
          <w:bCs/>
          <w:iCs/>
          <w:sz w:val="20"/>
          <w:szCs w:val="20"/>
        </w:rPr>
        <w:lastRenderedPageBreak/>
        <w:t xml:space="preserve">Table 1: </w:t>
      </w:r>
      <w:r w:rsidRPr="00883BE5">
        <w:rPr>
          <w:rFonts w:ascii="Garamond" w:hAnsi="Garamond"/>
          <w:iCs/>
          <w:sz w:val="20"/>
          <w:szCs w:val="20"/>
        </w:rPr>
        <w:t>Effect of petroleum product inhalation on hydrogen peroxide (mg/L) scavenging activity of male Wistar albino rats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2"/>
        <w:gridCol w:w="2040"/>
        <w:gridCol w:w="1889"/>
        <w:gridCol w:w="1889"/>
      </w:tblGrid>
      <w:tr w:rsidR="00883BE5" w:rsidRPr="00883BE5" w14:paraId="0C4882F7" w14:textId="77777777" w:rsidTr="00026204">
        <w:tc>
          <w:tcPr>
            <w:tcW w:w="1892" w:type="pct"/>
            <w:tcBorders>
              <w:bottom w:val="single" w:sz="4" w:space="0" w:color="auto"/>
            </w:tcBorders>
          </w:tcPr>
          <w:p w14:paraId="2BF7CEDC"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GROUPS</w:t>
            </w:r>
          </w:p>
        </w:tc>
        <w:tc>
          <w:tcPr>
            <w:tcW w:w="1090" w:type="pct"/>
            <w:tcBorders>
              <w:bottom w:val="single" w:sz="4" w:space="0" w:color="auto"/>
            </w:tcBorders>
          </w:tcPr>
          <w:p w14:paraId="5CC79F11"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DAY 0</w:t>
            </w:r>
          </w:p>
        </w:tc>
        <w:tc>
          <w:tcPr>
            <w:tcW w:w="1009" w:type="pct"/>
            <w:tcBorders>
              <w:bottom w:val="single" w:sz="4" w:space="0" w:color="auto"/>
            </w:tcBorders>
          </w:tcPr>
          <w:p w14:paraId="712E448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DAY 14</w:t>
            </w:r>
          </w:p>
        </w:tc>
        <w:tc>
          <w:tcPr>
            <w:tcW w:w="1009" w:type="pct"/>
            <w:tcBorders>
              <w:bottom w:val="single" w:sz="4" w:space="0" w:color="auto"/>
            </w:tcBorders>
          </w:tcPr>
          <w:p w14:paraId="170740AA"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DAY 28</w:t>
            </w:r>
          </w:p>
        </w:tc>
      </w:tr>
      <w:tr w:rsidR="00883BE5" w:rsidRPr="00883BE5" w14:paraId="6B40F06B" w14:textId="77777777" w:rsidTr="00026204">
        <w:tc>
          <w:tcPr>
            <w:tcW w:w="1892" w:type="pct"/>
            <w:tcBorders>
              <w:top w:val="single" w:sz="4" w:space="0" w:color="auto"/>
              <w:bottom w:val="nil"/>
            </w:tcBorders>
          </w:tcPr>
          <w:p w14:paraId="54D502F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A (Control)</w:t>
            </w:r>
          </w:p>
        </w:tc>
        <w:tc>
          <w:tcPr>
            <w:tcW w:w="1090" w:type="pct"/>
            <w:tcBorders>
              <w:top w:val="single" w:sz="4" w:space="0" w:color="auto"/>
              <w:bottom w:val="nil"/>
            </w:tcBorders>
          </w:tcPr>
          <w:p w14:paraId="0ADF914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31.16 ± 1.63</w:t>
            </w:r>
            <w:r w:rsidRPr="00883BE5">
              <w:rPr>
                <w:rFonts w:ascii="Garamond" w:hAnsi="Garamond"/>
                <w:bCs/>
                <w:iCs/>
                <w:sz w:val="20"/>
                <w:szCs w:val="20"/>
                <w:vertAlign w:val="superscript"/>
              </w:rPr>
              <w:t>a1</w:t>
            </w:r>
          </w:p>
        </w:tc>
        <w:tc>
          <w:tcPr>
            <w:tcW w:w="1009" w:type="pct"/>
            <w:tcBorders>
              <w:top w:val="single" w:sz="4" w:space="0" w:color="auto"/>
              <w:bottom w:val="nil"/>
            </w:tcBorders>
          </w:tcPr>
          <w:p w14:paraId="3DD5189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31.04 ± 1.11</w:t>
            </w:r>
            <w:r w:rsidRPr="00883BE5">
              <w:rPr>
                <w:rFonts w:ascii="Garamond" w:hAnsi="Garamond"/>
                <w:bCs/>
                <w:iCs/>
                <w:sz w:val="20"/>
                <w:szCs w:val="20"/>
                <w:vertAlign w:val="superscript"/>
              </w:rPr>
              <w:t>c1</w:t>
            </w:r>
          </w:p>
        </w:tc>
        <w:tc>
          <w:tcPr>
            <w:tcW w:w="1009" w:type="pct"/>
            <w:tcBorders>
              <w:top w:val="single" w:sz="4" w:space="0" w:color="auto"/>
              <w:bottom w:val="nil"/>
            </w:tcBorders>
          </w:tcPr>
          <w:p w14:paraId="331C99B1" w14:textId="77777777" w:rsidR="00883BE5" w:rsidRPr="00883BE5" w:rsidRDefault="00883BE5" w:rsidP="00883BE5">
            <w:pPr>
              <w:spacing w:line="259" w:lineRule="auto"/>
              <w:jc w:val="both"/>
              <w:rPr>
                <w:rFonts w:ascii="Garamond" w:hAnsi="Garamond"/>
                <w:bCs/>
                <w:iCs/>
                <w:sz w:val="20"/>
                <w:szCs w:val="20"/>
              </w:rPr>
            </w:pPr>
            <w:bookmarkStart w:id="10" w:name="_Hlk184823120"/>
            <w:r w:rsidRPr="00883BE5">
              <w:rPr>
                <w:rFonts w:ascii="Garamond" w:hAnsi="Garamond"/>
                <w:bCs/>
                <w:iCs/>
                <w:sz w:val="20"/>
                <w:szCs w:val="20"/>
              </w:rPr>
              <w:t>31.04 ± 1.11</w:t>
            </w:r>
            <w:bookmarkEnd w:id="10"/>
            <w:r w:rsidRPr="00883BE5">
              <w:rPr>
                <w:rFonts w:ascii="Garamond" w:hAnsi="Garamond"/>
                <w:bCs/>
                <w:iCs/>
                <w:sz w:val="20"/>
                <w:szCs w:val="20"/>
                <w:vertAlign w:val="superscript"/>
              </w:rPr>
              <w:t>b1</w:t>
            </w:r>
          </w:p>
        </w:tc>
      </w:tr>
      <w:tr w:rsidR="00883BE5" w:rsidRPr="00883BE5" w14:paraId="5124F02C" w14:textId="77777777" w:rsidTr="00026204">
        <w:tc>
          <w:tcPr>
            <w:tcW w:w="1892" w:type="pct"/>
            <w:tcBorders>
              <w:top w:val="nil"/>
              <w:bottom w:val="nil"/>
            </w:tcBorders>
          </w:tcPr>
          <w:p w14:paraId="35541FE6"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B (PMS Exposure)</w:t>
            </w:r>
          </w:p>
        </w:tc>
        <w:tc>
          <w:tcPr>
            <w:tcW w:w="1090" w:type="pct"/>
            <w:tcBorders>
              <w:top w:val="nil"/>
              <w:bottom w:val="nil"/>
            </w:tcBorders>
          </w:tcPr>
          <w:p w14:paraId="77588B19"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32.98 ± 4.45</w:t>
            </w:r>
            <w:r w:rsidRPr="00883BE5">
              <w:rPr>
                <w:rFonts w:ascii="Garamond" w:hAnsi="Garamond"/>
                <w:bCs/>
                <w:iCs/>
                <w:sz w:val="20"/>
                <w:szCs w:val="20"/>
                <w:vertAlign w:val="superscript"/>
              </w:rPr>
              <w:t>a1</w:t>
            </w:r>
          </w:p>
        </w:tc>
        <w:tc>
          <w:tcPr>
            <w:tcW w:w="1009" w:type="pct"/>
            <w:tcBorders>
              <w:top w:val="nil"/>
              <w:bottom w:val="nil"/>
            </w:tcBorders>
          </w:tcPr>
          <w:p w14:paraId="1ADD486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28.46 ± 1.47</w:t>
            </w:r>
            <w:r w:rsidRPr="00883BE5">
              <w:rPr>
                <w:rFonts w:ascii="Garamond" w:hAnsi="Garamond"/>
                <w:bCs/>
                <w:iCs/>
                <w:sz w:val="20"/>
                <w:szCs w:val="20"/>
                <w:vertAlign w:val="superscript"/>
              </w:rPr>
              <w:t>b1</w:t>
            </w:r>
          </w:p>
        </w:tc>
        <w:tc>
          <w:tcPr>
            <w:tcW w:w="1009" w:type="pct"/>
            <w:tcBorders>
              <w:top w:val="nil"/>
              <w:bottom w:val="nil"/>
            </w:tcBorders>
          </w:tcPr>
          <w:p w14:paraId="362F56E2" w14:textId="77777777" w:rsidR="00883BE5" w:rsidRPr="00883BE5" w:rsidRDefault="00883BE5" w:rsidP="00883BE5">
            <w:pPr>
              <w:spacing w:line="259" w:lineRule="auto"/>
              <w:jc w:val="both"/>
              <w:rPr>
                <w:rFonts w:ascii="Garamond" w:hAnsi="Garamond"/>
                <w:bCs/>
                <w:iCs/>
                <w:sz w:val="20"/>
                <w:szCs w:val="20"/>
              </w:rPr>
            </w:pPr>
            <w:bookmarkStart w:id="11" w:name="_Hlk184822739"/>
            <w:r w:rsidRPr="00883BE5">
              <w:rPr>
                <w:rFonts w:ascii="Garamond" w:hAnsi="Garamond"/>
                <w:bCs/>
                <w:iCs/>
                <w:sz w:val="20"/>
                <w:szCs w:val="20"/>
              </w:rPr>
              <w:t>35.08 ± 1.24</w:t>
            </w:r>
            <w:bookmarkEnd w:id="11"/>
            <w:r w:rsidRPr="00883BE5">
              <w:rPr>
                <w:rFonts w:ascii="Garamond" w:hAnsi="Garamond"/>
                <w:bCs/>
                <w:iCs/>
                <w:sz w:val="20"/>
                <w:szCs w:val="20"/>
                <w:vertAlign w:val="superscript"/>
              </w:rPr>
              <w:t>c1</w:t>
            </w:r>
          </w:p>
        </w:tc>
      </w:tr>
      <w:tr w:rsidR="00883BE5" w:rsidRPr="00883BE5" w14:paraId="353C8153" w14:textId="77777777" w:rsidTr="00026204">
        <w:tc>
          <w:tcPr>
            <w:tcW w:w="1892" w:type="pct"/>
            <w:tcBorders>
              <w:top w:val="nil"/>
              <w:bottom w:val="nil"/>
            </w:tcBorders>
          </w:tcPr>
          <w:p w14:paraId="111E9A2F"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C (Kerosene Exposure)</w:t>
            </w:r>
          </w:p>
        </w:tc>
        <w:tc>
          <w:tcPr>
            <w:tcW w:w="1090" w:type="pct"/>
            <w:tcBorders>
              <w:top w:val="nil"/>
              <w:bottom w:val="nil"/>
            </w:tcBorders>
          </w:tcPr>
          <w:p w14:paraId="5E0DBA8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31.10 ± 2.57</w:t>
            </w:r>
            <w:r w:rsidRPr="00883BE5">
              <w:rPr>
                <w:rFonts w:ascii="Garamond" w:hAnsi="Garamond"/>
                <w:bCs/>
                <w:iCs/>
                <w:sz w:val="20"/>
                <w:szCs w:val="20"/>
                <w:vertAlign w:val="superscript"/>
              </w:rPr>
              <w:t>a2</w:t>
            </w:r>
          </w:p>
        </w:tc>
        <w:tc>
          <w:tcPr>
            <w:tcW w:w="1009" w:type="pct"/>
            <w:tcBorders>
              <w:top w:val="nil"/>
              <w:bottom w:val="nil"/>
            </w:tcBorders>
          </w:tcPr>
          <w:p w14:paraId="4FB931B2"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25.36 ± 0.82</w:t>
            </w:r>
            <w:r w:rsidRPr="00883BE5">
              <w:rPr>
                <w:rFonts w:ascii="Garamond" w:hAnsi="Garamond"/>
                <w:bCs/>
                <w:iCs/>
                <w:sz w:val="20"/>
                <w:szCs w:val="20"/>
                <w:vertAlign w:val="superscript"/>
              </w:rPr>
              <w:t>a1</w:t>
            </w:r>
          </w:p>
        </w:tc>
        <w:tc>
          <w:tcPr>
            <w:tcW w:w="1009" w:type="pct"/>
            <w:tcBorders>
              <w:top w:val="nil"/>
              <w:bottom w:val="nil"/>
            </w:tcBorders>
          </w:tcPr>
          <w:p w14:paraId="0EB4480B"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41.86 ± 2.39</w:t>
            </w:r>
            <w:r w:rsidRPr="00883BE5">
              <w:rPr>
                <w:rFonts w:ascii="Garamond" w:hAnsi="Garamond"/>
                <w:bCs/>
                <w:iCs/>
                <w:sz w:val="20"/>
                <w:szCs w:val="20"/>
                <w:vertAlign w:val="superscript"/>
              </w:rPr>
              <w:t>d3</w:t>
            </w:r>
          </w:p>
        </w:tc>
      </w:tr>
      <w:tr w:rsidR="00883BE5" w:rsidRPr="00883BE5" w14:paraId="2C2C921B" w14:textId="77777777" w:rsidTr="00026204">
        <w:tc>
          <w:tcPr>
            <w:tcW w:w="1892" w:type="pct"/>
            <w:tcBorders>
              <w:top w:val="nil"/>
              <w:bottom w:val="nil"/>
            </w:tcBorders>
          </w:tcPr>
          <w:p w14:paraId="6D3A10E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D (Diesel Exposure)</w:t>
            </w:r>
          </w:p>
        </w:tc>
        <w:tc>
          <w:tcPr>
            <w:tcW w:w="1090" w:type="pct"/>
            <w:tcBorders>
              <w:top w:val="nil"/>
              <w:bottom w:val="nil"/>
            </w:tcBorders>
          </w:tcPr>
          <w:p w14:paraId="67A6B618"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31.78 ± 1.70</w:t>
            </w:r>
            <w:r w:rsidRPr="00883BE5">
              <w:rPr>
                <w:rFonts w:ascii="Garamond" w:hAnsi="Garamond"/>
                <w:bCs/>
                <w:iCs/>
                <w:sz w:val="20"/>
                <w:szCs w:val="20"/>
                <w:vertAlign w:val="superscript"/>
              </w:rPr>
              <w:t>a1</w:t>
            </w:r>
          </w:p>
        </w:tc>
        <w:tc>
          <w:tcPr>
            <w:tcW w:w="1009" w:type="pct"/>
            <w:tcBorders>
              <w:top w:val="nil"/>
              <w:bottom w:val="nil"/>
            </w:tcBorders>
          </w:tcPr>
          <w:p w14:paraId="01A4AAA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29.06 ± 1.29</w:t>
            </w:r>
            <w:r w:rsidRPr="00883BE5">
              <w:rPr>
                <w:rFonts w:ascii="Garamond" w:hAnsi="Garamond"/>
                <w:bCs/>
                <w:iCs/>
                <w:sz w:val="20"/>
                <w:szCs w:val="20"/>
                <w:vertAlign w:val="superscript"/>
              </w:rPr>
              <w:t>b1</w:t>
            </w:r>
          </w:p>
        </w:tc>
        <w:tc>
          <w:tcPr>
            <w:tcW w:w="1009" w:type="pct"/>
            <w:tcBorders>
              <w:top w:val="nil"/>
              <w:bottom w:val="nil"/>
            </w:tcBorders>
          </w:tcPr>
          <w:p w14:paraId="2532E29E" w14:textId="77777777" w:rsidR="00883BE5" w:rsidRPr="00883BE5" w:rsidRDefault="00883BE5" w:rsidP="00883BE5">
            <w:pPr>
              <w:spacing w:line="259" w:lineRule="auto"/>
              <w:jc w:val="both"/>
              <w:rPr>
                <w:rFonts w:ascii="Garamond" w:hAnsi="Garamond"/>
                <w:bCs/>
                <w:iCs/>
                <w:sz w:val="20"/>
                <w:szCs w:val="20"/>
              </w:rPr>
            </w:pPr>
            <w:bookmarkStart w:id="12" w:name="_Hlk184822822"/>
            <w:r w:rsidRPr="00883BE5">
              <w:rPr>
                <w:rFonts w:ascii="Garamond" w:hAnsi="Garamond"/>
                <w:bCs/>
                <w:iCs/>
                <w:sz w:val="20"/>
                <w:szCs w:val="20"/>
              </w:rPr>
              <w:t>34.72 ± 0.90</w:t>
            </w:r>
            <w:bookmarkEnd w:id="12"/>
            <w:r w:rsidRPr="00883BE5">
              <w:rPr>
                <w:rFonts w:ascii="Garamond" w:hAnsi="Garamond"/>
                <w:bCs/>
                <w:iCs/>
                <w:sz w:val="20"/>
                <w:szCs w:val="20"/>
                <w:vertAlign w:val="superscript"/>
              </w:rPr>
              <w:t>c2</w:t>
            </w:r>
          </w:p>
        </w:tc>
      </w:tr>
      <w:tr w:rsidR="00883BE5" w:rsidRPr="00883BE5" w14:paraId="2D6F9377" w14:textId="77777777" w:rsidTr="00026204">
        <w:tc>
          <w:tcPr>
            <w:tcW w:w="1892" w:type="pct"/>
            <w:tcBorders>
              <w:top w:val="nil"/>
              <w:bottom w:val="single" w:sz="4" w:space="0" w:color="auto"/>
            </w:tcBorders>
          </w:tcPr>
          <w:p w14:paraId="44EDD875"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E (Mixed PP)</w:t>
            </w:r>
          </w:p>
        </w:tc>
        <w:tc>
          <w:tcPr>
            <w:tcW w:w="1090" w:type="pct"/>
            <w:tcBorders>
              <w:top w:val="nil"/>
              <w:bottom w:val="single" w:sz="4" w:space="0" w:color="auto"/>
            </w:tcBorders>
          </w:tcPr>
          <w:p w14:paraId="7395DD00"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33.10 ± 1.23</w:t>
            </w:r>
            <w:r w:rsidRPr="00883BE5">
              <w:rPr>
                <w:rFonts w:ascii="Garamond" w:hAnsi="Garamond"/>
                <w:bCs/>
                <w:iCs/>
                <w:sz w:val="20"/>
                <w:szCs w:val="20"/>
                <w:vertAlign w:val="superscript"/>
              </w:rPr>
              <w:t>a3</w:t>
            </w:r>
          </w:p>
        </w:tc>
        <w:tc>
          <w:tcPr>
            <w:tcW w:w="1009" w:type="pct"/>
            <w:tcBorders>
              <w:top w:val="nil"/>
              <w:bottom w:val="single" w:sz="4" w:space="0" w:color="auto"/>
            </w:tcBorders>
          </w:tcPr>
          <w:p w14:paraId="574C3F16"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29.44 ± 1.97</w:t>
            </w:r>
            <w:r w:rsidRPr="00883BE5">
              <w:rPr>
                <w:rFonts w:ascii="Garamond" w:hAnsi="Garamond"/>
                <w:bCs/>
                <w:iCs/>
                <w:sz w:val="20"/>
                <w:szCs w:val="20"/>
                <w:vertAlign w:val="superscript"/>
              </w:rPr>
              <w:t>b2</w:t>
            </w:r>
          </w:p>
        </w:tc>
        <w:tc>
          <w:tcPr>
            <w:tcW w:w="1009" w:type="pct"/>
            <w:tcBorders>
              <w:top w:val="nil"/>
              <w:bottom w:val="single" w:sz="4" w:space="0" w:color="auto"/>
            </w:tcBorders>
          </w:tcPr>
          <w:p w14:paraId="231D1306"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24.34 ± 1.19</w:t>
            </w:r>
            <w:r w:rsidRPr="00883BE5">
              <w:rPr>
                <w:rFonts w:ascii="Garamond" w:hAnsi="Garamond"/>
                <w:bCs/>
                <w:iCs/>
                <w:sz w:val="20"/>
                <w:szCs w:val="20"/>
                <w:vertAlign w:val="superscript"/>
              </w:rPr>
              <w:t>a1</w:t>
            </w:r>
          </w:p>
        </w:tc>
      </w:tr>
    </w:tbl>
    <w:p w14:paraId="08D00158" w14:textId="77777777" w:rsidR="008A056F" w:rsidRDefault="008A056F" w:rsidP="007A1526">
      <w:pPr>
        <w:spacing w:line="259" w:lineRule="auto"/>
        <w:jc w:val="both"/>
        <w:rPr>
          <w:rFonts w:ascii="Garamond" w:hAnsi="Garamond"/>
          <w:bCs/>
          <w:iCs/>
          <w:sz w:val="20"/>
          <w:szCs w:val="20"/>
        </w:rPr>
      </w:pPr>
    </w:p>
    <w:p w14:paraId="1ED4DB5A"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 xml:space="preserve">The values are expressed as (mean ± SEM) </w:t>
      </w:r>
    </w:p>
    <w:p w14:paraId="66EFDE57" w14:textId="77777777" w:rsidR="00883BE5" w:rsidRPr="00883BE5" w:rsidRDefault="00883BE5" w:rsidP="00883BE5">
      <w:pPr>
        <w:spacing w:line="259" w:lineRule="auto"/>
        <w:jc w:val="both"/>
        <w:rPr>
          <w:rFonts w:ascii="Garamond" w:hAnsi="Garamond"/>
          <w:bCs/>
          <w:i/>
          <w:iCs/>
          <w:sz w:val="20"/>
          <w:szCs w:val="20"/>
        </w:rPr>
      </w:pPr>
      <w:r w:rsidRPr="00883BE5">
        <w:rPr>
          <w:rFonts w:ascii="Garamond" w:hAnsi="Garamond"/>
          <w:bCs/>
          <w:i/>
          <w:iCs/>
          <w:sz w:val="20"/>
          <w:szCs w:val="20"/>
        </w:rPr>
        <w:t>Mean values with different letters of the alphabet down the column are significantly different (p&lt;0.05) while mean values with the same figures or number as superscript are not significantly different (p&gt;0.05).</w:t>
      </w:r>
    </w:p>
    <w:p w14:paraId="24A8F44D" w14:textId="77777777" w:rsidR="00883BE5" w:rsidRPr="00883BE5" w:rsidRDefault="00883BE5" w:rsidP="00883BE5">
      <w:pPr>
        <w:spacing w:line="259" w:lineRule="auto"/>
        <w:jc w:val="both"/>
        <w:rPr>
          <w:rFonts w:ascii="Garamond" w:hAnsi="Garamond"/>
          <w:bCs/>
          <w:iCs/>
          <w:sz w:val="20"/>
          <w:szCs w:val="20"/>
        </w:rPr>
      </w:pPr>
    </w:p>
    <w:p w14:paraId="00D80F20"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Table 2: Effect of petroleum product inhalation on Nitric Oxide (</w:t>
      </w:r>
      <w:bookmarkStart w:id="13" w:name="_Hlk184823217"/>
      <w:r w:rsidRPr="00883BE5">
        <w:rPr>
          <w:rFonts w:ascii="Garamond" w:hAnsi="Garamond"/>
          <w:b/>
          <w:bCs/>
          <w:iCs/>
          <w:sz w:val="20"/>
          <w:szCs w:val="20"/>
        </w:rPr>
        <w:t>µ/mg</w:t>
      </w:r>
      <w:bookmarkEnd w:id="13"/>
      <w:r w:rsidRPr="00883BE5">
        <w:rPr>
          <w:rFonts w:ascii="Garamond" w:hAnsi="Garamond"/>
          <w:b/>
          <w:bCs/>
          <w:iCs/>
          <w:sz w:val="20"/>
          <w:szCs w:val="20"/>
        </w:rPr>
        <w:t>) activity of male Wistar albino rats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843"/>
        <w:gridCol w:w="1855"/>
        <w:gridCol w:w="1855"/>
      </w:tblGrid>
      <w:tr w:rsidR="00883BE5" w:rsidRPr="00883BE5" w14:paraId="38632FFC" w14:textId="77777777" w:rsidTr="00883BE5">
        <w:trPr>
          <w:trHeight w:val="147"/>
        </w:trPr>
        <w:tc>
          <w:tcPr>
            <w:tcW w:w="2033" w:type="pct"/>
            <w:tcBorders>
              <w:top w:val="single" w:sz="4" w:space="0" w:color="auto"/>
              <w:bottom w:val="single" w:sz="4" w:space="0" w:color="auto"/>
            </w:tcBorders>
          </w:tcPr>
          <w:p w14:paraId="7BC8F9D1" w14:textId="77777777" w:rsidR="00883BE5" w:rsidRPr="00883BE5" w:rsidRDefault="00883BE5" w:rsidP="00883BE5">
            <w:pPr>
              <w:jc w:val="both"/>
              <w:rPr>
                <w:rFonts w:ascii="Garamond" w:hAnsi="Garamond"/>
                <w:b/>
                <w:bCs/>
                <w:iCs/>
                <w:sz w:val="20"/>
                <w:szCs w:val="20"/>
              </w:rPr>
            </w:pPr>
            <w:r w:rsidRPr="00883BE5">
              <w:rPr>
                <w:rFonts w:ascii="Garamond" w:hAnsi="Garamond"/>
                <w:b/>
                <w:bCs/>
                <w:iCs/>
                <w:sz w:val="20"/>
                <w:szCs w:val="20"/>
              </w:rPr>
              <w:t>GROUPS</w:t>
            </w:r>
          </w:p>
        </w:tc>
        <w:tc>
          <w:tcPr>
            <w:tcW w:w="984" w:type="pct"/>
            <w:tcBorders>
              <w:top w:val="single" w:sz="4" w:space="0" w:color="auto"/>
              <w:bottom w:val="single" w:sz="4" w:space="0" w:color="auto"/>
            </w:tcBorders>
          </w:tcPr>
          <w:p w14:paraId="6824B3CC" w14:textId="77777777" w:rsidR="00883BE5" w:rsidRPr="00883BE5" w:rsidRDefault="00883BE5" w:rsidP="00883BE5">
            <w:pPr>
              <w:jc w:val="both"/>
              <w:rPr>
                <w:rFonts w:ascii="Garamond" w:hAnsi="Garamond"/>
                <w:b/>
                <w:bCs/>
                <w:iCs/>
                <w:sz w:val="20"/>
                <w:szCs w:val="20"/>
              </w:rPr>
            </w:pPr>
            <w:r w:rsidRPr="00883BE5">
              <w:rPr>
                <w:rFonts w:ascii="Garamond" w:hAnsi="Garamond"/>
                <w:b/>
                <w:bCs/>
                <w:iCs/>
                <w:sz w:val="20"/>
                <w:szCs w:val="20"/>
              </w:rPr>
              <w:t>DAY 0</w:t>
            </w:r>
          </w:p>
        </w:tc>
        <w:tc>
          <w:tcPr>
            <w:tcW w:w="991" w:type="pct"/>
            <w:tcBorders>
              <w:top w:val="single" w:sz="4" w:space="0" w:color="auto"/>
              <w:bottom w:val="single" w:sz="4" w:space="0" w:color="auto"/>
            </w:tcBorders>
          </w:tcPr>
          <w:p w14:paraId="63127BA3" w14:textId="77777777" w:rsidR="00883BE5" w:rsidRPr="00883BE5" w:rsidRDefault="00883BE5" w:rsidP="00883BE5">
            <w:pPr>
              <w:jc w:val="both"/>
              <w:rPr>
                <w:rFonts w:ascii="Garamond" w:hAnsi="Garamond"/>
                <w:b/>
                <w:bCs/>
                <w:iCs/>
                <w:sz w:val="20"/>
                <w:szCs w:val="20"/>
              </w:rPr>
            </w:pPr>
            <w:r w:rsidRPr="00883BE5">
              <w:rPr>
                <w:rFonts w:ascii="Garamond" w:hAnsi="Garamond"/>
                <w:b/>
                <w:bCs/>
                <w:iCs/>
                <w:sz w:val="20"/>
                <w:szCs w:val="20"/>
              </w:rPr>
              <w:t>DAY 14</w:t>
            </w:r>
          </w:p>
        </w:tc>
        <w:tc>
          <w:tcPr>
            <w:tcW w:w="991" w:type="pct"/>
            <w:tcBorders>
              <w:top w:val="single" w:sz="4" w:space="0" w:color="auto"/>
              <w:bottom w:val="single" w:sz="4" w:space="0" w:color="auto"/>
            </w:tcBorders>
          </w:tcPr>
          <w:p w14:paraId="571E16F2" w14:textId="77777777" w:rsidR="00883BE5" w:rsidRPr="00883BE5" w:rsidRDefault="00883BE5" w:rsidP="00883BE5">
            <w:pPr>
              <w:jc w:val="both"/>
              <w:rPr>
                <w:rFonts w:ascii="Garamond" w:hAnsi="Garamond"/>
                <w:b/>
                <w:bCs/>
                <w:iCs/>
                <w:sz w:val="20"/>
                <w:szCs w:val="20"/>
              </w:rPr>
            </w:pPr>
            <w:r w:rsidRPr="00883BE5">
              <w:rPr>
                <w:rFonts w:ascii="Garamond" w:hAnsi="Garamond"/>
                <w:b/>
                <w:bCs/>
                <w:iCs/>
                <w:sz w:val="20"/>
                <w:szCs w:val="20"/>
              </w:rPr>
              <w:t>DAY 28</w:t>
            </w:r>
          </w:p>
        </w:tc>
      </w:tr>
      <w:tr w:rsidR="00883BE5" w:rsidRPr="00883BE5" w14:paraId="1386F36C" w14:textId="77777777" w:rsidTr="00883BE5">
        <w:trPr>
          <w:trHeight w:val="193"/>
        </w:trPr>
        <w:tc>
          <w:tcPr>
            <w:tcW w:w="2033" w:type="pct"/>
            <w:tcBorders>
              <w:top w:val="single" w:sz="4" w:space="0" w:color="auto"/>
            </w:tcBorders>
          </w:tcPr>
          <w:p w14:paraId="5034A9DE"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A (Control)</w:t>
            </w:r>
          </w:p>
        </w:tc>
        <w:tc>
          <w:tcPr>
            <w:tcW w:w="984" w:type="pct"/>
            <w:tcBorders>
              <w:top w:val="single" w:sz="4" w:space="0" w:color="auto"/>
            </w:tcBorders>
          </w:tcPr>
          <w:p w14:paraId="0F6582E4"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5.13 ± 0.39</w:t>
            </w:r>
            <w:r w:rsidRPr="00883BE5">
              <w:rPr>
                <w:rFonts w:ascii="Garamond" w:hAnsi="Garamond"/>
                <w:bCs/>
                <w:iCs/>
                <w:sz w:val="20"/>
                <w:szCs w:val="20"/>
                <w:vertAlign w:val="superscript"/>
              </w:rPr>
              <w:t>a1</w:t>
            </w:r>
          </w:p>
        </w:tc>
        <w:tc>
          <w:tcPr>
            <w:tcW w:w="991" w:type="pct"/>
            <w:tcBorders>
              <w:top w:val="single" w:sz="4" w:space="0" w:color="auto"/>
            </w:tcBorders>
          </w:tcPr>
          <w:p w14:paraId="445B251E"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4.15 ± 0.59</w:t>
            </w:r>
            <w:r w:rsidRPr="00883BE5">
              <w:rPr>
                <w:rFonts w:ascii="Garamond" w:hAnsi="Garamond"/>
                <w:bCs/>
                <w:iCs/>
                <w:sz w:val="20"/>
                <w:szCs w:val="20"/>
                <w:vertAlign w:val="superscript"/>
              </w:rPr>
              <w:t>a1</w:t>
            </w:r>
          </w:p>
        </w:tc>
        <w:tc>
          <w:tcPr>
            <w:tcW w:w="991" w:type="pct"/>
            <w:tcBorders>
              <w:top w:val="single" w:sz="4" w:space="0" w:color="auto"/>
            </w:tcBorders>
          </w:tcPr>
          <w:p w14:paraId="77ABC3E4" w14:textId="77777777" w:rsidR="00883BE5" w:rsidRPr="00883BE5" w:rsidRDefault="00883BE5" w:rsidP="00883BE5">
            <w:pPr>
              <w:jc w:val="both"/>
              <w:rPr>
                <w:rFonts w:ascii="Garamond" w:hAnsi="Garamond"/>
                <w:bCs/>
                <w:iCs/>
                <w:sz w:val="20"/>
                <w:szCs w:val="20"/>
              </w:rPr>
            </w:pPr>
            <w:bookmarkStart w:id="14" w:name="_Hlk184823165"/>
            <w:r w:rsidRPr="00883BE5">
              <w:rPr>
                <w:rFonts w:ascii="Garamond" w:hAnsi="Garamond"/>
                <w:bCs/>
                <w:iCs/>
                <w:sz w:val="20"/>
                <w:szCs w:val="20"/>
              </w:rPr>
              <w:t>4.15 ± 0.59</w:t>
            </w:r>
            <w:bookmarkEnd w:id="14"/>
            <w:r w:rsidRPr="00883BE5">
              <w:rPr>
                <w:rFonts w:ascii="Garamond" w:hAnsi="Garamond"/>
                <w:bCs/>
                <w:iCs/>
                <w:sz w:val="20"/>
                <w:szCs w:val="20"/>
                <w:vertAlign w:val="superscript"/>
              </w:rPr>
              <w:t>a1</w:t>
            </w:r>
          </w:p>
        </w:tc>
      </w:tr>
      <w:tr w:rsidR="00883BE5" w:rsidRPr="00883BE5" w14:paraId="5A61BFA7" w14:textId="77777777" w:rsidTr="00883BE5">
        <w:trPr>
          <w:trHeight w:val="249"/>
        </w:trPr>
        <w:tc>
          <w:tcPr>
            <w:tcW w:w="2033" w:type="pct"/>
          </w:tcPr>
          <w:p w14:paraId="3B3537CC"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B (PMS Exposure)</w:t>
            </w:r>
          </w:p>
        </w:tc>
        <w:tc>
          <w:tcPr>
            <w:tcW w:w="984" w:type="pct"/>
          </w:tcPr>
          <w:p w14:paraId="03AA647B"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7.07 ± 1.04</w:t>
            </w:r>
            <w:r w:rsidRPr="00883BE5">
              <w:rPr>
                <w:rFonts w:ascii="Garamond" w:hAnsi="Garamond"/>
                <w:bCs/>
                <w:iCs/>
                <w:sz w:val="20"/>
                <w:szCs w:val="20"/>
                <w:vertAlign w:val="superscript"/>
              </w:rPr>
              <w:t>a2</w:t>
            </w:r>
          </w:p>
        </w:tc>
        <w:tc>
          <w:tcPr>
            <w:tcW w:w="991" w:type="pct"/>
          </w:tcPr>
          <w:p w14:paraId="3ADD6E38"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4.73 ± 0.38</w:t>
            </w:r>
            <w:r w:rsidRPr="00883BE5">
              <w:rPr>
                <w:rFonts w:ascii="Garamond" w:hAnsi="Garamond"/>
                <w:bCs/>
                <w:iCs/>
                <w:sz w:val="20"/>
                <w:szCs w:val="20"/>
                <w:vertAlign w:val="superscript"/>
              </w:rPr>
              <w:t>b1</w:t>
            </w:r>
          </w:p>
        </w:tc>
        <w:tc>
          <w:tcPr>
            <w:tcW w:w="991" w:type="pct"/>
          </w:tcPr>
          <w:p w14:paraId="5BDA2246"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6.11 ± 0.31</w:t>
            </w:r>
            <w:r w:rsidRPr="00883BE5">
              <w:rPr>
                <w:rFonts w:ascii="Garamond" w:hAnsi="Garamond"/>
                <w:bCs/>
                <w:iCs/>
                <w:sz w:val="20"/>
                <w:szCs w:val="20"/>
                <w:vertAlign w:val="superscript"/>
              </w:rPr>
              <w:t>b2</w:t>
            </w:r>
          </w:p>
        </w:tc>
      </w:tr>
      <w:tr w:rsidR="00883BE5" w:rsidRPr="00883BE5" w14:paraId="04DA55D1" w14:textId="77777777" w:rsidTr="00883BE5">
        <w:trPr>
          <w:trHeight w:val="153"/>
        </w:trPr>
        <w:tc>
          <w:tcPr>
            <w:tcW w:w="2033" w:type="pct"/>
          </w:tcPr>
          <w:p w14:paraId="73025CE8"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C (Kerosene Exposure)</w:t>
            </w:r>
          </w:p>
        </w:tc>
        <w:tc>
          <w:tcPr>
            <w:tcW w:w="984" w:type="pct"/>
          </w:tcPr>
          <w:p w14:paraId="3CB3180F"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6.07 ± 1.12</w:t>
            </w:r>
            <w:r w:rsidRPr="00883BE5">
              <w:rPr>
                <w:rFonts w:ascii="Garamond" w:hAnsi="Garamond"/>
                <w:bCs/>
                <w:iCs/>
                <w:sz w:val="20"/>
                <w:szCs w:val="20"/>
                <w:vertAlign w:val="superscript"/>
              </w:rPr>
              <w:t>a1</w:t>
            </w:r>
          </w:p>
        </w:tc>
        <w:tc>
          <w:tcPr>
            <w:tcW w:w="991" w:type="pct"/>
          </w:tcPr>
          <w:p w14:paraId="3DAEC0F4"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5.22 ± 0.44</w:t>
            </w:r>
            <w:r w:rsidRPr="00883BE5">
              <w:rPr>
                <w:rFonts w:ascii="Garamond" w:hAnsi="Garamond"/>
                <w:bCs/>
                <w:iCs/>
                <w:sz w:val="20"/>
                <w:szCs w:val="20"/>
                <w:vertAlign w:val="superscript"/>
              </w:rPr>
              <w:t>b1</w:t>
            </w:r>
          </w:p>
        </w:tc>
        <w:tc>
          <w:tcPr>
            <w:tcW w:w="991" w:type="pct"/>
          </w:tcPr>
          <w:p w14:paraId="742D31BF"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7.25 ± 1.02</w:t>
            </w:r>
            <w:r w:rsidRPr="00883BE5">
              <w:rPr>
                <w:rFonts w:ascii="Garamond" w:hAnsi="Garamond"/>
                <w:bCs/>
                <w:iCs/>
                <w:sz w:val="20"/>
                <w:szCs w:val="20"/>
                <w:vertAlign w:val="superscript"/>
              </w:rPr>
              <w:t>c1</w:t>
            </w:r>
          </w:p>
        </w:tc>
      </w:tr>
      <w:tr w:rsidR="00883BE5" w:rsidRPr="00883BE5" w14:paraId="7627A47A" w14:textId="77777777" w:rsidTr="00883BE5">
        <w:trPr>
          <w:trHeight w:val="213"/>
        </w:trPr>
        <w:tc>
          <w:tcPr>
            <w:tcW w:w="2033" w:type="pct"/>
          </w:tcPr>
          <w:p w14:paraId="471AD5EB"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D (Diesel Exposure)</w:t>
            </w:r>
          </w:p>
        </w:tc>
        <w:tc>
          <w:tcPr>
            <w:tcW w:w="984" w:type="pct"/>
          </w:tcPr>
          <w:p w14:paraId="6B8D6B8A"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6.25 ± 1.17</w:t>
            </w:r>
            <w:r w:rsidRPr="00883BE5">
              <w:rPr>
                <w:rFonts w:ascii="Garamond" w:hAnsi="Garamond"/>
                <w:bCs/>
                <w:iCs/>
                <w:sz w:val="20"/>
                <w:szCs w:val="20"/>
                <w:vertAlign w:val="superscript"/>
              </w:rPr>
              <w:t>a2</w:t>
            </w:r>
          </w:p>
        </w:tc>
        <w:tc>
          <w:tcPr>
            <w:tcW w:w="991" w:type="pct"/>
          </w:tcPr>
          <w:p w14:paraId="2B637ECD"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4.98 ± 0.06</w:t>
            </w:r>
            <w:r w:rsidRPr="00883BE5">
              <w:rPr>
                <w:rFonts w:ascii="Garamond" w:hAnsi="Garamond"/>
                <w:bCs/>
                <w:iCs/>
                <w:sz w:val="20"/>
                <w:szCs w:val="20"/>
                <w:vertAlign w:val="superscript"/>
              </w:rPr>
              <w:t>b1</w:t>
            </w:r>
          </w:p>
        </w:tc>
        <w:tc>
          <w:tcPr>
            <w:tcW w:w="991" w:type="pct"/>
          </w:tcPr>
          <w:p w14:paraId="23044715" w14:textId="77777777" w:rsidR="00883BE5" w:rsidRPr="00883BE5" w:rsidRDefault="00883BE5" w:rsidP="00883BE5">
            <w:pPr>
              <w:jc w:val="both"/>
              <w:rPr>
                <w:rFonts w:ascii="Garamond" w:hAnsi="Garamond"/>
                <w:bCs/>
                <w:iCs/>
                <w:sz w:val="20"/>
                <w:szCs w:val="20"/>
              </w:rPr>
            </w:pPr>
            <w:bookmarkStart w:id="15" w:name="_Hlk184822866"/>
            <w:r w:rsidRPr="00883BE5">
              <w:rPr>
                <w:rFonts w:ascii="Garamond" w:hAnsi="Garamond"/>
                <w:bCs/>
                <w:iCs/>
                <w:sz w:val="20"/>
                <w:szCs w:val="20"/>
              </w:rPr>
              <w:t>7.82 ± 0.38</w:t>
            </w:r>
            <w:bookmarkEnd w:id="15"/>
            <w:r w:rsidRPr="00883BE5">
              <w:rPr>
                <w:rFonts w:ascii="Garamond" w:hAnsi="Garamond"/>
                <w:bCs/>
                <w:iCs/>
                <w:sz w:val="20"/>
                <w:szCs w:val="20"/>
                <w:vertAlign w:val="superscript"/>
              </w:rPr>
              <w:t>c2</w:t>
            </w:r>
          </w:p>
        </w:tc>
      </w:tr>
      <w:tr w:rsidR="00883BE5" w:rsidRPr="00883BE5" w14:paraId="2F3E147A" w14:textId="77777777" w:rsidTr="00883BE5">
        <w:trPr>
          <w:trHeight w:val="273"/>
        </w:trPr>
        <w:tc>
          <w:tcPr>
            <w:tcW w:w="2033" w:type="pct"/>
          </w:tcPr>
          <w:p w14:paraId="69DDD0D5"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E (Mixed PP)</w:t>
            </w:r>
          </w:p>
        </w:tc>
        <w:tc>
          <w:tcPr>
            <w:tcW w:w="984" w:type="pct"/>
          </w:tcPr>
          <w:p w14:paraId="7DA16699"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6.49 ± 0.51</w:t>
            </w:r>
            <w:r w:rsidRPr="00883BE5">
              <w:rPr>
                <w:rFonts w:ascii="Garamond" w:hAnsi="Garamond"/>
                <w:bCs/>
                <w:iCs/>
                <w:sz w:val="20"/>
                <w:szCs w:val="20"/>
                <w:vertAlign w:val="superscript"/>
              </w:rPr>
              <w:t>a2</w:t>
            </w:r>
          </w:p>
        </w:tc>
        <w:tc>
          <w:tcPr>
            <w:tcW w:w="991" w:type="pct"/>
          </w:tcPr>
          <w:p w14:paraId="33E9F903"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4.09 ± 0.16</w:t>
            </w:r>
            <w:r w:rsidRPr="00883BE5">
              <w:rPr>
                <w:rFonts w:ascii="Garamond" w:hAnsi="Garamond"/>
                <w:bCs/>
                <w:iCs/>
                <w:sz w:val="20"/>
                <w:szCs w:val="20"/>
                <w:vertAlign w:val="superscript"/>
              </w:rPr>
              <w:t>a1</w:t>
            </w:r>
          </w:p>
        </w:tc>
        <w:tc>
          <w:tcPr>
            <w:tcW w:w="991" w:type="pct"/>
          </w:tcPr>
          <w:p w14:paraId="3202C4A1" w14:textId="77777777" w:rsidR="00883BE5" w:rsidRPr="00883BE5" w:rsidRDefault="00883BE5" w:rsidP="00883BE5">
            <w:pPr>
              <w:jc w:val="both"/>
              <w:rPr>
                <w:rFonts w:ascii="Garamond" w:hAnsi="Garamond"/>
                <w:bCs/>
                <w:iCs/>
                <w:sz w:val="20"/>
                <w:szCs w:val="20"/>
              </w:rPr>
            </w:pPr>
            <w:r w:rsidRPr="00883BE5">
              <w:rPr>
                <w:rFonts w:ascii="Garamond" w:hAnsi="Garamond"/>
                <w:bCs/>
                <w:iCs/>
                <w:sz w:val="20"/>
                <w:szCs w:val="20"/>
              </w:rPr>
              <w:t>4.90 ± 0.54</w:t>
            </w:r>
            <w:r w:rsidRPr="00883BE5">
              <w:rPr>
                <w:rFonts w:ascii="Garamond" w:hAnsi="Garamond"/>
                <w:bCs/>
                <w:iCs/>
                <w:sz w:val="20"/>
                <w:szCs w:val="20"/>
                <w:vertAlign w:val="superscript"/>
              </w:rPr>
              <w:t>a1</w:t>
            </w:r>
          </w:p>
        </w:tc>
      </w:tr>
    </w:tbl>
    <w:p w14:paraId="1452308F" w14:textId="77777777" w:rsidR="00883BE5" w:rsidRDefault="00883BE5" w:rsidP="00883BE5">
      <w:pPr>
        <w:spacing w:line="259" w:lineRule="auto"/>
        <w:jc w:val="both"/>
        <w:rPr>
          <w:rFonts w:ascii="Garamond" w:hAnsi="Garamond"/>
          <w:b/>
          <w:bCs/>
          <w:iCs/>
          <w:sz w:val="20"/>
          <w:szCs w:val="20"/>
        </w:rPr>
      </w:pPr>
    </w:p>
    <w:p w14:paraId="7BA46ACD" w14:textId="6FBBD7C9"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 xml:space="preserve">The values are expressed as (mean ± SEM) </w:t>
      </w:r>
    </w:p>
    <w:p w14:paraId="6DA23C8C" w14:textId="77777777" w:rsidR="00883BE5" w:rsidRPr="00883BE5" w:rsidRDefault="00883BE5" w:rsidP="00883BE5">
      <w:pPr>
        <w:spacing w:line="259" w:lineRule="auto"/>
        <w:jc w:val="both"/>
        <w:rPr>
          <w:rFonts w:ascii="Garamond" w:hAnsi="Garamond"/>
          <w:bCs/>
          <w:i/>
          <w:iCs/>
          <w:sz w:val="20"/>
          <w:szCs w:val="20"/>
        </w:rPr>
      </w:pPr>
      <w:r w:rsidRPr="00883BE5">
        <w:rPr>
          <w:rFonts w:ascii="Garamond" w:hAnsi="Garamond"/>
          <w:bCs/>
          <w:i/>
          <w:iCs/>
          <w:sz w:val="20"/>
          <w:szCs w:val="20"/>
        </w:rPr>
        <w:t>Mean values with different letters of the alphabet down the column are significantly different (p&lt;0.05) while mean values with same figures or number as superscript are not significantly different (p&gt;0.05).</w:t>
      </w:r>
    </w:p>
    <w:p w14:paraId="03F9AD4A" w14:textId="77777777" w:rsidR="00883BE5" w:rsidRPr="00883BE5" w:rsidRDefault="00883BE5" w:rsidP="00883BE5">
      <w:pPr>
        <w:spacing w:line="259" w:lineRule="auto"/>
        <w:jc w:val="both"/>
        <w:rPr>
          <w:rFonts w:ascii="Garamond" w:hAnsi="Garamond"/>
          <w:b/>
          <w:bCs/>
          <w:iCs/>
          <w:sz w:val="20"/>
          <w:szCs w:val="20"/>
        </w:rPr>
      </w:pPr>
    </w:p>
    <w:p w14:paraId="1C79AF0D"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Reduced glutathione level of male Wistar albino rats exposed to petroleum products</w:t>
      </w:r>
    </w:p>
    <w:p w14:paraId="033D3DEC"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The effect of petroleum product inhalation on reduced glutathione levels in male Wistar albino rats was presented. The baseline result (Day 0) showed no significant difference (p&gt;0.05) between the test group and the control. There was also no significant difference (p&gt;0.05) in the mean value of reduced glutathione level (mg/dl) among other test groups. GSH level was significantly reduced on the 14</w:t>
      </w:r>
      <w:r w:rsidRPr="00883BE5">
        <w:rPr>
          <w:rFonts w:ascii="Garamond" w:hAnsi="Garamond"/>
          <w:bCs/>
          <w:iCs/>
          <w:sz w:val="20"/>
          <w:szCs w:val="20"/>
          <w:vertAlign w:val="superscript"/>
        </w:rPr>
        <w:t>th</w:t>
      </w:r>
      <w:r w:rsidRPr="00883BE5">
        <w:rPr>
          <w:rFonts w:ascii="Garamond" w:hAnsi="Garamond"/>
          <w:bCs/>
          <w:iCs/>
          <w:sz w:val="20"/>
          <w:szCs w:val="20"/>
        </w:rPr>
        <w:t xml:space="preserve"> day post-exposure, between the test groups (2.69 ± 0.63, 1.92 ± 0.16, 2.44 ± 0.48, and 2.32 ± 0.55mg/dl) when compared with the control (3.28 ± 0.30mg/dl) (p&lt;0.05). Group C showed no significant difference (p&gt;0.05) with group D and E. GSH level was further reduced on day 28 of exposure. However, there was no significant difference (p&gt;0.05) between kerosene and diesel, and no significant differences (p&gt;0.05) between PMS and mixed petroleum products. There was no significant difference (p&gt;0.05) across the days of exposure for all test groups and control except for day 14 of diesel and mixed petroleum products, which presented a significant difference (p&lt;0.05) (Table 3). </w:t>
      </w:r>
    </w:p>
    <w:p w14:paraId="5F7D430D"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Table 3: Effect of petroleum product inhalation on reduced glutathione (mg/dl) level of male Wistar albino rats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843"/>
        <w:gridCol w:w="1855"/>
        <w:gridCol w:w="1855"/>
      </w:tblGrid>
      <w:tr w:rsidR="00883BE5" w:rsidRPr="00883BE5" w14:paraId="55658635" w14:textId="77777777" w:rsidTr="00883BE5">
        <w:trPr>
          <w:trHeight w:val="210"/>
        </w:trPr>
        <w:tc>
          <w:tcPr>
            <w:tcW w:w="2033" w:type="pct"/>
            <w:tcBorders>
              <w:top w:val="single" w:sz="4" w:space="0" w:color="auto"/>
              <w:bottom w:val="single" w:sz="4" w:space="0" w:color="auto"/>
            </w:tcBorders>
          </w:tcPr>
          <w:p w14:paraId="63822C07"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GROUPS</w:t>
            </w:r>
          </w:p>
        </w:tc>
        <w:tc>
          <w:tcPr>
            <w:tcW w:w="984" w:type="pct"/>
            <w:tcBorders>
              <w:top w:val="single" w:sz="4" w:space="0" w:color="auto"/>
              <w:bottom w:val="single" w:sz="4" w:space="0" w:color="auto"/>
            </w:tcBorders>
          </w:tcPr>
          <w:p w14:paraId="13E00560"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0</w:t>
            </w:r>
          </w:p>
        </w:tc>
        <w:tc>
          <w:tcPr>
            <w:tcW w:w="991" w:type="pct"/>
            <w:tcBorders>
              <w:top w:val="single" w:sz="4" w:space="0" w:color="auto"/>
              <w:bottom w:val="single" w:sz="4" w:space="0" w:color="auto"/>
            </w:tcBorders>
          </w:tcPr>
          <w:p w14:paraId="143AFEE2"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14</w:t>
            </w:r>
          </w:p>
        </w:tc>
        <w:tc>
          <w:tcPr>
            <w:tcW w:w="991" w:type="pct"/>
            <w:tcBorders>
              <w:top w:val="single" w:sz="4" w:space="0" w:color="auto"/>
              <w:bottom w:val="single" w:sz="4" w:space="0" w:color="auto"/>
            </w:tcBorders>
          </w:tcPr>
          <w:p w14:paraId="3650D0C2"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28</w:t>
            </w:r>
          </w:p>
        </w:tc>
      </w:tr>
      <w:tr w:rsidR="00883BE5" w:rsidRPr="00883BE5" w14:paraId="5864131B" w14:textId="77777777" w:rsidTr="00883BE5">
        <w:trPr>
          <w:trHeight w:val="242"/>
        </w:trPr>
        <w:tc>
          <w:tcPr>
            <w:tcW w:w="2033" w:type="pct"/>
            <w:tcBorders>
              <w:top w:val="single" w:sz="4" w:space="0" w:color="auto"/>
            </w:tcBorders>
          </w:tcPr>
          <w:p w14:paraId="32DA700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A (Control)</w:t>
            </w:r>
          </w:p>
        </w:tc>
        <w:tc>
          <w:tcPr>
            <w:tcW w:w="984" w:type="pct"/>
            <w:tcBorders>
              <w:top w:val="single" w:sz="4" w:space="0" w:color="auto"/>
            </w:tcBorders>
          </w:tcPr>
          <w:p w14:paraId="01088F0B" w14:textId="77777777" w:rsidR="00883BE5" w:rsidRPr="00883BE5" w:rsidRDefault="00883BE5" w:rsidP="00883BE5">
            <w:pPr>
              <w:spacing w:line="259" w:lineRule="auto"/>
              <w:jc w:val="both"/>
              <w:rPr>
                <w:rFonts w:ascii="Garamond" w:hAnsi="Garamond"/>
                <w:bCs/>
                <w:iCs/>
                <w:sz w:val="20"/>
                <w:szCs w:val="20"/>
                <w:vertAlign w:val="superscript"/>
              </w:rPr>
            </w:pPr>
            <w:r w:rsidRPr="00883BE5">
              <w:rPr>
                <w:rFonts w:ascii="Garamond" w:hAnsi="Garamond"/>
                <w:bCs/>
                <w:iCs/>
                <w:sz w:val="20"/>
                <w:szCs w:val="20"/>
              </w:rPr>
              <w:t>2.81 ± 0.49</w:t>
            </w:r>
            <w:r w:rsidRPr="00883BE5">
              <w:rPr>
                <w:rFonts w:ascii="Garamond" w:hAnsi="Garamond"/>
                <w:bCs/>
                <w:iCs/>
                <w:sz w:val="20"/>
                <w:szCs w:val="20"/>
                <w:vertAlign w:val="superscript"/>
              </w:rPr>
              <w:t>a1</w:t>
            </w:r>
          </w:p>
        </w:tc>
        <w:tc>
          <w:tcPr>
            <w:tcW w:w="991" w:type="pct"/>
            <w:tcBorders>
              <w:top w:val="single" w:sz="4" w:space="0" w:color="auto"/>
            </w:tcBorders>
          </w:tcPr>
          <w:p w14:paraId="40644BF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3.28 ± 0.30</w:t>
            </w:r>
            <w:r w:rsidRPr="00883BE5">
              <w:rPr>
                <w:rFonts w:ascii="Garamond" w:hAnsi="Garamond"/>
                <w:bCs/>
                <w:iCs/>
                <w:sz w:val="20"/>
                <w:szCs w:val="20"/>
                <w:vertAlign w:val="superscript"/>
              </w:rPr>
              <w:t>c1</w:t>
            </w:r>
          </w:p>
        </w:tc>
        <w:tc>
          <w:tcPr>
            <w:tcW w:w="991" w:type="pct"/>
            <w:tcBorders>
              <w:top w:val="single" w:sz="4" w:space="0" w:color="auto"/>
            </w:tcBorders>
          </w:tcPr>
          <w:p w14:paraId="62C27089" w14:textId="77777777" w:rsidR="00883BE5" w:rsidRPr="00883BE5" w:rsidRDefault="00883BE5" w:rsidP="00883BE5">
            <w:pPr>
              <w:spacing w:line="259" w:lineRule="auto"/>
              <w:jc w:val="both"/>
              <w:rPr>
                <w:rFonts w:ascii="Garamond" w:hAnsi="Garamond"/>
                <w:bCs/>
                <w:iCs/>
                <w:sz w:val="20"/>
                <w:szCs w:val="20"/>
              </w:rPr>
            </w:pPr>
            <w:bookmarkStart w:id="16" w:name="_Hlk184823977"/>
            <w:r w:rsidRPr="00883BE5">
              <w:rPr>
                <w:rFonts w:ascii="Garamond" w:hAnsi="Garamond"/>
                <w:bCs/>
                <w:iCs/>
                <w:sz w:val="20"/>
                <w:szCs w:val="20"/>
              </w:rPr>
              <w:t>3.28 ± 0.30</w:t>
            </w:r>
            <w:bookmarkEnd w:id="16"/>
            <w:r w:rsidRPr="00883BE5">
              <w:rPr>
                <w:rFonts w:ascii="Garamond" w:hAnsi="Garamond"/>
                <w:bCs/>
                <w:iCs/>
                <w:sz w:val="20"/>
                <w:szCs w:val="20"/>
                <w:vertAlign w:val="superscript"/>
              </w:rPr>
              <w:t>c1</w:t>
            </w:r>
          </w:p>
        </w:tc>
      </w:tr>
      <w:tr w:rsidR="00883BE5" w:rsidRPr="00883BE5" w14:paraId="6AF40C8E" w14:textId="77777777" w:rsidTr="00070E21">
        <w:trPr>
          <w:trHeight w:val="142"/>
        </w:trPr>
        <w:tc>
          <w:tcPr>
            <w:tcW w:w="2033" w:type="pct"/>
          </w:tcPr>
          <w:p w14:paraId="123DDCC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B (PMS Exposure)</w:t>
            </w:r>
          </w:p>
        </w:tc>
        <w:tc>
          <w:tcPr>
            <w:tcW w:w="984" w:type="pct"/>
          </w:tcPr>
          <w:p w14:paraId="6A4AD22B" w14:textId="77777777" w:rsidR="00883BE5" w:rsidRPr="00883BE5" w:rsidRDefault="00883BE5" w:rsidP="00883BE5">
            <w:pPr>
              <w:spacing w:line="259" w:lineRule="auto"/>
              <w:jc w:val="both"/>
              <w:rPr>
                <w:rFonts w:ascii="Garamond" w:hAnsi="Garamond"/>
                <w:bCs/>
                <w:iCs/>
                <w:sz w:val="20"/>
                <w:szCs w:val="20"/>
                <w:vertAlign w:val="superscript"/>
              </w:rPr>
            </w:pPr>
            <w:r w:rsidRPr="00883BE5">
              <w:rPr>
                <w:rFonts w:ascii="Garamond" w:hAnsi="Garamond"/>
                <w:bCs/>
                <w:iCs/>
                <w:sz w:val="20"/>
                <w:szCs w:val="20"/>
              </w:rPr>
              <w:t>2.14 ± 0.71</w:t>
            </w:r>
            <w:r w:rsidRPr="00883BE5">
              <w:rPr>
                <w:rFonts w:ascii="Garamond" w:hAnsi="Garamond"/>
                <w:bCs/>
                <w:iCs/>
                <w:sz w:val="20"/>
                <w:szCs w:val="20"/>
                <w:vertAlign w:val="superscript"/>
              </w:rPr>
              <w:t>a1</w:t>
            </w:r>
          </w:p>
        </w:tc>
        <w:tc>
          <w:tcPr>
            <w:tcW w:w="991" w:type="pct"/>
          </w:tcPr>
          <w:p w14:paraId="536DB7B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2.69 ± 0.63</w:t>
            </w:r>
            <w:r w:rsidRPr="00883BE5">
              <w:rPr>
                <w:rFonts w:ascii="Garamond" w:hAnsi="Garamond"/>
                <w:bCs/>
                <w:iCs/>
                <w:sz w:val="20"/>
                <w:szCs w:val="20"/>
                <w:vertAlign w:val="superscript"/>
              </w:rPr>
              <w:t>b1</w:t>
            </w:r>
          </w:p>
        </w:tc>
        <w:tc>
          <w:tcPr>
            <w:tcW w:w="991" w:type="pct"/>
          </w:tcPr>
          <w:p w14:paraId="332D4670"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1.76 ± 0.12</w:t>
            </w:r>
            <w:r w:rsidRPr="00883BE5">
              <w:rPr>
                <w:rFonts w:ascii="Garamond" w:hAnsi="Garamond"/>
                <w:bCs/>
                <w:iCs/>
                <w:sz w:val="20"/>
                <w:szCs w:val="20"/>
                <w:vertAlign w:val="superscript"/>
              </w:rPr>
              <w:t>b1</w:t>
            </w:r>
          </w:p>
        </w:tc>
      </w:tr>
      <w:tr w:rsidR="00883BE5" w:rsidRPr="00883BE5" w14:paraId="2654DC26" w14:textId="77777777" w:rsidTr="00070E21">
        <w:trPr>
          <w:trHeight w:val="70"/>
        </w:trPr>
        <w:tc>
          <w:tcPr>
            <w:tcW w:w="2033" w:type="pct"/>
          </w:tcPr>
          <w:p w14:paraId="2F928392"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C (Kerosene Exposure)</w:t>
            </w:r>
          </w:p>
        </w:tc>
        <w:tc>
          <w:tcPr>
            <w:tcW w:w="984" w:type="pct"/>
          </w:tcPr>
          <w:p w14:paraId="22CE45BE"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1.32 ± 0.12</w:t>
            </w:r>
            <w:r w:rsidRPr="00883BE5">
              <w:rPr>
                <w:rFonts w:ascii="Garamond" w:hAnsi="Garamond"/>
                <w:bCs/>
                <w:iCs/>
                <w:sz w:val="20"/>
                <w:szCs w:val="20"/>
                <w:vertAlign w:val="superscript"/>
              </w:rPr>
              <w:t>a1</w:t>
            </w:r>
          </w:p>
        </w:tc>
        <w:tc>
          <w:tcPr>
            <w:tcW w:w="991" w:type="pct"/>
          </w:tcPr>
          <w:p w14:paraId="5E564B5C"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1.92 ± 0.16</w:t>
            </w:r>
            <w:r w:rsidRPr="00883BE5">
              <w:rPr>
                <w:rFonts w:ascii="Garamond" w:hAnsi="Garamond"/>
                <w:bCs/>
                <w:iCs/>
                <w:sz w:val="20"/>
                <w:szCs w:val="20"/>
                <w:vertAlign w:val="superscript"/>
              </w:rPr>
              <w:t>a1</w:t>
            </w:r>
          </w:p>
        </w:tc>
        <w:tc>
          <w:tcPr>
            <w:tcW w:w="991" w:type="pct"/>
          </w:tcPr>
          <w:p w14:paraId="2F95F13F"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1.39 ± 0.27</w:t>
            </w:r>
            <w:r w:rsidRPr="00883BE5">
              <w:rPr>
                <w:rFonts w:ascii="Garamond" w:hAnsi="Garamond"/>
                <w:bCs/>
                <w:iCs/>
                <w:sz w:val="20"/>
                <w:szCs w:val="20"/>
                <w:vertAlign w:val="superscript"/>
              </w:rPr>
              <w:t>a1</w:t>
            </w:r>
          </w:p>
        </w:tc>
      </w:tr>
      <w:tr w:rsidR="00883BE5" w:rsidRPr="00883BE5" w14:paraId="3251AFAE" w14:textId="77777777" w:rsidTr="00070E21">
        <w:trPr>
          <w:trHeight w:val="70"/>
        </w:trPr>
        <w:tc>
          <w:tcPr>
            <w:tcW w:w="2033" w:type="pct"/>
          </w:tcPr>
          <w:p w14:paraId="208E649D"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D (Diesel Exposure)</w:t>
            </w:r>
          </w:p>
        </w:tc>
        <w:tc>
          <w:tcPr>
            <w:tcW w:w="984" w:type="pct"/>
          </w:tcPr>
          <w:p w14:paraId="11B6A77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1.54 ± 0.42</w:t>
            </w:r>
            <w:r w:rsidRPr="00883BE5">
              <w:rPr>
                <w:rFonts w:ascii="Garamond" w:hAnsi="Garamond"/>
                <w:bCs/>
                <w:iCs/>
                <w:sz w:val="20"/>
                <w:szCs w:val="20"/>
                <w:vertAlign w:val="superscript"/>
              </w:rPr>
              <w:t>a1</w:t>
            </w:r>
          </w:p>
        </w:tc>
        <w:tc>
          <w:tcPr>
            <w:tcW w:w="991" w:type="pct"/>
          </w:tcPr>
          <w:p w14:paraId="27433E3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2.44 ± 0.48</w:t>
            </w:r>
            <w:r w:rsidRPr="00883BE5">
              <w:rPr>
                <w:rFonts w:ascii="Garamond" w:hAnsi="Garamond"/>
                <w:bCs/>
                <w:iCs/>
                <w:sz w:val="20"/>
                <w:szCs w:val="20"/>
                <w:vertAlign w:val="superscript"/>
              </w:rPr>
              <w:t>a2</w:t>
            </w:r>
          </w:p>
        </w:tc>
        <w:tc>
          <w:tcPr>
            <w:tcW w:w="991" w:type="pct"/>
          </w:tcPr>
          <w:p w14:paraId="59B5E652"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1.38 ± 0.16</w:t>
            </w:r>
            <w:r w:rsidRPr="00883BE5">
              <w:rPr>
                <w:rFonts w:ascii="Garamond" w:hAnsi="Garamond"/>
                <w:bCs/>
                <w:iCs/>
                <w:sz w:val="20"/>
                <w:szCs w:val="20"/>
                <w:vertAlign w:val="superscript"/>
              </w:rPr>
              <w:t>a1</w:t>
            </w:r>
          </w:p>
        </w:tc>
      </w:tr>
      <w:tr w:rsidR="00883BE5" w:rsidRPr="00883BE5" w14:paraId="36ED4FC9" w14:textId="77777777" w:rsidTr="00070E21">
        <w:trPr>
          <w:trHeight w:val="70"/>
        </w:trPr>
        <w:tc>
          <w:tcPr>
            <w:tcW w:w="2033" w:type="pct"/>
          </w:tcPr>
          <w:p w14:paraId="02CD828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E (Mixed PP)</w:t>
            </w:r>
          </w:p>
        </w:tc>
        <w:tc>
          <w:tcPr>
            <w:tcW w:w="984" w:type="pct"/>
          </w:tcPr>
          <w:p w14:paraId="21152021"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1.42 ± 0.26</w:t>
            </w:r>
            <w:r w:rsidRPr="00883BE5">
              <w:rPr>
                <w:rFonts w:ascii="Garamond" w:hAnsi="Garamond"/>
                <w:bCs/>
                <w:iCs/>
                <w:sz w:val="20"/>
                <w:szCs w:val="20"/>
                <w:vertAlign w:val="superscript"/>
              </w:rPr>
              <w:t>a1</w:t>
            </w:r>
          </w:p>
        </w:tc>
        <w:tc>
          <w:tcPr>
            <w:tcW w:w="991" w:type="pct"/>
          </w:tcPr>
          <w:p w14:paraId="427E567A"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2.32 ± 0.55</w:t>
            </w:r>
            <w:r w:rsidRPr="00883BE5">
              <w:rPr>
                <w:rFonts w:ascii="Garamond" w:hAnsi="Garamond"/>
                <w:bCs/>
                <w:iCs/>
                <w:sz w:val="20"/>
                <w:szCs w:val="20"/>
                <w:vertAlign w:val="superscript"/>
              </w:rPr>
              <w:t>a2</w:t>
            </w:r>
          </w:p>
        </w:tc>
        <w:tc>
          <w:tcPr>
            <w:tcW w:w="991" w:type="pct"/>
          </w:tcPr>
          <w:p w14:paraId="03C8518D" w14:textId="77777777" w:rsidR="00883BE5" w:rsidRPr="00883BE5" w:rsidRDefault="00883BE5" w:rsidP="00883BE5">
            <w:pPr>
              <w:spacing w:line="259" w:lineRule="auto"/>
              <w:jc w:val="both"/>
              <w:rPr>
                <w:rFonts w:ascii="Garamond" w:hAnsi="Garamond"/>
                <w:bCs/>
                <w:iCs/>
                <w:sz w:val="20"/>
                <w:szCs w:val="20"/>
              </w:rPr>
            </w:pPr>
            <w:bookmarkStart w:id="17" w:name="_Hlk184823384"/>
            <w:r w:rsidRPr="00883BE5">
              <w:rPr>
                <w:rFonts w:ascii="Garamond" w:hAnsi="Garamond"/>
                <w:bCs/>
                <w:iCs/>
                <w:sz w:val="20"/>
                <w:szCs w:val="20"/>
              </w:rPr>
              <w:t>1.93 ± 0.31</w:t>
            </w:r>
            <w:bookmarkEnd w:id="17"/>
            <w:r w:rsidRPr="00883BE5">
              <w:rPr>
                <w:rFonts w:ascii="Garamond" w:hAnsi="Garamond"/>
                <w:bCs/>
                <w:iCs/>
                <w:sz w:val="20"/>
                <w:szCs w:val="20"/>
                <w:vertAlign w:val="superscript"/>
              </w:rPr>
              <w:t>b1</w:t>
            </w:r>
          </w:p>
        </w:tc>
      </w:tr>
    </w:tbl>
    <w:p w14:paraId="001EC296" w14:textId="77777777" w:rsidR="00070E21" w:rsidRDefault="00070E21" w:rsidP="00883BE5">
      <w:pPr>
        <w:spacing w:line="259" w:lineRule="auto"/>
        <w:jc w:val="both"/>
        <w:rPr>
          <w:rFonts w:ascii="Garamond" w:hAnsi="Garamond"/>
          <w:b/>
          <w:bCs/>
          <w:iCs/>
          <w:sz w:val="20"/>
          <w:szCs w:val="20"/>
        </w:rPr>
      </w:pPr>
    </w:p>
    <w:p w14:paraId="491AA963" w14:textId="38827712"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 xml:space="preserve">The values are expressed as (mean ± SEM) </w:t>
      </w:r>
    </w:p>
    <w:p w14:paraId="3AB74238" w14:textId="1D70B818" w:rsidR="00883BE5" w:rsidRPr="005F0E8C" w:rsidRDefault="00883BE5" w:rsidP="00883BE5">
      <w:pPr>
        <w:spacing w:line="259" w:lineRule="auto"/>
        <w:jc w:val="both"/>
        <w:rPr>
          <w:rFonts w:ascii="Garamond" w:hAnsi="Garamond"/>
          <w:bCs/>
          <w:i/>
          <w:iCs/>
          <w:sz w:val="20"/>
          <w:szCs w:val="20"/>
        </w:rPr>
      </w:pPr>
      <w:r w:rsidRPr="00883BE5">
        <w:rPr>
          <w:rFonts w:ascii="Garamond" w:hAnsi="Garamond"/>
          <w:bCs/>
          <w:i/>
          <w:iCs/>
          <w:sz w:val="20"/>
          <w:szCs w:val="20"/>
        </w:rPr>
        <w:t>Mean values with different letters of the alphabet down the column are significantly different (p&lt;0.05) while mean values with the same figures or numbers as superscript are not significantly different (p&gt;0.05).</w:t>
      </w:r>
    </w:p>
    <w:p w14:paraId="23742035"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Superoxide dismutase activity of male Wistar albino rats exposed to petroleum products</w:t>
      </w:r>
    </w:p>
    <w:p w14:paraId="39045E22" w14:textId="77777777" w:rsid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 xml:space="preserve">The effect of petroleum product inhalation on superoxide dismutase activity in male Wistar albino rats was presented. The baseline result (Day 0) showed no significant difference (p &gt; 0.05) between the test groups and the control. There was </w:t>
      </w:r>
      <w:r w:rsidRPr="00883BE5">
        <w:rPr>
          <w:rFonts w:ascii="Garamond" w:hAnsi="Garamond"/>
          <w:bCs/>
          <w:iCs/>
          <w:sz w:val="20"/>
          <w:szCs w:val="20"/>
        </w:rPr>
        <w:lastRenderedPageBreak/>
        <w:t>also no significant difference (p&gt;0.05) in the mean value of superoxide dismutase activity (µ/dl) among other test groups. SOD activity was reduced on the 14</w:t>
      </w:r>
      <w:r w:rsidRPr="00883BE5">
        <w:rPr>
          <w:rFonts w:ascii="Garamond" w:hAnsi="Garamond"/>
          <w:bCs/>
          <w:iCs/>
          <w:sz w:val="20"/>
          <w:szCs w:val="20"/>
          <w:vertAlign w:val="superscript"/>
        </w:rPr>
        <w:t>th</w:t>
      </w:r>
      <w:r w:rsidRPr="00883BE5">
        <w:rPr>
          <w:rFonts w:ascii="Garamond" w:hAnsi="Garamond"/>
          <w:bCs/>
          <w:iCs/>
          <w:sz w:val="20"/>
          <w:szCs w:val="20"/>
        </w:rPr>
        <w:t xml:space="preserve"> day post-exposure in the test groups (11.57 ± 0.28, 11.13 ± 0.74, 11.41 ± 0.45, and 11.75 ± 1.39 µ/dl) compared to the control (12.87 ± 0.93 µ/dl). The superoxide dismutase activity among test groups showed no significant difference (p &gt; 0.05) among groups B, C, D, and E. On day 28 of exposure, the mean value of superoxide dismutase activity maintained the same trend as on day 14, when compared to the control; the mean value of superoxide dismutase activity in the kerosene group was significantly lower (p &lt; 0.05) compared to the other test groups. However, there was no significant difference (p &gt; 0.05) among groups B, D, and E. On days of exposure, there was no significant difference (p &gt; 0.05) across the days of exposure for control, PMS, kerosene, diesel, and mixed petroleum products except for day 28 of kerosene, which was significantly different (p&lt;0.05) (Table 4). </w:t>
      </w:r>
    </w:p>
    <w:p w14:paraId="69DBEC2B" w14:textId="77777777" w:rsidR="00070E21" w:rsidRPr="00883BE5" w:rsidRDefault="00070E21" w:rsidP="00883BE5">
      <w:pPr>
        <w:spacing w:line="259" w:lineRule="auto"/>
        <w:jc w:val="both"/>
        <w:rPr>
          <w:rFonts w:ascii="Garamond" w:hAnsi="Garamond"/>
          <w:bCs/>
          <w:iCs/>
          <w:sz w:val="20"/>
          <w:szCs w:val="20"/>
        </w:rPr>
      </w:pPr>
    </w:p>
    <w:p w14:paraId="779BFFC3"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 xml:space="preserve">Table 4: </w:t>
      </w:r>
      <w:r w:rsidRPr="00883BE5">
        <w:rPr>
          <w:rFonts w:ascii="Garamond" w:hAnsi="Garamond"/>
          <w:iCs/>
          <w:sz w:val="20"/>
          <w:szCs w:val="20"/>
        </w:rPr>
        <w:t>Effect of petroleum product inhalation on superoxide dismutase (µ/dl) activity of male Wistar albino rats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3"/>
        <w:gridCol w:w="1911"/>
        <w:gridCol w:w="1923"/>
        <w:gridCol w:w="1923"/>
      </w:tblGrid>
      <w:tr w:rsidR="00883BE5" w:rsidRPr="00883BE5" w14:paraId="6AB722DE" w14:textId="77777777" w:rsidTr="00070E21">
        <w:trPr>
          <w:trHeight w:val="70"/>
        </w:trPr>
        <w:tc>
          <w:tcPr>
            <w:tcW w:w="1925" w:type="pct"/>
            <w:tcBorders>
              <w:top w:val="single" w:sz="4" w:space="0" w:color="auto"/>
              <w:bottom w:val="single" w:sz="4" w:space="0" w:color="auto"/>
            </w:tcBorders>
          </w:tcPr>
          <w:p w14:paraId="36AFCBA2"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GROUPS</w:t>
            </w:r>
          </w:p>
        </w:tc>
        <w:tc>
          <w:tcPr>
            <w:tcW w:w="1021" w:type="pct"/>
            <w:tcBorders>
              <w:top w:val="single" w:sz="4" w:space="0" w:color="auto"/>
              <w:bottom w:val="single" w:sz="4" w:space="0" w:color="auto"/>
            </w:tcBorders>
          </w:tcPr>
          <w:p w14:paraId="1123DFFE"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0</w:t>
            </w:r>
          </w:p>
        </w:tc>
        <w:tc>
          <w:tcPr>
            <w:tcW w:w="1027" w:type="pct"/>
            <w:tcBorders>
              <w:top w:val="single" w:sz="4" w:space="0" w:color="auto"/>
              <w:bottom w:val="single" w:sz="4" w:space="0" w:color="auto"/>
            </w:tcBorders>
          </w:tcPr>
          <w:p w14:paraId="2854DA75"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14</w:t>
            </w:r>
          </w:p>
        </w:tc>
        <w:tc>
          <w:tcPr>
            <w:tcW w:w="1027" w:type="pct"/>
            <w:tcBorders>
              <w:top w:val="single" w:sz="4" w:space="0" w:color="auto"/>
              <w:bottom w:val="single" w:sz="4" w:space="0" w:color="auto"/>
            </w:tcBorders>
          </w:tcPr>
          <w:p w14:paraId="5A4D8368"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28</w:t>
            </w:r>
          </w:p>
        </w:tc>
      </w:tr>
      <w:tr w:rsidR="00883BE5" w:rsidRPr="00883BE5" w14:paraId="0F5461EF" w14:textId="77777777" w:rsidTr="00070E21">
        <w:trPr>
          <w:trHeight w:val="101"/>
        </w:trPr>
        <w:tc>
          <w:tcPr>
            <w:tcW w:w="1925" w:type="pct"/>
            <w:tcBorders>
              <w:top w:val="single" w:sz="4" w:space="0" w:color="auto"/>
            </w:tcBorders>
          </w:tcPr>
          <w:p w14:paraId="0EC182AE"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A (Control)</w:t>
            </w:r>
          </w:p>
        </w:tc>
        <w:tc>
          <w:tcPr>
            <w:tcW w:w="1021" w:type="pct"/>
            <w:tcBorders>
              <w:top w:val="single" w:sz="4" w:space="0" w:color="auto"/>
            </w:tcBorders>
          </w:tcPr>
          <w:p w14:paraId="30BF137F" w14:textId="77777777" w:rsidR="00883BE5" w:rsidRPr="00883BE5" w:rsidRDefault="00883BE5" w:rsidP="00883BE5">
            <w:pPr>
              <w:spacing w:line="259" w:lineRule="auto"/>
              <w:jc w:val="both"/>
              <w:rPr>
                <w:rFonts w:ascii="Garamond" w:hAnsi="Garamond"/>
                <w:bCs/>
                <w:iCs/>
                <w:sz w:val="20"/>
                <w:szCs w:val="20"/>
                <w:vertAlign w:val="superscript"/>
              </w:rPr>
            </w:pPr>
            <w:r w:rsidRPr="00883BE5">
              <w:rPr>
                <w:rFonts w:ascii="Garamond" w:hAnsi="Garamond"/>
                <w:bCs/>
                <w:iCs/>
                <w:sz w:val="20"/>
                <w:szCs w:val="20"/>
              </w:rPr>
              <w:t>11.44 ± 0.82</w:t>
            </w:r>
            <w:r w:rsidRPr="00883BE5">
              <w:rPr>
                <w:rFonts w:ascii="Garamond" w:hAnsi="Garamond"/>
                <w:bCs/>
                <w:iCs/>
                <w:sz w:val="20"/>
                <w:szCs w:val="20"/>
                <w:vertAlign w:val="superscript"/>
              </w:rPr>
              <w:t>a1</w:t>
            </w:r>
          </w:p>
        </w:tc>
        <w:tc>
          <w:tcPr>
            <w:tcW w:w="1027" w:type="pct"/>
            <w:tcBorders>
              <w:top w:val="single" w:sz="4" w:space="0" w:color="auto"/>
            </w:tcBorders>
          </w:tcPr>
          <w:p w14:paraId="2D5BB126"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12.87 ± 0.93</w:t>
            </w:r>
            <w:r w:rsidRPr="00883BE5">
              <w:rPr>
                <w:rFonts w:ascii="Garamond" w:hAnsi="Garamond"/>
                <w:bCs/>
                <w:iCs/>
                <w:sz w:val="20"/>
                <w:szCs w:val="20"/>
                <w:vertAlign w:val="superscript"/>
              </w:rPr>
              <w:t>b1</w:t>
            </w:r>
          </w:p>
        </w:tc>
        <w:tc>
          <w:tcPr>
            <w:tcW w:w="1027" w:type="pct"/>
            <w:tcBorders>
              <w:top w:val="single" w:sz="4" w:space="0" w:color="auto"/>
            </w:tcBorders>
          </w:tcPr>
          <w:p w14:paraId="31A7D99E" w14:textId="77777777" w:rsidR="00883BE5" w:rsidRPr="00883BE5" w:rsidRDefault="00883BE5" w:rsidP="00883BE5">
            <w:pPr>
              <w:spacing w:line="259" w:lineRule="auto"/>
              <w:jc w:val="both"/>
              <w:rPr>
                <w:rFonts w:ascii="Garamond" w:hAnsi="Garamond"/>
                <w:bCs/>
                <w:iCs/>
                <w:sz w:val="20"/>
                <w:szCs w:val="20"/>
              </w:rPr>
            </w:pPr>
            <w:bookmarkStart w:id="18" w:name="_Hlk184823922"/>
            <w:r w:rsidRPr="00883BE5">
              <w:rPr>
                <w:rFonts w:ascii="Garamond" w:hAnsi="Garamond"/>
                <w:bCs/>
                <w:iCs/>
                <w:sz w:val="20"/>
                <w:szCs w:val="20"/>
              </w:rPr>
              <w:t>12.87 ± 0.93</w:t>
            </w:r>
            <w:bookmarkEnd w:id="18"/>
            <w:r w:rsidRPr="00883BE5">
              <w:rPr>
                <w:rFonts w:ascii="Garamond" w:hAnsi="Garamond"/>
                <w:bCs/>
                <w:iCs/>
                <w:sz w:val="20"/>
                <w:szCs w:val="20"/>
                <w:vertAlign w:val="superscript"/>
              </w:rPr>
              <w:t>c1</w:t>
            </w:r>
          </w:p>
        </w:tc>
      </w:tr>
      <w:tr w:rsidR="00883BE5" w:rsidRPr="00883BE5" w14:paraId="2F04025E" w14:textId="77777777" w:rsidTr="00070E21">
        <w:trPr>
          <w:trHeight w:val="143"/>
        </w:trPr>
        <w:tc>
          <w:tcPr>
            <w:tcW w:w="1925" w:type="pct"/>
          </w:tcPr>
          <w:p w14:paraId="333DD801"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B (PMS Exposure)</w:t>
            </w:r>
          </w:p>
        </w:tc>
        <w:tc>
          <w:tcPr>
            <w:tcW w:w="1021" w:type="pct"/>
          </w:tcPr>
          <w:p w14:paraId="66947175"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10.56 ± 0.45</w:t>
            </w:r>
            <w:r w:rsidRPr="00883BE5">
              <w:rPr>
                <w:rFonts w:ascii="Garamond" w:hAnsi="Garamond"/>
                <w:bCs/>
                <w:iCs/>
                <w:sz w:val="20"/>
                <w:szCs w:val="20"/>
                <w:vertAlign w:val="superscript"/>
              </w:rPr>
              <w:t>a1</w:t>
            </w:r>
          </w:p>
        </w:tc>
        <w:tc>
          <w:tcPr>
            <w:tcW w:w="1027" w:type="pct"/>
          </w:tcPr>
          <w:p w14:paraId="67D18033"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11.57 ± 0.28</w:t>
            </w:r>
            <w:r w:rsidRPr="00883BE5">
              <w:rPr>
                <w:rFonts w:ascii="Garamond" w:hAnsi="Garamond"/>
                <w:bCs/>
                <w:iCs/>
                <w:sz w:val="20"/>
                <w:szCs w:val="20"/>
                <w:vertAlign w:val="superscript"/>
              </w:rPr>
              <w:t>a1</w:t>
            </w:r>
          </w:p>
        </w:tc>
        <w:tc>
          <w:tcPr>
            <w:tcW w:w="1027" w:type="pct"/>
          </w:tcPr>
          <w:p w14:paraId="6B30178A"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10.21 ± 0.83</w:t>
            </w:r>
            <w:r w:rsidRPr="00883BE5">
              <w:rPr>
                <w:rFonts w:ascii="Garamond" w:hAnsi="Garamond"/>
                <w:bCs/>
                <w:iCs/>
                <w:sz w:val="20"/>
                <w:szCs w:val="20"/>
                <w:vertAlign w:val="superscript"/>
              </w:rPr>
              <w:t>b1</w:t>
            </w:r>
          </w:p>
        </w:tc>
      </w:tr>
      <w:tr w:rsidR="00883BE5" w:rsidRPr="00883BE5" w14:paraId="49832210" w14:textId="77777777" w:rsidTr="00070E21">
        <w:trPr>
          <w:trHeight w:val="70"/>
        </w:trPr>
        <w:tc>
          <w:tcPr>
            <w:tcW w:w="1925" w:type="pct"/>
          </w:tcPr>
          <w:p w14:paraId="47DBA61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C (Kerosene Exposure)</w:t>
            </w:r>
          </w:p>
        </w:tc>
        <w:tc>
          <w:tcPr>
            <w:tcW w:w="1021" w:type="pct"/>
          </w:tcPr>
          <w:p w14:paraId="507FA74E"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10.22 ± 0.76</w:t>
            </w:r>
            <w:r w:rsidRPr="00883BE5">
              <w:rPr>
                <w:rFonts w:ascii="Garamond" w:hAnsi="Garamond"/>
                <w:bCs/>
                <w:iCs/>
                <w:sz w:val="20"/>
                <w:szCs w:val="20"/>
                <w:vertAlign w:val="superscript"/>
              </w:rPr>
              <w:t>a2</w:t>
            </w:r>
          </w:p>
        </w:tc>
        <w:tc>
          <w:tcPr>
            <w:tcW w:w="1027" w:type="pct"/>
          </w:tcPr>
          <w:p w14:paraId="4C424B3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11.13 ± 0.74</w:t>
            </w:r>
            <w:r w:rsidRPr="00883BE5">
              <w:rPr>
                <w:rFonts w:ascii="Garamond" w:hAnsi="Garamond"/>
                <w:bCs/>
                <w:iCs/>
                <w:sz w:val="20"/>
                <w:szCs w:val="20"/>
                <w:vertAlign w:val="superscript"/>
              </w:rPr>
              <w:t>a2</w:t>
            </w:r>
          </w:p>
        </w:tc>
        <w:tc>
          <w:tcPr>
            <w:tcW w:w="1027" w:type="pct"/>
          </w:tcPr>
          <w:p w14:paraId="264BEB00"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8.96 ± 0.93</w:t>
            </w:r>
            <w:r w:rsidRPr="00883BE5">
              <w:rPr>
                <w:rFonts w:ascii="Garamond" w:hAnsi="Garamond"/>
                <w:bCs/>
                <w:iCs/>
                <w:sz w:val="20"/>
                <w:szCs w:val="20"/>
                <w:vertAlign w:val="superscript"/>
              </w:rPr>
              <w:t>a1</w:t>
            </w:r>
          </w:p>
        </w:tc>
      </w:tr>
      <w:tr w:rsidR="00883BE5" w:rsidRPr="00883BE5" w14:paraId="0948047E" w14:textId="77777777" w:rsidTr="00070E21">
        <w:trPr>
          <w:trHeight w:val="70"/>
        </w:trPr>
        <w:tc>
          <w:tcPr>
            <w:tcW w:w="1925" w:type="pct"/>
          </w:tcPr>
          <w:p w14:paraId="46BE8918"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D (Diesel Exposure)</w:t>
            </w:r>
          </w:p>
        </w:tc>
        <w:tc>
          <w:tcPr>
            <w:tcW w:w="1021" w:type="pct"/>
          </w:tcPr>
          <w:p w14:paraId="169E29EC"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9.89 ± 1.26</w:t>
            </w:r>
            <w:r w:rsidRPr="00883BE5">
              <w:rPr>
                <w:rFonts w:ascii="Garamond" w:hAnsi="Garamond"/>
                <w:bCs/>
                <w:iCs/>
                <w:sz w:val="20"/>
                <w:szCs w:val="20"/>
                <w:vertAlign w:val="superscript"/>
              </w:rPr>
              <w:t>a1</w:t>
            </w:r>
          </w:p>
        </w:tc>
        <w:tc>
          <w:tcPr>
            <w:tcW w:w="1027" w:type="pct"/>
          </w:tcPr>
          <w:p w14:paraId="4CBB1228"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11.41 ± 0.45</w:t>
            </w:r>
            <w:r w:rsidRPr="00883BE5">
              <w:rPr>
                <w:rFonts w:ascii="Garamond" w:hAnsi="Garamond"/>
                <w:bCs/>
                <w:iCs/>
                <w:sz w:val="20"/>
                <w:szCs w:val="20"/>
                <w:vertAlign w:val="superscript"/>
              </w:rPr>
              <w:t>a1</w:t>
            </w:r>
          </w:p>
        </w:tc>
        <w:tc>
          <w:tcPr>
            <w:tcW w:w="1027" w:type="pct"/>
          </w:tcPr>
          <w:p w14:paraId="3FB4770D"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10.23 ± 0.30</w:t>
            </w:r>
            <w:r w:rsidRPr="00883BE5">
              <w:rPr>
                <w:rFonts w:ascii="Garamond" w:hAnsi="Garamond"/>
                <w:bCs/>
                <w:iCs/>
                <w:sz w:val="20"/>
                <w:szCs w:val="20"/>
                <w:vertAlign w:val="superscript"/>
              </w:rPr>
              <w:t>b1</w:t>
            </w:r>
          </w:p>
        </w:tc>
      </w:tr>
      <w:tr w:rsidR="00883BE5" w:rsidRPr="00883BE5" w14:paraId="7617FE26" w14:textId="77777777" w:rsidTr="00070E21">
        <w:trPr>
          <w:trHeight w:val="112"/>
        </w:trPr>
        <w:tc>
          <w:tcPr>
            <w:tcW w:w="1925" w:type="pct"/>
          </w:tcPr>
          <w:p w14:paraId="2AE1164A"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E (Mixed PP)</w:t>
            </w:r>
          </w:p>
        </w:tc>
        <w:tc>
          <w:tcPr>
            <w:tcW w:w="1021" w:type="pct"/>
          </w:tcPr>
          <w:p w14:paraId="1820D76C"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9.53 ± 0.33</w:t>
            </w:r>
            <w:r w:rsidRPr="00883BE5">
              <w:rPr>
                <w:rFonts w:ascii="Garamond" w:hAnsi="Garamond"/>
                <w:bCs/>
                <w:iCs/>
                <w:sz w:val="20"/>
                <w:szCs w:val="20"/>
                <w:vertAlign w:val="superscript"/>
              </w:rPr>
              <w:t>a1</w:t>
            </w:r>
          </w:p>
        </w:tc>
        <w:tc>
          <w:tcPr>
            <w:tcW w:w="1027" w:type="pct"/>
          </w:tcPr>
          <w:p w14:paraId="3EF50919"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11.75 ± 1.39</w:t>
            </w:r>
            <w:r w:rsidRPr="00883BE5">
              <w:rPr>
                <w:rFonts w:ascii="Garamond" w:hAnsi="Garamond"/>
                <w:bCs/>
                <w:iCs/>
                <w:sz w:val="20"/>
                <w:szCs w:val="20"/>
                <w:vertAlign w:val="superscript"/>
              </w:rPr>
              <w:t>a1</w:t>
            </w:r>
          </w:p>
        </w:tc>
        <w:tc>
          <w:tcPr>
            <w:tcW w:w="1027" w:type="pct"/>
          </w:tcPr>
          <w:p w14:paraId="596AED21" w14:textId="77777777" w:rsidR="00883BE5" w:rsidRPr="00883BE5" w:rsidRDefault="00883BE5" w:rsidP="00883BE5">
            <w:pPr>
              <w:spacing w:line="259" w:lineRule="auto"/>
              <w:jc w:val="both"/>
              <w:rPr>
                <w:rFonts w:ascii="Garamond" w:hAnsi="Garamond"/>
                <w:bCs/>
                <w:iCs/>
                <w:sz w:val="20"/>
                <w:szCs w:val="20"/>
              </w:rPr>
            </w:pPr>
            <w:bookmarkStart w:id="19" w:name="_Hlk184823433"/>
            <w:r w:rsidRPr="00883BE5">
              <w:rPr>
                <w:rFonts w:ascii="Garamond" w:hAnsi="Garamond"/>
                <w:bCs/>
                <w:iCs/>
                <w:sz w:val="20"/>
                <w:szCs w:val="20"/>
              </w:rPr>
              <w:t>11.12 ± 0.48</w:t>
            </w:r>
            <w:bookmarkEnd w:id="19"/>
            <w:r w:rsidRPr="00883BE5">
              <w:rPr>
                <w:rFonts w:ascii="Garamond" w:hAnsi="Garamond"/>
                <w:bCs/>
                <w:iCs/>
                <w:sz w:val="20"/>
                <w:szCs w:val="20"/>
                <w:vertAlign w:val="superscript"/>
              </w:rPr>
              <w:t>b1</w:t>
            </w:r>
          </w:p>
        </w:tc>
      </w:tr>
    </w:tbl>
    <w:p w14:paraId="61B1776B" w14:textId="77777777" w:rsidR="00070E21" w:rsidRDefault="00070E21" w:rsidP="00883BE5">
      <w:pPr>
        <w:spacing w:line="259" w:lineRule="auto"/>
        <w:jc w:val="both"/>
        <w:rPr>
          <w:rFonts w:ascii="Garamond" w:hAnsi="Garamond"/>
          <w:b/>
          <w:bCs/>
          <w:iCs/>
          <w:sz w:val="20"/>
          <w:szCs w:val="20"/>
        </w:rPr>
      </w:pPr>
    </w:p>
    <w:p w14:paraId="117DFEFA" w14:textId="350025A8"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 xml:space="preserve">The values are expressed as (mean ± SEM) </w:t>
      </w:r>
    </w:p>
    <w:p w14:paraId="29AB8A5F" w14:textId="77777777" w:rsidR="00883BE5" w:rsidRPr="00883BE5" w:rsidRDefault="00883BE5" w:rsidP="00883BE5">
      <w:pPr>
        <w:spacing w:line="259" w:lineRule="auto"/>
        <w:jc w:val="both"/>
        <w:rPr>
          <w:rFonts w:ascii="Garamond" w:hAnsi="Garamond"/>
          <w:bCs/>
          <w:i/>
          <w:iCs/>
          <w:sz w:val="20"/>
          <w:szCs w:val="20"/>
        </w:rPr>
      </w:pPr>
      <w:r w:rsidRPr="00883BE5">
        <w:rPr>
          <w:rFonts w:ascii="Garamond" w:hAnsi="Garamond"/>
          <w:bCs/>
          <w:i/>
          <w:iCs/>
          <w:sz w:val="20"/>
          <w:szCs w:val="20"/>
        </w:rPr>
        <w:t>Mean values with different letters of the alphabet down the column are significantly different (p&lt;0.05) while mean values with the same figures or numbers as superscript are not significantly different (p&gt;0.05).</w:t>
      </w:r>
    </w:p>
    <w:p w14:paraId="34E83847" w14:textId="77777777" w:rsidR="00883BE5" w:rsidRPr="00883BE5" w:rsidRDefault="00883BE5" w:rsidP="00883BE5">
      <w:pPr>
        <w:spacing w:line="259" w:lineRule="auto"/>
        <w:jc w:val="both"/>
        <w:rPr>
          <w:rFonts w:ascii="Garamond" w:hAnsi="Garamond"/>
          <w:b/>
          <w:bCs/>
          <w:iCs/>
          <w:sz w:val="20"/>
          <w:szCs w:val="20"/>
        </w:rPr>
      </w:pPr>
    </w:p>
    <w:p w14:paraId="4BC3C67F"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
          <w:bCs/>
          <w:iCs/>
          <w:sz w:val="20"/>
          <w:szCs w:val="20"/>
        </w:rPr>
        <w:t>Malondialdehyde (MDA) level of male Wistar albino rats exposed to petroleum products</w:t>
      </w:r>
    </w:p>
    <w:p w14:paraId="30A2D3A6"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The effect of petroleum product inhalation on malondialdehyde in male Wistar albino rats was presented. The baseline result (Day 0) showed no significant difference (p &gt; 0.05) between the test groups and the control. There was also no significant difference (p &gt; 0.05) in the mean value of MDA level (mg/dl) among other test groups.  MDA level on the 14</w:t>
      </w:r>
      <w:r w:rsidRPr="00883BE5">
        <w:rPr>
          <w:rFonts w:ascii="Garamond" w:hAnsi="Garamond"/>
          <w:bCs/>
          <w:iCs/>
          <w:sz w:val="20"/>
          <w:szCs w:val="20"/>
          <w:vertAlign w:val="superscript"/>
        </w:rPr>
        <w:t>th</w:t>
      </w:r>
      <w:r w:rsidRPr="00883BE5">
        <w:rPr>
          <w:rFonts w:ascii="Garamond" w:hAnsi="Garamond"/>
          <w:bCs/>
          <w:iCs/>
          <w:sz w:val="20"/>
          <w:szCs w:val="20"/>
        </w:rPr>
        <w:t xml:space="preserve"> day post-exposure was increased between the test groups (2.15 ± 0.31, 2.53 ± 0.35, 2.43 ± 0.55, and 2.02 ± 0.06mg/dl) when compared with the control (1.46 ± 0.20mg/dl) (p &lt; 0.05). There was no significant difference (p&gt;0.05) among groups B, D, and E. On the 28</w:t>
      </w:r>
      <w:r w:rsidRPr="00883BE5">
        <w:rPr>
          <w:rFonts w:ascii="Garamond" w:hAnsi="Garamond"/>
          <w:bCs/>
          <w:iCs/>
          <w:sz w:val="20"/>
          <w:szCs w:val="20"/>
          <w:vertAlign w:val="superscript"/>
        </w:rPr>
        <w:t>th</w:t>
      </w:r>
      <w:r w:rsidRPr="00883BE5">
        <w:rPr>
          <w:rFonts w:ascii="Garamond" w:hAnsi="Garamond"/>
          <w:bCs/>
          <w:iCs/>
          <w:sz w:val="20"/>
          <w:szCs w:val="20"/>
        </w:rPr>
        <w:t xml:space="preserve"> day of exposure mean value of MDA maintained the same trend as day 14, except for group E; however, groups D and E showed no significant difference (p &gt; 0.05) when compared to the control. On days of exposure, there was no significant difference (p &gt; 0.05) across groups: control, PMS, kerosene, and diesel, except for the day 28 of group kerosene group, which was significantly different (p &lt; 0.05). However, the mixed petroleum products group was significantly different (p &lt; 0.05) when compared to day 0 (Table 5). </w:t>
      </w:r>
    </w:p>
    <w:p w14:paraId="4465D29F" w14:textId="77777777" w:rsidR="00070E21" w:rsidRDefault="00070E21" w:rsidP="00883BE5">
      <w:pPr>
        <w:spacing w:line="259" w:lineRule="auto"/>
        <w:jc w:val="both"/>
        <w:rPr>
          <w:rFonts w:ascii="Garamond" w:hAnsi="Garamond"/>
          <w:b/>
          <w:bCs/>
          <w:iCs/>
          <w:sz w:val="20"/>
          <w:szCs w:val="20"/>
        </w:rPr>
      </w:pPr>
    </w:p>
    <w:p w14:paraId="719E5527" w14:textId="2A3E2E55" w:rsidR="00883BE5" w:rsidRPr="00883BE5" w:rsidRDefault="00883BE5" w:rsidP="00883BE5">
      <w:pPr>
        <w:spacing w:line="259" w:lineRule="auto"/>
        <w:jc w:val="both"/>
        <w:rPr>
          <w:rFonts w:ascii="Garamond" w:hAnsi="Garamond"/>
          <w:iCs/>
          <w:sz w:val="20"/>
          <w:szCs w:val="20"/>
        </w:rPr>
      </w:pPr>
      <w:r w:rsidRPr="00883BE5">
        <w:rPr>
          <w:rFonts w:ascii="Garamond" w:hAnsi="Garamond"/>
          <w:b/>
          <w:bCs/>
          <w:iCs/>
          <w:sz w:val="20"/>
          <w:szCs w:val="20"/>
        </w:rPr>
        <w:t xml:space="preserve">Table 5: </w:t>
      </w:r>
      <w:r w:rsidRPr="00883BE5">
        <w:rPr>
          <w:rFonts w:ascii="Garamond" w:hAnsi="Garamond"/>
          <w:iCs/>
          <w:sz w:val="20"/>
          <w:szCs w:val="20"/>
        </w:rPr>
        <w:t>Effect of petroleum product inhalation on malondialdehyde (mg/dl) level of male Wistar albino rats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843"/>
        <w:gridCol w:w="1855"/>
        <w:gridCol w:w="1855"/>
      </w:tblGrid>
      <w:tr w:rsidR="00883BE5" w:rsidRPr="00883BE5" w14:paraId="0F27DFA3" w14:textId="77777777" w:rsidTr="00070E21">
        <w:trPr>
          <w:trHeight w:val="210"/>
        </w:trPr>
        <w:tc>
          <w:tcPr>
            <w:tcW w:w="2033" w:type="pct"/>
            <w:tcBorders>
              <w:top w:val="single" w:sz="4" w:space="0" w:color="auto"/>
              <w:bottom w:val="single" w:sz="4" w:space="0" w:color="auto"/>
            </w:tcBorders>
          </w:tcPr>
          <w:p w14:paraId="6235AECE"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GROUPS</w:t>
            </w:r>
          </w:p>
        </w:tc>
        <w:tc>
          <w:tcPr>
            <w:tcW w:w="984" w:type="pct"/>
            <w:tcBorders>
              <w:top w:val="single" w:sz="4" w:space="0" w:color="auto"/>
              <w:bottom w:val="single" w:sz="4" w:space="0" w:color="auto"/>
            </w:tcBorders>
          </w:tcPr>
          <w:p w14:paraId="407FF592"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0</w:t>
            </w:r>
          </w:p>
        </w:tc>
        <w:tc>
          <w:tcPr>
            <w:tcW w:w="991" w:type="pct"/>
            <w:tcBorders>
              <w:top w:val="single" w:sz="4" w:space="0" w:color="auto"/>
              <w:bottom w:val="single" w:sz="4" w:space="0" w:color="auto"/>
            </w:tcBorders>
          </w:tcPr>
          <w:p w14:paraId="07FCA8A0"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14</w:t>
            </w:r>
          </w:p>
        </w:tc>
        <w:tc>
          <w:tcPr>
            <w:tcW w:w="991" w:type="pct"/>
            <w:tcBorders>
              <w:top w:val="single" w:sz="4" w:space="0" w:color="auto"/>
              <w:bottom w:val="single" w:sz="4" w:space="0" w:color="auto"/>
            </w:tcBorders>
          </w:tcPr>
          <w:p w14:paraId="02DDB9A7" w14:textId="77777777"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DAY 28</w:t>
            </w:r>
          </w:p>
        </w:tc>
      </w:tr>
      <w:tr w:rsidR="00883BE5" w:rsidRPr="00883BE5" w14:paraId="12ED9AE1" w14:textId="77777777" w:rsidTr="00070E21">
        <w:trPr>
          <w:trHeight w:val="242"/>
        </w:trPr>
        <w:tc>
          <w:tcPr>
            <w:tcW w:w="2033" w:type="pct"/>
            <w:tcBorders>
              <w:top w:val="single" w:sz="4" w:space="0" w:color="auto"/>
            </w:tcBorders>
          </w:tcPr>
          <w:p w14:paraId="07BB2AE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A (Control)</w:t>
            </w:r>
          </w:p>
        </w:tc>
        <w:tc>
          <w:tcPr>
            <w:tcW w:w="984" w:type="pct"/>
            <w:tcBorders>
              <w:top w:val="single" w:sz="4" w:space="0" w:color="auto"/>
            </w:tcBorders>
          </w:tcPr>
          <w:p w14:paraId="32691990"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2.60 ± 0.34</w:t>
            </w:r>
            <w:r w:rsidRPr="00883BE5">
              <w:rPr>
                <w:rFonts w:ascii="Garamond" w:hAnsi="Garamond"/>
                <w:bCs/>
                <w:iCs/>
                <w:sz w:val="20"/>
                <w:szCs w:val="20"/>
                <w:vertAlign w:val="superscript"/>
              </w:rPr>
              <w:t>a1</w:t>
            </w:r>
          </w:p>
        </w:tc>
        <w:tc>
          <w:tcPr>
            <w:tcW w:w="991" w:type="pct"/>
            <w:tcBorders>
              <w:top w:val="single" w:sz="4" w:space="0" w:color="auto"/>
            </w:tcBorders>
          </w:tcPr>
          <w:p w14:paraId="05066DA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1.46 ± 0.20</w:t>
            </w:r>
            <w:r w:rsidRPr="00883BE5">
              <w:rPr>
                <w:rFonts w:ascii="Garamond" w:hAnsi="Garamond"/>
                <w:bCs/>
                <w:iCs/>
                <w:sz w:val="20"/>
                <w:szCs w:val="20"/>
                <w:vertAlign w:val="superscript"/>
              </w:rPr>
              <w:t>a1</w:t>
            </w:r>
          </w:p>
        </w:tc>
        <w:tc>
          <w:tcPr>
            <w:tcW w:w="991" w:type="pct"/>
            <w:tcBorders>
              <w:top w:val="single" w:sz="4" w:space="0" w:color="auto"/>
            </w:tcBorders>
          </w:tcPr>
          <w:p w14:paraId="62A945F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1.46 ± 0.20</w:t>
            </w:r>
            <w:r w:rsidRPr="00883BE5">
              <w:rPr>
                <w:rFonts w:ascii="Garamond" w:hAnsi="Garamond"/>
                <w:bCs/>
                <w:iCs/>
                <w:sz w:val="20"/>
                <w:szCs w:val="20"/>
                <w:vertAlign w:val="superscript"/>
              </w:rPr>
              <w:t>a1</w:t>
            </w:r>
          </w:p>
        </w:tc>
      </w:tr>
      <w:tr w:rsidR="00883BE5" w:rsidRPr="00883BE5" w14:paraId="71DF1BAC" w14:textId="77777777" w:rsidTr="00070E21">
        <w:trPr>
          <w:trHeight w:val="143"/>
        </w:trPr>
        <w:tc>
          <w:tcPr>
            <w:tcW w:w="2033" w:type="pct"/>
          </w:tcPr>
          <w:p w14:paraId="405B592B"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B (PMS Exposure)</w:t>
            </w:r>
          </w:p>
        </w:tc>
        <w:tc>
          <w:tcPr>
            <w:tcW w:w="984" w:type="pct"/>
          </w:tcPr>
          <w:p w14:paraId="0B789FA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2.67 ± 0.32</w:t>
            </w:r>
            <w:r w:rsidRPr="00883BE5">
              <w:rPr>
                <w:rFonts w:ascii="Garamond" w:hAnsi="Garamond"/>
                <w:bCs/>
                <w:iCs/>
                <w:sz w:val="20"/>
                <w:szCs w:val="20"/>
                <w:vertAlign w:val="superscript"/>
              </w:rPr>
              <w:t>a1</w:t>
            </w:r>
          </w:p>
        </w:tc>
        <w:tc>
          <w:tcPr>
            <w:tcW w:w="991" w:type="pct"/>
          </w:tcPr>
          <w:p w14:paraId="2D9101F7"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2.15 ± 0.31</w:t>
            </w:r>
            <w:r w:rsidRPr="00883BE5">
              <w:rPr>
                <w:rFonts w:ascii="Garamond" w:hAnsi="Garamond"/>
                <w:bCs/>
                <w:iCs/>
                <w:sz w:val="20"/>
                <w:szCs w:val="20"/>
                <w:vertAlign w:val="superscript"/>
              </w:rPr>
              <w:t>b1</w:t>
            </w:r>
          </w:p>
        </w:tc>
        <w:tc>
          <w:tcPr>
            <w:tcW w:w="991" w:type="pct"/>
          </w:tcPr>
          <w:p w14:paraId="2F051ABA"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2.95 ± 0.22</w:t>
            </w:r>
            <w:r w:rsidRPr="00883BE5">
              <w:rPr>
                <w:rFonts w:ascii="Garamond" w:hAnsi="Garamond"/>
                <w:bCs/>
                <w:iCs/>
                <w:sz w:val="20"/>
                <w:szCs w:val="20"/>
                <w:vertAlign w:val="superscript"/>
              </w:rPr>
              <w:t>b1</w:t>
            </w:r>
          </w:p>
        </w:tc>
      </w:tr>
      <w:tr w:rsidR="00883BE5" w:rsidRPr="00883BE5" w14:paraId="73591E99" w14:textId="77777777" w:rsidTr="00070E21">
        <w:trPr>
          <w:trHeight w:val="174"/>
        </w:trPr>
        <w:tc>
          <w:tcPr>
            <w:tcW w:w="2033" w:type="pct"/>
          </w:tcPr>
          <w:p w14:paraId="173587FA"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C (Kerosene Exposure)</w:t>
            </w:r>
          </w:p>
        </w:tc>
        <w:tc>
          <w:tcPr>
            <w:tcW w:w="984" w:type="pct"/>
          </w:tcPr>
          <w:p w14:paraId="7BAE4A46" w14:textId="77777777" w:rsidR="00883BE5" w:rsidRPr="00883BE5" w:rsidRDefault="00883BE5" w:rsidP="00883BE5">
            <w:pPr>
              <w:spacing w:line="259" w:lineRule="auto"/>
              <w:jc w:val="both"/>
              <w:rPr>
                <w:rFonts w:ascii="Garamond" w:hAnsi="Garamond"/>
                <w:bCs/>
                <w:iCs/>
                <w:sz w:val="20"/>
                <w:szCs w:val="20"/>
                <w:vertAlign w:val="superscript"/>
              </w:rPr>
            </w:pPr>
            <w:r w:rsidRPr="00883BE5">
              <w:rPr>
                <w:rFonts w:ascii="Garamond" w:hAnsi="Garamond"/>
                <w:bCs/>
                <w:iCs/>
                <w:sz w:val="20"/>
                <w:szCs w:val="20"/>
              </w:rPr>
              <w:t>3.74 ± 0.57</w:t>
            </w:r>
            <w:r w:rsidRPr="00883BE5">
              <w:rPr>
                <w:rFonts w:ascii="Garamond" w:hAnsi="Garamond"/>
                <w:bCs/>
                <w:iCs/>
                <w:sz w:val="20"/>
                <w:szCs w:val="20"/>
                <w:vertAlign w:val="superscript"/>
              </w:rPr>
              <w:t>a1</w:t>
            </w:r>
          </w:p>
        </w:tc>
        <w:tc>
          <w:tcPr>
            <w:tcW w:w="991" w:type="pct"/>
          </w:tcPr>
          <w:p w14:paraId="68645211"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2.53 ± 0.35</w:t>
            </w:r>
            <w:r w:rsidRPr="00883BE5">
              <w:rPr>
                <w:rFonts w:ascii="Garamond" w:hAnsi="Garamond"/>
                <w:bCs/>
                <w:iCs/>
                <w:sz w:val="20"/>
                <w:szCs w:val="20"/>
                <w:vertAlign w:val="superscript"/>
              </w:rPr>
              <w:t>c1</w:t>
            </w:r>
          </w:p>
        </w:tc>
        <w:tc>
          <w:tcPr>
            <w:tcW w:w="991" w:type="pct"/>
          </w:tcPr>
          <w:p w14:paraId="6BAD5314"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4.50 ± 1.07</w:t>
            </w:r>
            <w:r w:rsidRPr="00883BE5">
              <w:rPr>
                <w:rFonts w:ascii="Garamond" w:hAnsi="Garamond"/>
                <w:bCs/>
                <w:iCs/>
                <w:sz w:val="20"/>
                <w:szCs w:val="20"/>
                <w:vertAlign w:val="superscript"/>
              </w:rPr>
              <w:t>c2</w:t>
            </w:r>
          </w:p>
        </w:tc>
      </w:tr>
      <w:tr w:rsidR="00883BE5" w:rsidRPr="00883BE5" w14:paraId="1B513FDE" w14:textId="77777777" w:rsidTr="00070E21">
        <w:trPr>
          <w:trHeight w:val="78"/>
        </w:trPr>
        <w:tc>
          <w:tcPr>
            <w:tcW w:w="2033" w:type="pct"/>
          </w:tcPr>
          <w:p w14:paraId="3CF7C8FF"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D (Diesel Exposure)</w:t>
            </w:r>
          </w:p>
        </w:tc>
        <w:tc>
          <w:tcPr>
            <w:tcW w:w="984" w:type="pct"/>
          </w:tcPr>
          <w:p w14:paraId="08E6AA65"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3.11 ± 0.41</w:t>
            </w:r>
            <w:r w:rsidRPr="00883BE5">
              <w:rPr>
                <w:rFonts w:ascii="Garamond" w:hAnsi="Garamond"/>
                <w:bCs/>
                <w:iCs/>
                <w:sz w:val="20"/>
                <w:szCs w:val="20"/>
                <w:vertAlign w:val="superscript"/>
              </w:rPr>
              <w:t>a1</w:t>
            </w:r>
          </w:p>
        </w:tc>
        <w:tc>
          <w:tcPr>
            <w:tcW w:w="991" w:type="pct"/>
          </w:tcPr>
          <w:p w14:paraId="14238A4F"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2.43 ± 0.55</w:t>
            </w:r>
            <w:r w:rsidRPr="00883BE5">
              <w:rPr>
                <w:rFonts w:ascii="Garamond" w:hAnsi="Garamond"/>
                <w:bCs/>
                <w:iCs/>
                <w:sz w:val="20"/>
                <w:szCs w:val="20"/>
                <w:vertAlign w:val="superscript"/>
              </w:rPr>
              <w:t>b1</w:t>
            </w:r>
          </w:p>
        </w:tc>
        <w:tc>
          <w:tcPr>
            <w:tcW w:w="991" w:type="pct"/>
          </w:tcPr>
          <w:p w14:paraId="327DB338" w14:textId="77777777" w:rsidR="00883BE5" w:rsidRPr="00883BE5" w:rsidRDefault="00883BE5" w:rsidP="00883BE5">
            <w:pPr>
              <w:spacing w:line="259" w:lineRule="auto"/>
              <w:jc w:val="both"/>
              <w:rPr>
                <w:rFonts w:ascii="Garamond" w:hAnsi="Garamond"/>
                <w:bCs/>
                <w:iCs/>
                <w:sz w:val="20"/>
                <w:szCs w:val="20"/>
              </w:rPr>
            </w:pPr>
            <w:bookmarkStart w:id="20" w:name="_Hlk184822949"/>
            <w:r w:rsidRPr="00883BE5">
              <w:rPr>
                <w:rFonts w:ascii="Garamond" w:hAnsi="Garamond"/>
                <w:bCs/>
                <w:iCs/>
                <w:sz w:val="20"/>
                <w:szCs w:val="20"/>
              </w:rPr>
              <w:t>1.60 ± 0.16</w:t>
            </w:r>
            <w:bookmarkEnd w:id="20"/>
            <w:r w:rsidRPr="00883BE5">
              <w:rPr>
                <w:rFonts w:ascii="Garamond" w:hAnsi="Garamond"/>
                <w:bCs/>
                <w:iCs/>
                <w:sz w:val="20"/>
                <w:szCs w:val="20"/>
                <w:vertAlign w:val="superscript"/>
              </w:rPr>
              <w:t>a1</w:t>
            </w:r>
          </w:p>
        </w:tc>
      </w:tr>
      <w:tr w:rsidR="00883BE5" w:rsidRPr="00883BE5" w14:paraId="36FCF729" w14:textId="77777777" w:rsidTr="00070E21">
        <w:trPr>
          <w:trHeight w:val="109"/>
        </w:trPr>
        <w:tc>
          <w:tcPr>
            <w:tcW w:w="2033" w:type="pct"/>
          </w:tcPr>
          <w:p w14:paraId="170BD6EE"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E (Mixed PP)</w:t>
            </w:r>
          </w:p>
        </w:tc>
        <w:tc>
          <w:tcPr>
            <w:tcW w:w="984" w:type="pct"/>
          </w:tcPr>
          <w:p w14:paraId="3C41338A" w14:textId="77777777" w:rsidR="00883BE5" w:rsidRPr="00883BE5" w:rsidRDefault="00883BE5" w:rsidP="00883BE5">
            <w:pPr>
              <w:spacing w:line="259" w:lineRule="auto"/>
              <w:jc w:val="both"/>
              <w:rPr>
                <w:rFonts w:ascii="Garamond" w:hAnsi="Garamond"/>
                <w:bCs/>
                <w:iCs/>
                <w:sz w:val="20"/>
                <w:szCs w:val="20"/>
                <w:vertAlign w:val="superscript"/>
              </w:rPr>
            </w:pPr>
            <w:r w:rsidRPr="00883BE5">
              <w:rPr>
                <w:rFonts w:ascii="Garamond" w:hAnsi="Garamond"/>
                <w:bCs/>
                <w:iCs/>
                <w:sz w:val="20"/>
                <w:szCs w:val="20"/>
              </w:rPr>
              <w:t>4.59 ± 0.32</w:t>
            </w:r>
            <w:r w:rsidRPr="00883BE5">
              <w:rPr>
                <w:rFonts w:ascii="Garamond" w:hAnsi="Garamond"/>
                <w:bCs/>
                <w:iCs/>
                <w:sz w:val="20"/>
                <w:szCs w:val="20"/>
                <w:vertAlign w:val="superscript"/>
              </w:rPr>
              <w:t>a2</w:t>
            </w:r>
          </w:p>
        </w:tc>
        <w:tc>
          <w:tcPr>
            <w:tcW w:w="991" w:type="pct"/>
          </w:tcPr>
          <w:p w14:paraId="2C630F20"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2.02 ± 0.06</w:t>
            </w:r>
            <w:r w:rsidRPr="00883BE5">
              <w:rPr>
                <w:rFonts w:ascii="Garamond" w:hAnsi="Garamond"/>
                <w:bCs/>
                <w:iCs/>
                <w:sz w:val="20"/>
                <w:szCs w:val="20"/>
                <w:vertAlign w:val="superscript"/>
              </w:rPr>
              <w:t>b1</w:t>
            </w:r>
          </w:p>
        </w:tc>
        <w:tc>
          <w:tcPr>
            <w:tcW w:w="991" w:type="pct"/>
          </w:tcPr>
          <w:p w14:paraId="6F47F7DE" w14:textId="77777777" w:rsidR="00883BE5" w:rsidRPr="00883BE5" w:rsidRDefault="00883BE5" w:rsidP="00883BE5">
            <w:pPr>
              <w:spacing w:line="259" w:lineRule="auto"/>
              <w:jc w:val="both"/>
              <w:rPr>
                <w:rFonts w:ascii="Garamond" w:hAnsi="Garamond"/>
                <w:bCs/>
                <w:iCs/>
                <w:sz w:val="20"/>
                <w:szCs w:val="20"/>
              </w:rPr>
            </w:pPr>
            <w:r w:rsidRPr="00883BE5">
              <w:rPr>
                <w:rFonts w:ascii="Garamond" w:hAnsi="Garamond"/>
                <w:bCs/>
                <w:iCs/>
                <w:sz w:val="20"/>
                <w:szCs w:val="20"/>
              </w:rPr>
              <w:t>1.20 ± 0.14</w:t>
            </w:r>
            <w:r w:rsidRPr="00883BE5">
              <w:rPr>
                <w:rFonts w:ascii="Garamond" w:hAnsi="Garamond"/>
                <w:bCs/>
                <w:iCs/>
                <w:sz w:val="20"/>
                <w:szCs w:val="20"/>
                <w:vertAlign w:val="superscript"/>
              </w:rPr>
              <w:t>a1</w:t>
            </w:r>
          </w:p>
        </w:tc>
      </w:tr>
    </w:tbl>
    <w:p w14:paraId="3AC906A9" w14:textId="77777777" w:rsidR="00070E21" w:rsidRDefault="00070E21" w:rsidP="00883BE5">
      <w:pPr>
        <w:spacing w:line="259" w:lineRule="auto"/>
        <w:jc w:val="both"/>
        <w:rPr>
          <w:rFonts w:ascii="Garamond" w:hAnsi="Garamond"/>
          <w:b/>
          <w:bCs/>
          <w:iCs/>
          <w:sz w:val="20"/>
          <w:szCs w:val="20"/>
        </w:rPr>
      </w:pPr>
    </w:p>
    <w:p w14:paraId="21A2AEF2" w14:textId="20DF8A4A" w:rsidR="00883BE5" w:rsidRPr="00883BE5" w:rsidRDefault="00883BE5" w:rsidP="00883BE5">
      <w:pPr>
        <w:spacing w:line="259" w:lineRule="auto"/>
        <w:jc w:val="both"/>
        <w:rPr>
          <w:rFonts w:ascii="Garamond" w:hAnsi="Garamond"/>
          <w:b/>
          <w:bCs/>
          <w:iCs/>
          <w:sz w:val="20"/>
          <w:szCs w:val="20"/>
        </w:rPr>
      </w:pPr>
      <w:r w:rsidRPr="00883BE5">
        <w:rPr>
          <w:rFonts w:ascii="Garamond" w:hAnsi="Garamond"/>
          <w:b/>
          <w:bCs/>
          <w:iCs/>
          <w:sz w:val="20"/>
          <w:szCs w:val="20"/>
        </w:rPr>
        <w:t xml:space="preserve">The values are expressed as (mean ± SEM) </w:t>
      </w:r>
    </w:p>
    <w:p w14:paraId="791E4597" w14:textId="77777777" w:rsidR="00883BE5" w:rsidRPr="00883BE5" w:rsidRDefault="00883BE5" w:rsidP="00883BE5">
      <w:pPr>
        <w:spacing w:line="259" w:lineRule="auto"/>
        <w:jc w:val="both"/>
        <w:rPr>
          <w:rFonts w:ascii="Garamond" w:hAnsi="Garamond"/>
          <w:bCs/>
          <w:i/>
          <w:iCs/>
          <w:sz w:val="20"/>
          <w:szCs w:val="20"/>
        </w:rPr>
      </w:pPr>
      <w:r w:rsidRPr="00883BE5">
        <w:rPr>
          <w:rFonts w:ascii="Garamond" w:hAnsi="Garamond"/>
          <w:bCs/>
          <w:i/>
          <w:iCs/>
          <w:sz w:val="20"/>
          <w:szCs w:val="20"/>
        </w:rPr>
        <w:t>Mean values with different letters of the alphabet down the column are significantly different (p&lt;0.05) while mean values with the same figures or numbers as superscript are not significantly different (p&gt;0.05).</w:t>
      </w:r>
    </w:p>
    <w:p w14:paraId="21D9FA21" w14:textId="77777777" w:rsidR="00042A0F" w:rsidRDefault="00042A0F" w:rsidP="007A1526">
      <w:pPr>
        <w:spacing w:line="259" w:lineRule="auto"/>
        <w:jc w:val="both"/>
        <w:rPr>
          <w:rFonts w:ascii="Garamond" w:hAnsi="Garamond"/>
          <w:bCs/>
          <w:iCs/>
          <w:sz w:val="20"/>
          <w:szCs w:val="20"/>
        </w:rPr>
      </w:pPr>
    </w:p>
    <w:p w14:paraId="48CA1A26" w14:textId="77777777" w:rsidR="00042A0F" w:rsidRDefault="00042A0F" w:rsidP="007A1526">
      <w:pPr>
        <w:spacing w:line="259" w:lineRule="auto"/>
        <w:jc w:val="both"/>
        <w:rPr>
          <w:rFonts w:ascii="Garamond" w:hAnsi="Garamond"/>
          <w:bCs/>
          <w:iCs/>
          <w:sz w:val="20"/>
          <w:szCs w:val="20"/>
        </w:rPr>
        <w:sectPr w:rsidR="00042A0F" w:rsidSect="00883BE5">
          <w:pgSz w:w="12240" w:h="15840"/>
          <w:pgMar w:top="1440" w:right="1440" w:bottom="1440" w:left="1440" w:header="720" w:footer="720" w:gutter="0"/>
          <w:cols w:space="720"/>
          <w:titlePg/>
          <w:docGrid w:linePitch="360"/>
        </w:sectPr>
      </w:pPr>
    </w:p>
    <w:p w14:paraId="235D56C3" w14:textId="0EFFC724" w:rsidR="00042A0F" w:rsidRPr="00042A0F" w:rsidRDefault="0067535C" w:rsidP="00042A0F">
      <w:pPr>
        <w:spacing w:line="259" w:lineRule="auto"/>
        <w:jc w:val="both"/>
        <w:rPr>
          <w:rFonts w:ascii="Garamond" w:hAnsi="Garamond"/>
          <w:b/>
          <w:bCs/>
          <w:iCs/>
          <w:sz w:val="22"/>
          <w:szCs w:val="22"/>
        </w:rPr>
      </w:pPr>
      <w:r w:rsidRPr="00042A0F">
        <w:rPr>
          <w:rFonts w:ascii="Garamond" w:hAnsi="Garamond"/>
          <w:b/>
          <w:bCs/>
          <w:iCs/>
          <w:sz w:val="22"/>
          <w:szCs w:val="22"/>
        </w:rPr>
        <w:t>DISCUSSION</w:t>
      </w:r>
    </w:p>
    <w:p w14:paraId="4ED63E65" w14:textId="77777777" w:rsidR="00042A0F" w:rsidRPr="005F0E8C" w:rsidRDefault="00042A0F" w:rsidP="00042A0F">
      <w:pPr>
        <w:spacing w:line="259" w:lineRule="auto"/>
        <w:jc w:val="both"/>
        <w:rPr>
          <w:rFonts w:ascii="Garamond" w:hAnsi="Garamond"/>
          <w:b/>
          <w:bCs/>
          <w:i/>
          <w:sz w:val="20"/>
          <w:szCs w:val="20"/>
        </w:rPr>
      </w:pPr>
      <w:r w:rsidRPr="005F0E8C">
        <w:rPr>
          <w:rFonts w:ascii="Garamond" w:hAnsi="Garamond"/>
          <w:b/>
          <w:bCs/>
          <w:i/>
          <w:sz w:val="20"/>
          <w:szCs w:val="20"/>
        </w:rPr>
        <w:t>Oxidative stress parameters of male Wistar albino rats exposed to petroleum products</w:t>
      </w:r>
    </w:p>
    <w:p w14:paraId="6096EBC3" w14:textId="2E92AF4F" w:rsid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The current research demonstrated that the inhalation of petroleum products significantly increased H</w:t>
      </w:r>
      <w:r w:rsidRPr="00042A0F">
        <w:rPr>
          <w:rFonts w:ascii="Garamond" w:hAnsi="Garamond"/>
          <w:bCs/>
          <w:iCs/>
          <w:sz w:val="20"/>
          <w:szCs w:val="20"/>
          <w:vertAlign w:val="subscript"/>
        </w:rPr>
        <w:t>2</w:t>
      </w:r>
      <w:r w:rsidRPr="00042A0F">
        <w:rPr>
          <w:rFonts w:ascii="Garamond" w:hAnsi="Garamond"/>
          <w:bCs/>
          <w:iCs/>
          <w:sz w:val="20"/>
          <w:szCs w:val="20"/>
        </w:rPr>
        <w:t>O</w:t>
      </w:r>
      <w:r w:rsidRPr="00042A0F">
        <w:rPr>
          <w:rFonts w:ascii="Garamond" w:hAnsi="Garamond"/>
          <w:bCs/>
          <w:iCs/>
          <w:sz w:val="20"/>
          <w:szCs w:val="20"/>
          <w:vertAlign w:val="subscript"/>
        </w:rPr>
        <w:t>2</w:t>
      </w:r>
      <w:r w:rsidRPr="00042A0F">
        <w:rPr>
          <w:rFonts w:ascii="Garamond" w:hAnsi="Garamond"/>
          <w:bCs/>
          <w:iCs/>
          <w:sz w:val="20"/>
          <w:szCs w:val="20"/>
        </w:rPr>
        <w:t xml:space="preserve"> activity in a time-dependent manner, indicating that petroleum </w:t>
      </w:r>
      <w:r w:rsidRPr="00042A0F">
        <w:rPr>
          <w:rFonts w:ascii="Garamond" w:hAnsi="Garamond"/>
          <w:bCs/>
          <w:iCs/>
          <w:sz w:val="20"/>
          <w:szCs w:val="20"/>
        </w:rPr>
        <w:lastRenderedPageBreak/>
        <w:t xml:space="preserve">products induced high antioxidant activity. These results are consistent with the work of </w:t>
      </w:r>
      <w:proofErr w:type="spellStart"/>
      <w:r w:rsidRPr="00042A0F">
        <w:rPr>
          <w:rFonts w:ascii="Garamond" w:hAnsi="Garamond"/>
          <w:bCs/>
          <w:iCs/>
          <w:sz w:val="20"/>
          <w:szCs w:val="20"/>
        </w:rPr>
        <w:t>Moronkeji</w:t>
      </w:r>
      <w:proofErr w:type="spellEnd"/>
      <w:r w:rsidRPr="00042A0F">
        <w:rPr>
          <w:rFonts w:ascii="Garamond" w:hAnsi="Garamond"/>
          <w:bCs/>
          <w:iCs/>
          <w:sz w:val="20"/>
          <w:szCs w:val="20"/>
        </w:rPr>
        <w:t xml:space="preserve">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16</w:t>
      </w:r>
      <w:r w:rsidRPr="00042A0F">
        <w:rPr>
          <w:rFonts w:ascii="Garamond" w:hAnsi="Garamond"/>
          <w:bCs/>
          <w:iCs/>
          <w:sz w:val="20"/>
          <w:szCs w:val="20"/>
        </w:rPr>
        <w:t>, who found that exposure to gasoline generator fumes caused a rise in H</w:t>
      </w:r>
      <w:r w:rsidRPr="00042A0F">
        <w:rPr>
          <w:rFonts w:ascii="Cambria Math" w:hAnsi="Cambria Math" w:cs="Cambria Math"/>
          <w:bCs/>
          <w:iCs/>
          <w:sz w:val="20"/>
          <w:szCs w:val="20"/>
        </w:rPr>
        <w:t>₂</w:t>
      </w:r>
      <w:r w:rsidRPr="00042A0F">
        <w:rPr>
          <w:rFonts w:ascii="Garamond" w:hAnsi="Garamond"/>
          <w:bCs/>
          <w:iCs/>
          <w:sz w:val="20"/>
          <w:szCs w:val="20"/>
        </w:rPr>
        <w:t>O</w:t>
      </w:r>
      <w:r w:rsidRPr="00042A0F">
        <w:rPr>
          <w:rFonts w:ascii="Cambria Math" w:hAnsi="Cambria Math" w:cs="Cambria Math"/>
          <w:bCs/>
          <w:iCs/>
          <w:sz w:val="20"/>
          <w:szCs w:val="20"/>
        </w:rPr>
        <w:t>₂</w:t>
      </w:r>
      <w:r w:rsidRPr="00042A0F">
        <w:rPr>
          <w:rFonts w:ascii="Garamond" w:hAnsi="Garamond"/>
          <w:bCs/>
          <w:iCs/>
          <w:sz w:val="20"/>
          <w:szCs w:val="20"/>
        </w:rPr>
        <w:t xml:space="preserve"> levels in male Wistar rats, depending on the duration of exposure. </w:t>
      </w:r>
    </w:p>
    <w:p w14:paraId="0F6CC880" w14:textId="4C5C2D6F"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The present study showed that petroleum product inhalation significantly increased nitric oxide activity in a time-dependent manner. The results are in agreement with </w:t>
      </w:r>
      <w:proofErr w:type="spellStart"/>
      <w:r w:rsidRPr="00042A0F">
        <w:rPr>
          <w:rFonts w:ascii="Garamond" w:hAnsi="Garamond"/>
          <w:bCs/>
          <w:iCs/>
          <w:sz w:val="20"/>
          <w:szCs w:val="20"/>
        </w:rPr>
        <w:t>Moronkeji</w:t>
      </w:r>
      <w:proofErr w:type="spellEnd"/>
      <w:r w:rsidRPr="00042A0F">
        <w:rPr>
          <w:rFonts w:ascii="Garamond" w:hAnsi="Garamond"/>
          <w:bCs/>
          <w:iCs/>
          <w:sz w:val="20"/>
          <w:szCs w:val="20"/>
        </w:rPr>
        <w:t xml:space="preserve">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16</w:t>
      </w:r>
      <w:r w:rsidRPr="00042A0F">
        <w:rPr>
          <w:rFonts w:ascii="Garamond" w:hAnsi="Garamond"/>
          <w:bCs/>
          <w:iCs/>
          <w:sz w:val="20"/>
          <w:szCs w:val="20"/>
        </w:rPr>
        <w:t xml:space="preserve">, who reported increased NO levels in male Wistar rats exposed to gasoline generator emissions. Their study highlighted the role of air pollutants in promoting intracellular oxidative stress, with the increase in NO attributed to prolonged exposure and accumulation of toxic byproducts. However, the decline in NO levels observed by Oni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17</w:t>
      </w:r>
      <w:r w:rsidRPr="00042A0F">
        <w:rPr>
          <w:rFonts w:ascii="Garamond" w:hAnsi="Garamond"/>
          <w:bCs/>
          <w:iCs/>
          <w:sz w:val="20"/>
          <w:szCs w:val="20"/>
        </w:rPr>
        <w:t xml:space="preserve"> in mice exposed to polluted groundwater suggests that prolonged or indirect exposure routes may impair NO synthesis or increase its breakdown due to persistent oxidative damage. The conflicting outcomes may stem from variations in experimental conditions. </w:t>
      </w:r>
    </w:p>
    <w:p w14:paraId="52124D86" w14:textId="77777777"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The study revealed that petroleum product inhalation significantly decreased GSH levels, indicating poorer health and increased susceptibility to oxidative stress. This finding agreed with Khan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18</w:t>
      </w:r>
      <w:r w:rsidRPr="00042A0F">
        <w:rPr>
          <w:rFonts w:ascii="Garamond" w:hAnsi="Garamond"/>
          <w:bCs/>
          <w:iCs/>
          <w:sz w:val="20"/>
          <w:szCs w:val="20"/>
        </w:rPr>
        <w:t xml:space="preserve">, who reported a decline in intracellular GSH levels following exposure to crude oil paint, demonstrating the harmful effects of hydrocarbon-based substances on antioxidant systems. The present study showed that petroleum product inhalation significantly decreased superoxide dismutase activity. This outcome supports the work of </w:t>
      </w:r>
      <w:proofErr w:type="spellStart"/>
      <w:r w:rsidRPr="00042A0F">
        <w:rPr>
          <w:rFonts w:ascii="Garamond" w:hAnsi="Garamond"/>
          <w:bCs/>
          <w:iCs/>
          <w:sz w:val="20"/>
          <w:szCs w:val="20"/>
        </w:rPr>
        <w:t>Kemabonta</w:t>
      </w:r>
      <w:proofErr w:type="spellEnd"/>
      <w:r w:rsidRPr="00042A0F">
        <w:rPr>
          <w:rFonts w:ascii="Garamond" w:hAnsi="Garamond"/>
          <w:bCs/>
          <w:iCs/>
          <w:sz w:val="20"/>
          <w:szCs w:val="20"/>
        </w:rPr>
        <w:t xml:space="preserve">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5</w:t>
      </w:r>
      <w:r w:rsidRPr="00042A0F">
        <w:rPr>
          <w:rFonts w:ascii="Garamond" w:hAnsi="Garamond"/>
          <w:bCs/>
          <w:iCs/>
          <w:sz w:val="20"/>
          <w:szCs w:val="20"/>
        </w:rPr>
        <w:t xml:space="preserve"> and Azeez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19</w:t>
      </w:r>
      <w:r w:rsidRPr="00042A0F">
        <w:rPr>
          <w:rFonts w:ascii="Garamond" w:hAnsi="Garamond"/>
          <w:bCs/>
          <w:iCs/>
          <w:sz w:val="20"/>
          <w:szCs w:val="20"/>
        </w:rPr>
        <w:t xml:space="preserve"> who documented a notable decrease in SOD activity in animals exposed to petroleum </w:t>
      </w:r>
      <w:proofErr w:type="spellStart"/>
      <w:r w:rsidRPr="00042A0F">
        <w:rPr>
          <w:rFonts w:ascii="Garamond" w:hAnsi="Garamond"/>
          <w:bCs/>
          <w:iCs/>
          <w:sz w:val="20"/>
          <w:szCs w:val="20"/>
        </w:rPr>
        <w:t>vapours</w:t>
      </w:r>
      <w:proofErr w:type="spellEnd"/>
      <w:r w:rsidRPr="00042A0F">
        <w:rPr>
          <w:rFonts w:ascii="Garamond" w:hAnsi="Garamond"/>
          <w:bCs/>
          <w:iCs/>
          <w:sz w:val="20"/>
          <w:szCs w:val="20"/>
        </w:rPr>
        <w:t xml:space="preserve">, highlighting the vulnerability of antioxidant enzymes to hydrocarbon pollutants. </w:t>
      </w:r>
    </w:p>
    <w:p w14:paraId="2334E8B8" w14:textId="77777777"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The present study demonstrated that petroleum product inhalation significantly increased the malondialdehyde level. This is consistent with the work of </w:t>
      </w:r>
      <w:proofErr w:type="spellStart"/>
      <w:r w:rsidRPr="00042A0F">
        <w:rPr>
          <w:rFonts w:ascii="Garamond" w:hAnsi="Garamond"/>
          <w:bCs/>
          <w:iCs/>
          <w:sz w:val="20"/>
          <w:szCs w:val="20"/>
        </w:rPr>
        <w:t>Owagboriaye</w:t>
      </w:r>
      <w:proofErr w:type="spellEnd"/>
      <w:r w:rsidRPr="00042A0F">
        <w:rPr>
          <w:rFonts w:ascii="Garamond" w:hAnsi="Garamond"/>
          <w:bCs/>
          <w:iCs/>
          <w:sz w:val="20"/>
          <w:szCs w:val="20"/>
        </w:rPr>
        <w:t xml:space="preserve">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20</w:t>
      </w:r>
      <w:r w:rsidRPr="00042A0F">
        <w:rPr>
          <w:rFonts w:ascii="Garamond" w:hAnsi="Garamond"/>
          <w:bCs/>
          <w:iCs/>
          <w:sz w:val="20"/>
          <w:szCs w:val="20"/>
        </w:rPr>
        <w:t xml:space="preserve">; Fang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21</w:t>
      </w:r>
      <w:r w:rsidRPr="00042A0F">
        <w:rPr>
          <w:rFonts w:ascii="Garamond" w:hAnsi="Garamond"/>
          <w:bCs/>
          <w:iCs/>
          <w:sz w:val="20"/>
          <w:szCs w:val="20"/>
        </w:rPr>
        <w:t xml:space="preserve">; </w:t>
      </w:r>
      <w:proofErr w:type="spellStart"/>
      <w:r w:rsidRPr="00042A0F">
        <w:rPr>
          <w:rFonts w:ascii="Garamond" w:hAnsi="Garamond"/>
          <w:bCs/>
          <w:iCs/>
          <w:sz w:val="20"/>
          <w:szCs w:val="20"/>
        </w:rPr>
        <w:t>Moronkeji</w:t>
      </w:r>
      <w:proofErr w:type="spellEnd"/>
      <w:r w:rsidRPr="00042A0F">
        <w:rPr>
          <w:rFonts w:ascii="Garamond" w:hAnsi="Garamond"/>
          <w:bCs/>
          <w:iCs/>
          <w:sz w:val="20"/>
          <w:szCs w:val="20"/>
        </w:rPr>
        <w:t xml:space="preserve"> </w:t>
      </w:r>
      <w:r w:rsidRPr="00042A0F">
        <w:rPr>
          <w:rFonts w:ascii="Garamond" w:hAnsi="Garamond"/>
          <w:bCs/>
          <w:i/>
          <w:iCs/>
          <w:sz w:val="20"/>
          <w:szCs w:val="20"/>
        </w:rPr>
        <w:t>et al</w:t>
      </w:r>
      <w:r w:rsidRPr="00042A0F">
        <w:rPr>
          <w:rFonts w:ascii="Garamond" w:hAnsi="Garamond"/>
          <w:bCs/>
          <w:iCs/>
          <w:sz w:val="20"/>
          <w:szCs w:val="20"/>
        </w:rPr>
        <w:t>.</w:t>
      </w:r>
      <w:r w:rsidRPr="00042A0F">
        <w:rPr>
          <w:rFonts w:ascii="Garamond" w:hAnsi="Garamond"/>
          <w:bCs/>
          <w:iCs/>
          <w:sz w:val="20"/>
          <w:szCs w:val="20"/>
          <w:vertAlign w:val="superscript"/>
        </w:rPr>
        <w:t>16</w:t>
      </w:r>
      <w:r w:rsidRPr="00042A0F">
        <w:rPr>
          <w:rFonts w:ascii="Garamond" w:hAnsi="Garamond"/>
          <w:bCs/>
          <w:iCs/>
          <w:sz w:val="20"/>
          <w:szCs w:val="20"/>
        </w:rPr>
        <w:t xml:space="preserve"> who demonstrated that increased MDA in lung tissue corresponds with heightened lipid peroxidation following inhalation of harmful airborne chemicals. </w:t>
      </w:r>
    </w:p>
    <w:p w14:paraId="16E52018" w14:textId="77777777" w:rsidR="00042A0F" w:rsidRDefault="00042A0F" w:rsidP="00042A0F">
      <w:pPr>
        <w:spacing w:line="259" w:lineRule="auto"/>
        <w:jc w:val="both"/>
        <w:rPr>
          <w:rFonts w:ascii="Garamond" w:hAnsi="Garamond"/>
          <w:b/>
          <w:bCs/>
          <w:iCs/>
          <w:sz w:val="20"/>
          <w:szCs w:val="20"/>
        </w:rPr>
      </w:pPr>
    </w:p>
    <w:p w14:paraId="3FD0A8EB" w14:textId="425D7883" w:rsidR="00042A0F" w:rsidRPr="00042A0F" w:rsidRDefault="00042A0F" w:rsidP="00042A0F">
      <w:pPr>
        <w:spacing w:line="259" w:lineRule="auto"/>
        <w:jc w:val="both"/>
        <w:rPr>
          <w:rFonts w:ascii="Garamond" w:hAnsi="Garamond"/>
          <w:b/>
          <w:bCs/>
          <w:iCs/>
          <w:sz w:val="20"/>
          <w:szCs w:val="20"/>
        </w:rPr>
      </w:pPr>
      <w:r w:rsidRPr="00042A0F">
        <w:rPr>
          <w:rFonts w:ascii="Garamond" w:hAnsi="Garamond"/>
          <w:b/>
          <w:bCs/>
          <w:iCs/>
          <w:sz w:val="20"/>
          <w:szCs w:val="20"/>
        </w:rPr>
        <w:t xml:space="preserve">Strengths and limitations of the study </w:t>
      </w:r>
    </w:p>
    <w:p w14:paraId="511E5A9A" w14:textId="0747DCF6"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The study's examination of the impact of petroleum product inhalation on oxidative stress measures in male Wistar albino rats exhibits a number of strengths. The adoption of a controlled experimental design with a well-defined control group, which enables efficient comparison between exposed and non-exposed animals, </w:t>
      </w:r>
      <w:r w:rsidRPr="00042A0F">
        <w:rPr>
          <w:rFonts w:ascii="Garamond" w:hAnsi="Garamond"/>
          <w:bCs/>
          <w:iCs/>
          <w:sz w:val="20"/>
          <w:szCs w:val="20"/>
        </w:rPr>
        <w:t>is one of its main advantages. The scientific validity of the results is further improved by the use of Wistar albino rats, a widely used model in toxicological research. The study also assesses several biomarkers of oxidative stress, such as nitric oxide, reduced glutathione, superoxide dismutase, hydrogen peroxide scavenging activity, and malondialdehyde.</w:t>
      </w:r>
    </w:p>
    <w:p w14:paraId="55DF0640" w14:textId="6AF4707A" w:rsid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Studying multiple biochemical markers leads to greater insight of oxidative damage and antioxidant defense systems. Another strength is the comparison of several petroleum compounds, such as petrol (PMS), kerosene, diesel, and their mixtures, which increases the data' relevance to real-world environmental exposures. </w:t>
      </w:r>
      <w:r w:rsidRPr="00042A0F">
        <w:rPr>
          <w:rFonts w:ascii="Garamond" w:hAnsi="Garamond"/>
          <w:bCs/>
          <w:iCs/>
          <w:sz w:val="20"/>
          <w:szCs w:val="20"/>
        </w:rPr>
        <w:br/>
        <w:t>Despite these strengths, the research has several limitations. The very small sample size of forty-five rats may restrict the statistical power and generalizability of the findings. Furthermore, the exposure parameters, such as the exact vapor concentration and duration of daily treatment, were not properly stated, potentially affecting repeatability. The study also used only male rats and lasted only 28 days, limiting insight into long-term or sex-related consequences.</w:t>
      </w:r>
    </w:p>
    <w:p w14:paraId="19BBCA96" w14:textId="77777777" w:rsidR="005F0E8C" w:rsidRPr="00042A0F" w:rsidRDefault="005F0E8C" w:rsidP="00042A0F">
      <w:pPr>
        <w:spacing w:line="259" w:lineRule="auto"/>
        <w:jc w:val="both"/>
        <w:rPr>
          <w:rFonts w:ascii="Garamond" w:hAnsi="Garamond"/>
          <w:bCs/>
          <w:iCs/>
          <w:sz w:val="20"/>
          <w:szCs w:val="20"/>
        </w:rPr>
      </w:pPr>
    </w:p>
    <w:p w14:paraId="3CD94B2F" w14:textId="77777777" w:rsidR="00042A0F" w:rsidRPr="00042A0F" w:rsidRDefault="00042A0F" w:rsidP="00042A0F">
      <w:pPr>
        <w:spacing w:line="259" w:lineRule="auto"/>
        <w:jc w:val="both"/>
        <w:rPr>
          <w:rFonts w:ascii="Garamond" w:hAnsi="Garamond"/>
          <w:b/>
          <w:bCs/>
          <w:iCs/>
          <w:sz w:val="20"/>
          <w:szCs w:val="20"/>
        </w:rPr>
      </w:pPr>
      <w:r w:rsidRPr="00042A0F">
        <w:rPr>
          <w:rFonts w:ascii="Garamond" w:hAnsi="Garamond"/>
          <w:b/>
          <w:bCs/>
          <w:iCs/>
          <w:sz w:val="20"/>
          <w:szCs w:val="20"/>
        </w:rPr>
        <w:t>Implications of the findings</w:t>
      </w:r>
      <w:r w:rsidRPr="00042A0F">
        <w:rPr>
          <w:rFonts w:ascii="Garamond" w:hAnsi="Garamond"/>
          <w:bCs/>
          <w:iCs/>
          <w:sz w:val="20"/>
          <w:szCs w:val="20"/>
        </w:rPr>
        <w:t xml:space="preserve"> </w:t>
      </w:r>
    </w:p>
    <w:p w14:paraId="772625A2" w14:textId="77777777" w:rsid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The study underscores the need for strict environmental regulations and public health interventions to minimize exposure to petroleum products in order to protect vulnerable populations. Further studies are therefore recommended to evaluate the long-term impacts of low doses of petroleum products. Determining the exact concentration inhaled by the animals helps in the establishment of a clearer dose-response relationship and comparison with exposure levels often observed in occupational settings such as gasoline stations and refineries.</w:t>
      </w:r>
    </w:p>
    <w:p w14:paraId="545EC8D6" w14:textId="77777777" w:rsidR="00042A0F" w:rsidRPr="00042A0F" w:rsidRDefault="00042A0F" w:rsidP="00042A0F">
      <w:pPr>
        <w:spacing w:line="259" w:lineRule="auto"/>
        <w:jc w:val="both"/>
        <w:rPr>
          <w:rFonts w:ascii="Garamond" w:hAnsi="Garamond"/>
          <w:bCs/>
          <w:iCs/>
          <w:sz w:val="20"/>
          <w:szCs w:val="20"/>
        </w:rPr>
      </w:pPr>
    </w:p>
    <w:p w14:paraId="0D7EB6B5" w14:textId="77777777"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Extending the length beyond the twenty-eight days used in this study might provide more information about the long-term and cumulative effects of petroleum products inhalation on significant organs. Increasing the sample size to include both male and female animals will strengthen the statistical strength of the findings and allow for the examination of any sex-related differences in susceptibility to petroleum toxicity. Further research should broaden the scope of biochemical indicators studied and combine these findings with a thorough histological evaluation of the lungs and hippocampus. Incorporating behavioral and neurological tests may also </w:t>
      </w:r>
      <w:r w:rsidRPr="00042A0F">
        <w:rPr>
          <w:rFonts w:ascii="Garamond" w:hAnsi="Garamond"/>
          <w:bCs/>
          <w:iCs/>
          <w:sz w:val="20"/>
          <w:szCs w:val="20"/>
        </w:rPr>
        <w:lastRenderedPageBreak/>
        <w:t>assist identify whether oxidative changes in the hippocampus are linked to functional deficits.</w:t>
      </w:r>
    </w:p>
    <w:p w14:paraId="183DEC37" w14:textId="77777777" w:rsidR="00042A0F" w:rsidRDefault="00042A0F" w:rsidP="00042A0F">
      <w:pPr>
        <w:spacing w:line="259" w:lineRule="auto"/>
        <w:jc w:val="both"/>
        <w:rPr>
          <w:rFonts w:ascii="Garamond" w:hAnsi="Garamond"/>
          <w:b/>
          <w:bCs/>
          <w:iCs/>
          <w:sz w:val="22"/>
          <w:szCs w:val="22"/>
        </w:rPr>
      </w:pPr>
    </w:p>
    <w:p w14:paraId="51340529" w14:textId="3598B50B" w:rsidR="00042A0F" w:rsidRPr="00042A0F" w:rsidRDefault="0067535C" w:rsidP="00042A0F">
      <w:pPr>
        <w:spacing w:line="259" w:lineRule="auto"/>
        <w:jc w:val="both"/>
        <w:rPr>
          <w:rFonts w:ascii="Garamond" w:hAnsi="Garamond"/>
          <w:b/>
          <w:bCs/>
          <w:iCs/>
          <w:sz w:val="22"/>
          <w:szCs w:val="22"/>
        </w:rPr>
      </w:pPr>
      <w:r w:rsidRPr="00042A0F">
        <w:rPr>
          <w:rFonts w:ascii="Garamond" w:hAnsi="Garamond"/>
          <w:b/>
          <w:bCs/>
          <w:iCs/>
          <w:sz w:val="22"/>
          <w:szCs w:val="22"/>
        </w:rPr>
        <w:t>CONCLUSION</w:t>
      </w:r>
    </w:p>
    <w:p w14:paraId="53B6D3B4" w14:textId="77777777"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The findings inferred that exposure to petroleum products induces oxidative stress, as evidenced by increased levels of reactive oxygen species and alterations in antioxidant enzyme activity. </w:t>
      </w:r>
    </w:p>
    <w:p w14:paraId="3FC4BD0C" w14:textId="77777777" w:rsidR="005F0E8C" w:rsidRDefault="005F0E8C" w:rsidP="00042A0F">
      <w:pPr>
        <w:spacing w:line="259" w:lineRule="auto"/>
        <w:jc w:val="both"/>
        <w:rPr>
          <w:rFonts w:ascii="Garamond" w:hAnsi="Garamond"/>
          <w:b/>
          <w:bCs/>
          <w:iCs/>
          <w:sz w:val="20"/>
          <w:szCs w:val="20"/>
        </w:rPr>
      </w:pPr>
    </w:p>
    <w:p w14:paraId="27E48A1E" w14:textId="54579A3B" w:rsidR="00042A0F" w:rsidRPr="00042A0F" w:rsidRDefault="00042A0F" w:rsidP="00042A0F">
      <w:pPr>
        <w:spacing w:line="259" w:lineRule="auto"/>
        <w:jc w:val="both"/>
        <w:rPr>
          <w:rFonts w:ascii="Garamond" w:hAnsi="Garamond"/>
          <w:b/>
          <w:bCs/>
          <w:iCs/>
          <w:sz w:val="20"/>
          <w:szCs w:val="20"/>
        </w:rPr>
      </w:pPr>
      <w:r w:rsidRPr="00042A0F">
        <w:rPr>
          <w:rFonts w:ascii="Garamond" w:hAnsi="Garamond"/>
          <w:b/>
          <w:bCs/>
          <w:iCs/>
          <w:sz w:val="20"/>
          <w:szCs w:val="20"/>
        </w:rPr>
        <w:t>Abbreviation and Nomenclature</w:t>
      </w:r>
    </w:p>
    <w:p w14:paraId="05935FB1" w14:textId="3E663F69"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SOD: Superoxide Dismutase</w:t>
      </w:r>
    </w:p>
    <w:p w14:paraId="01CAC506" w14:textId="739B85DE"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H</w:t>
      </w:r>
      <w:r w:rsidRPr="00042A0F">
        <w:rPr>
          <w:rFonts w:ascii="Garamond" w:hAnsi="Garamond"/>
          <w:bCs/>
          <w:iCs/>
          <w:sz w:val="20"/>
          <w:szCs w:val="20"/>
          <w:vertAlign w:val="subscript"/>
        </w:rPr>
        <w:t>2</w:t>
      </w:r>
      <w:r w:rsidRPr="00042A0F">
        <w:rPr>
          <w:rFonts w:ascii="Garamond" w:hAnsi="Garamond"/>
          <w:bCs/>
          <w:iCs/>
          <w:sz w:val="20"/>
          <w:szCs w:val="20"/>
        </w:rPr>
        <w:t>O</w:t>
      </w:r>
      <w:r w:rsidRPr="00042A0F">
        <w:rPr>
          <w:rFonts w:ascii="Garamond" w:hAnsi="Garamond"/>
          <w:bCs/>
          <w:iCs/>
          <w:sz w:val="20"/>
          <w:szCs w:val="20"/>
          <w:vertAlign w:val="subscript"/>
        </w:rPr>
        <w:t>2</w:t>
      </w:r>
      <w:r w:rsidRPr="00042A0F">
        <w:rPr>
          <w:rFonts w:ascii="Garamond" w:hAnsi="Garamond"/>
          <w:bCs/>
          <w:iCs/>
          <w:sz w:val="20"/>
          <w:szCs w:val="20"/>
        </w:rPr>
        <w:t>: Hydrogen Peroxide</w:t>
      </w:r>
      <w:r w:rsidRPr="00042A0F">
        <w:rPr>
          <w:rFonts w:ascii="Garamond" w:hAnsi="Garamond"/>
          <w:bCs/>
          <w:iCs/>
          <w:sz w:val="20"/>
          <w:szCs w:val="20"/>
          <w:vertAlign w:val="subscript"/>
        </w:rPr>
        <w:t xml:space="preserve"> </w:t>
      </w:r>
    </w:p>
    <w:p w14:paraId="5AF521BD" w14:textId="306B96FA"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MDA: Malondialdehyde </w:t>
      </w:r>
    </w:p>
    <w:p w14:paraId="091C3019" w14:textId="2A8BBBEE"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GSH: Reduced Glutathione</w:t>
      </w:r>
    </w:p>
    <w:p w14:paraId="196DF0CC" w14:textId="4DB55B66"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NO: Nitric Oxide</w:t>
      </w:r>
    </w:p>
    <w:p w14:paraId="29BB810D" w14:textId="41802BE6"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ROS: Reactive Oxygen Species</w:t>
      </w:r>
    </w:p>
    <w:p w14:paraId="19529961" w14:textId="6D20FA35"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DNA: Deoxyribonucleic Acid</w:t>
      </w:r>
    </w:p>
    <w:p w14:paraId="10D2E6EC" w14:textId="252BB36C"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PMS: Premium Motor Spirit</w:t>
      </w:r>
    </w:p>
    <w:p w14:paraId="05F1A68F" w14:textId="188F0CEE"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DPK: Dual Purpose Kerosene</w:t>
      </w:r>
    </w:p>
    <w:p w14:paraId="228F5F9E" w14:textId="42EFC002"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NIH: National Institute of Health </w:t>
      </w:r>
    </w:p>
    <w:p w14:paraId="7153F58E" w14:textId="02A5D363"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NNPC: Nigerian National Petroleum Corporation</w:t>
      </w:r>
    </w:p>
    <w:p w14:paraId="3D003B87" w14:textId="2EAB3B75"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EDTA: Ethylenediaminetetraacetic acid</w:t>
      </w:r>
    </w:p>
    <w:p w14:paraId="4CF87618" w14:textId="7A14BDB6"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TBARS: </w:t>
      </w:r>
      <w:proofErr w:type="spellStart"/>
      <w:r w:rsidRPr="00042A0F">
        <w:rPr>
          <w:rFonts w:ascii="Garamond" w:hAnsi="Garamond"/>
          <w:bCs/>
          <w:iCs/>
          <w:sz w:val="20"/>
          <w:szCs w:val="20"/>
        </w:rPr>
        <w:t>Thiobarbituric</w:t>
      </w:r>
      <w:proofErr w:type="spellEnd"/>
      <w:r w:rsidRPr="00042A0F">
        <w:rPr>
          <w:rFonts w:ascii="Garamond" w:hAnsi="Garamond"/>
          <w:bCs/>
          <w:iCs/>
          <w:sz w:val="20"/>
          <w:szCs w:val="20"/>
        </w:rPr>
        <w:t xml:space="preserve"> Acid Reactive Substances </w:t>
      </w:r>
    </w:p>
    <w:p w14:paraId="72D75E91" w14:textId="08BEE788"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 xml:space="preserve">SPSS: Statistical Package of Social Science </w:t>
      </w:r>
    </w:p>
    <w:p w14:paraId="4B53D770" w14:textId="1EC4FBFD" w:rsidR="00042A0F" w:rsidRPr="00042A0F" w:rsidRDefault="00042A0F" w:rsidP="00042A0F">
      <w:pPr>
        <w:spacing w:line="259" w:lineRule="auto"/>
        <w:jc w:val="both"/>
        <w:rPr>
          <w:rFonts w:ascii="Garamond" w:hAnsi="Garamond"/>
          <w:bCs/>
          <w:iCs/>
          <w:sz w:val="20"/>
          <w:szCs w:val="20"/>
        </w:rPr>
      </w:pPr>
      <w:r w:rsidRPr="00042A0F">
        <w:rPr>
          <w:rFonts w:ascii="Garamond" w:hAnsi="Garamond"/>
          <w:bCs/>
          <w:iCs/>
          <w:sz w:val="20"/>
          <w:szCs w:val="20"/>
        </w:rPr>
        <w:t>ANOVA: Analysis of Variance</w:t>
      </w:r>
    </w:p>
    <w:p w14:paraId="530FD716" w14:textId="77777777" w:rsidR="005F0E8C" w:rsidRDefault="005F0E8C" w:rsidP="00042A0F">
      <w:pPr>
        <w:spacing w:line="259" w:lineRule="auto"/>
        <w:jc w:val="both"/>
        <w:rPr>
          <w:rFonts w:ascii="Garamond" w:hAnsi="Garamond"/>
          <w:b/>
          <w:bCs/>
          <w:iCs/>
          <w:sz w:val="22"/>
          <w:szCs w:val="22"/>
        </w:rPr>
      </w:pPr>
    </w:p>
    <w:p w14:paraId="02CF7DAB" w14:textId="4FC4FC4C" w:rsidR="00042A0F" w:rsidRPr="005F0E8C" w:rsidRDefault="005F0E8C" w:rsidP="00042A0F">
      <w:pPr>
        <w:spacing w:line="259" w:lineRule="auto"/>
        <w:jc w:val="both"/>
        <w:rPr>
          <w:rFonts w:ascii="Garamond" w:hAnsi="Garamond"/>
          <w:b/>
          <w:bCs/>
          <w:iCs/>
          <w:sz w:val="22"/>
          <w:szCs w:val="22"/>
        </w:rPr>
      </w:pPr>
      <w:r w:rsidRPr="005F0E8C">
        <w:rPr>
          <w:rFonts w:ascii="Garamond" w:hAnsi="Garamond"/>
          <w:b/>
          <w:bCs/>
          <w:iCs/>
          <w:sz w:val="22"/>
          <w:szCs w:val="22"/>
        </w:rPr>
        <w:t>Declarations</w:t>
      </w:r>
    </w:p>
    <w:p w14:paraId="2C37FBFF" w14:textId="4595B676" w:rsidR="00042A0F" w:rsidRPr="005F0E8C" w:rsidRDefault="00042A0F" w:rsidP="00042A0F">
      <w:pPr>
        <w:spacing w:line="259" w:lineRule="auto"/>
        <w:jc w:val="both"/>
        <w:rPr>
          <w:rFonts w:ascii="Garamond" w:hAnsi="Garamond"/>
          <w:b/>
          <w:bCs/>
          <w:iCs/>
          <w:sz w:val="20"/>
          <w:szCs w:val="20"/>
        </w:rPr>
      </w:pPr>
      <w:r w:rsidRPr="005F0E8C">
        <w:rPr>
          <w:rFonts w:ascii="Garamond" w:hAnsi="Garamond"/>
          <w:b/>
          <w:bCs/>
          <w:iCs/>
          <w:sz w:val="20"/>
          <w:szCs w:val="20"/>
        </w:rPr>
        <w:t>Conflict of Interest Declaration:</w:t>
      </w:r>
      <w:r w:rsidR="0067535C" w:rsidRPr="005F0E8C">
        <w:rPr>
          <w:rFonts w:ascii="Garamond" w:hAnsi="Garamond"/>
          <w:b/>
          <w:bCs/>
          <w:iCs/>
          <w:sz w:val="20"/>
          <w:szCs w:val="20"/>
        </w:rPr>
        <w:t xml:space="preserve"> </w:t>
      </w:r>
      <w:r w:rsidR="005F0E8C" w:rsidRPr="005F0E8C">
        <w:rPr>
          <w:rFonts w:ascii="Garamond" w:hAnsi="Garamond" w:cs="Times New Roman"/>
          <w:sz w:val="20"/>
          <w:szCs w:val="20"/>
        </w:rPr>
        <w:t>The authors declare that there is no conflict of interest.</w:t>
      </w:r>
    </w:p>
    <w:p w14:paraId="7ACB3A14" w14:textId="2E3D48BF" w:rsidR="00042A0F" w:rsidRPr="005F0E8C" w:rsidRDefault="00042A0F" w:rsidP="00042A0F">
      <w:pPr>
        <w:spacing w:line="259" w:lineRule="auto"/>
        <w:jc w:val="both"/>
        <w:rPr>
          <w:rFonts w:ascii="Garamond" w:hAnsi="Garamond"/>
          <w:b/>
          <w:bCs/>
          <w:iCs/>
          <w:sz w:val="20"/>
          <w:szCs w:val="20"/>
        </w:rPr>
      </w:pPr>
      <w:r w:rsidRPr="005F0E8C">
        <w:rPr>
          <w:rFonts w:ascii="Garamond" w:hAnsi="Garamond"/>
          <w:b/>
          <w:bCs/>
          <w:iCs/>
          <w:sz w:val="20"/>
          <w:szCs w:val="20"/>
        </w:rPr>
        <w:t>Ethical Conformity Statement:</w:t>
      </w:r>
      <w:r w:rsidR="0067535C" w:rsidRPr="005F0E8C">
        <w:rPr>
          <w:rFonts w:ascii="Garamond" w:hAnsi="Garamond"/>
          <w:b/>
          <w:bCs/>
          <w:iCs/>
          <w:sz w:val="20"/>
          <w:szCs w:val="20"/>
        </w:rPr>
        <w:t xml:space="preserve"> </w:t>
      </w:r>
      <w:r w:rsidR="005F0E8C" w:rsidRPr="005F0E8C">
        <w:rPr>
          <w:rFonts w:ascii="Garamond" w:hAnsi="Garamond" w:cs="Times New Roman"/>
          <w:sz w:val="20"/>
          <w:szCs w:val="20"/>
        </w:rPr>
        <w:t>All experimental procedures involving animals were conducted in accordance with the National Institute of Health (NIH) guidelines for the care and use of laboratory animals. Ethical approval was obtained from the appropriate Institutional Animal Ethics Committee of Enugu State University of Science and Technology (ESUT), Enugu, Nigeria.</w:t>
      </w:r>
    </w:p>
    <w:p w14:paraId="6180064D" w14:textId="09F75807" w:rsidR="00042A0F" w:rsidRPr="005F0E8C" w:rsidRDefault="00042A0F" w:rsidP="005F0E8C">
      <w:pPr>
        <w:ind w:left="-15"/>
        <w:rPr>
          <w:rFonts w:ascii="Garamond" w:hAnsi="Garamond" w:cs="Times New Roman"/>
          <w:sz w:val="20"/>
          <w:szCs w:val="20"/>
        </w:rPr>
      </w:pPr>
      <w:r w:rsidRPr="005F0E8C">
        <w:rPr>
          <w:rFonts w:ascii="Garamond" w:hAnsi="Garamond"/>
          <w:b/>
          <w:bCs/>
          <w:iCs/>
          <w:sz w:val="20"/>
          <w:szCs w:val="20"/>
        </w:rPr>
        <w:t>Acknowledgement:</w:t>
      </w:r>
      <w:r w:rsidR="0067535C">
        <w:rPr>
          <w:rFonts w:ascii="Garamond" w:hAnsi="Garamond"/>
          <w:b/>
          <w:bCs/>
          <w:iCs/>
          <w:sz w:val="20"/>
          <w:szCs w:val="20"/>
        </w:rPr>
        <w:t xml:space="preserve"> </w:t>
      </w:r>
      <w:r w:rsidR="005F0E8C" w:rsidRPr="009737B6">
        <w:rPr>
          <w:rFonts w:ascii="Garamond" w:hAnsi="Garamond" w:cs="Times New Roman"/>
          <w:sz w:val="20"/>
          <w:szCs w:val="20"/>
        </w:rPr>
        <w:t xml:space="preserve">The authors sincerely appreciate the support of the department of Applied Biology and Biotechnology, Enugu State University of Science and Technology (ESUT) for providing the necessary facilities for this study. We extend our gratitude Mr. Aneke Rowland Jachike for his technical assistance. Special thanks to supervisor, Dr. Cyril Onyekachi </w:t>
      </w:r>
      <w:proofErr w:type="spellStart"/>
      <w:r w:rsidR="005F0E8C" w:rsidRPr="009737B6">
        <w:rPr>
          <w:rFonts w:ascii="Garamond" w:hAnsi="Garamond" w:cs="Times New Roman"/>
          <w:sz w:val="20"/>
          <w:szCs w:val="20"/>
        </w:rPr>
        <w:t>Edoga</w:t>
      </w:r>
      <w:proofErr w:type="spellEnd"/>
      <w:r w:rsidR="005F0E8C" w:rsidRPr="009737B6">
        <w:rPr>
          <w:rFonts w:ascii="Garamond" w:hAnsi="Garamond" w:cs="Times New Roman"/>
          <w:sz w:val="20"/>
          <w:szCs w:val="20"/>
        </w:rPr>
        <w:t xml:space="preserve"> for his valuable guidance and insightful contributions. We thank our families and friends for their encouragement throughout this research period.</w:t>
      </w:r>
    </w:p>
    <w:p w14:paraId="19236FFE" w14:textId="77777777" w:rsidR="00042A0F" w:rsidRPr="00042A0F" w:rsidRDefault="00042A0F" w:rsidP="00042A0F">
      <w:pPr>
        <w:spacing w:line="259" w:lineRule="auto"/>
        <w:jc w:val="both"/>
        <w:rPr>
          <w:rFonts w:ascii="Garamond" w:hAnsi="Garamond"/>
          <w:b/>
          <w:bCs/>
          <w:iCs/>
          <w:sz w:val="20"/>
          <w:szCs w:val="20"/>
        </w:rPr>
      </w:pPr>
    </w:p>
    <w:p w14:paraId="26CFE745" w14:textId="77777777" w:rsidR="005F0E8C" w:rsidRDefault="005F0E8C" w:rsidP="00042A0F">
      <w:pPr>
        <w:spacing w:line="259" w:lineRule="auto"/>
        <w:jc w:val="both"/>
        <w:rPr>
          <w:rFonts w:ascii="Garamond" w:hAnsi="Garamond"/>
          <w:b/>
          <w:bCs/>
          <w:iCs/>
          <w:sz w:val="22"/>
          <w:szCs w:val="22"/>
        </w:rPr>
      </w:pPr>
    </w:p>
    <w:p w14:paraId="307E27BE" w14:textId="77777777" w:rsidR="005F0E8C" w:rsidRDefault="005F0E8C" w:rsidP="00042A0F">
      <w:pPr>
        <w:spacing w:line="259" w:lineRule="auto"/>
        <w:jc w:val="both"/>
        <w:rPr>
          <w:rFonts w:ascii="Garamond" w:hAnsi="Garamond"/>
          <w:b/>
          <w:bCs/>
          <w:iCs/>
          <w:sz w:val="22"/>
          <w:szCs w:val="22"/>
        </w:rPr>
      </w:pPr>
    </w:p>
    <w:p w14:paraId="7F8C3039" w14:textId="10E807C1" w:rsidR="00042A0F" w:rsidRPr="00042A0F" w:rsidRDefault="0067535C" w:rsidP="00042A0F">
      <w:pPr>
        <w:spacing w:line="259" w:lineRule="auto"/>
        <w:jc w:val="both"/>
        <w:rPr>
          <w:rFonts w:ascii="Garamond" w:hAnsi="Garamond"/>
          <w:b/>
          <w:bCs/>
          <w:iCs/>
          <w:sz w:val="22"/>
          <w:szCs w:val="22"/>
        </w:rPr>
      </w:pPr>
      <w:r w:rsidRPr="00042A0F">
        <w:rPr>
          <w:rFonts w:ascii="Garamond" w:hAnsi="Garamond"/>
          <w:b/>
          <w:bCs/>
          <w:iCs/>
          <w:sz w:val="22"/>
          <w:szCs w:val="22"/>
        </w:rPr>
        <w:t>REFERENCES</w:t>
      </w:r>
    </w:p>
    <w:p w14:paraId="214F66BD"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Robinson PR, Hsu CS. Petroleum and its products. In: Meyers RA, editor. Handbook of Industrial Chemistry and Biotechnology. New York: Springer; 2017. p. 13–106. </w:t>
      </w:r>
    </w:p>
    <w:p w14:paraId="7E251EB3"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Ahmed F, Fakhruddin ANM. A review on environmental contamination of petroleum hydrocarbons and its biodegradation. Int J Environ Sci Nat </w:t>
      </w:r>
      <w:proofErr w:type="spellStart"/>
      <w:r w:rsidRPr="009737B6">
        <w:rPr>
          <w:rFonts w:ascii="Garamond" w:eastAsia="Times New Roman" w:hAnsi="Garamond"/>
          <w:sz w:val="20"/>
          <w:szCs w:val="20"/>
        </w:rPr>
        <w:t>Resour</w:t>
      </w:r>
      <w:proofErr w:type="spellEnd"/>
      <w:r w:rsidRPr="009737B6">
        <w:rPr>
          <w:rFonts w:ascii="Garamond" w:eastAsia="Times New Roman" w:hAnsi="Garamond"/>
          <w:sz w:val="20"/>
          <w:szCs w:val="20"/>
        </w:rPr>
        <w:t xml:space="preserve">. 2018; 11(3):1–7. </w:t>
      </w:r>
    </w:p>
    <w:p w14:paraId="7117A226"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Ekpenyong CE, Asuquo AE. Recent advances in occupational and environmental health hazards of workers exposed to gasoline compounds. Int J </w:t>
      </w:r>
      <w:proofErr w:type="spellStart"/>
      <w:r w:rsidRPr="009737B6">
        <w:rPr>
          <w:rFonts w:ascii="Garamond" w:eastAsia="Times New Roman" w:hAnsi="Garamond"/>
          <w:sz w:val="20"/>
          <w:szCs w:val="20"/>
        </w:rPr>
        <w:t>Occup</w:t>
      </w:r>
      <w:proofErr w:type="spellEnd"/>
      <w:r w:rsidRPr="009737B6">
        <w:rPr>
          <w:rFonts w:ascii="Garamond" w:eastAsia="Times New Roman" w:hAnsi="Garamond"/>
          <w:sz w:val="20"/>
          <w:szCs w:val="20"/>
        </w:rPr>
        <w:t xml:space="preserve"> Med Environ Health. 2017; 30(1):1–26. </w:t>
      </w:r>
    </w:p>
    <w:p w14:paraId="32B48604"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eastAsia="Times New Roman" w:hAnsi="Garamond"/>
          <w:sz w:val="20"/>
          <w:szCs w:val="20"/>
        </w:rPr>
        <w:t>Unsal</w:t>
      </w:r>
      <w:proofErr w:type="spellEnd"/>
      <w:r w:rsidRPr="009737B6">
        <w:rPr>
          <w:rFonts w:ascii="Garamond" w:eastAsia="Times New Roman" w:hAnsi="Garamond"/>
          <w:sz w:val="20"/>
          <w:szCs w:val="20"/>
        </w:rPr>
        <w:t xml:space="preserve"> V, </w:t>
      </w:r>
      <w:proofErr w:type="spellStart"/>
      <w:r w:rsidRPr="009737B6">
        <w:rPr>
          <w:rFonts w:ascii="Garamond" w:eastAsia="Times New Roman" w:hAnsi="Garamond"/>
          <w:sz w:val="20"/>
          <w:szCs w:val="20"/>
        </w:rPr>
        <w:t>Dalkiran</w:t>
      </w:r>
      <w:proofErr w:type="spellEnd"/>
      <w:r w:rsidRPr="009737B6">
        <w:rPr>
          <w:rFonts w:ascii="Garamond" w:eastAsia="Times New Roman" w:hAnsi="Garamond"/>
          <w:sz w:val="20"/>
          <w:szCs w:val="20"/>
        </w:rPr>
        <w:t xml:space="preserve"> T, Cicek M, </w:t>
      </w:r>
      <w:proofErr w:type="spellStart"/>
      <w:r w:rsidRPr="009737B6">
        <w:rPr>
          <w:rFonts w:ascii="Garamond" w:eastAsia="Times New Roman" w:hAnsi="Garamond"/>
          <w:sz w:val="20"/>
          <w:szCs w:val="20"/>
        </w:rPr>
        <w:t>Kolukcu</w:t>
      </w:r>
      <w:proofErr w:type="spellEnd"/>
      <w:r w:rsidRPr="009737B6">
        <w:rPr>
          <w:rFonts w:ascii="Garamond" w:eastAsia="Times New Roman" w:hAnsi="Garamond"/>
          <w:sz w:val="20"/>
          <w:szCs w:val="20"/>
        </w:rPr>
        <w:t xml:space="preserve"> E. The role of natural antioxidants against reactive oxygen species produced by cadmium toxicity: a review. Adv Pharm Bull. 2020; 10(2):184–190. </w:t>
      </w:r>
    </w:p>
    <w:p w14:paraId="528604D2"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hAnsi="Garamond"/>
          <w:sz w:val="20"/>
          <w:szCs w:val="20"/>
        </w:rPr>
        <w:t>Kemabonta</w:t>
      </w:r>
      <w:proofErr w:type="spellEnd"/>
      <w:r w:rsidRPr="009737B6">
        <w:rPr>
          <w:rFonts w:ascii="Garamond" w:hAnsi="Garamond"/>
          <w:sz w:val="20"/>
          <w:szCs w:val="20"/>
        </w:rPr>
        <w:t xml:space="preserve"> KA, </w:t>
      </w:r>
      <w:proofErr w:type="spellStart"/>
      <w:r w:rsidRPr="009737B6">
        <w:rPr>
          <w:rFonts w:ascii="Garamond" w:hAnsi="Garamond"/>
          <w:sz w:val="20"/>
          <w:szCs w:val="20"/>
        </w:rPr>
        <w:t>Ikerodah</w:t>
      </w:r>
      <w:proofErr w:type="spellEnd"/>
      <w:r w:rsidRPr="009737B6">
        <w:rPr>
          <w:rFonts w:ascii="Garamond" w:hAnsi="Garamond"/>
          <w:sz w:val="20"/>
          <w:szCs w:val="20"/>
        </w:rPr>
        <w:t xml:space="preserve"> AA, </w:t>
      </w:r>
      <w:proofErr w:type="spellStart"/>
      <w:r w:rsidRPr="009737B6">
        <w:rPr>
          <w:rFonts w:ascii="Garamond" w:hAnsi="Garamond"/>
          <w:sz w:val="20"/>
          <w:szCs w:val="20"/>
        </w:rPr>
        <w:t>Anumudu</w:t>
      </w:r>
      <w:proofErr w:type="spellEnd"/>
      <w:r w:rsidRPr="009737B6">
        <w:rPr>
          <w:rFonts w:ascii="Garamond" w:hAnsi="Garamond"/>
          <w:sz w:val="20"/>
          <w:szCs w:val="20"/>
        </w:rPr>
        <w:t xml:space="preserve"> PC. Toxicological effects of petrol, xylene and thinner on </w:t>
      </w:r>
      <w:r w:rsidRPr="009737B6">
        <w:rPr>
          <w:rStyle w:val="Emphasis"/>
          <w:rFonts w:ascii="Garamond" w:hAnsi="Garamond"/>
          <w:i w:val="0"/>
          <w:iCs w:val="0"/>
          <w:sz w:val="20"/>
          <w:szCs w:val="20"/>
        </w:rPr>
        <w:t>Mus musculus</w:t>
      </w:r>
      <w:r w:rsidRPr="009737B6">
        <w:rPr>
          <w:rFonts w:ascii="Garamond" w:hAnsi="Garamond"/>
          <w:sz w:val="20"/>
          <w:szCs w:val="20"/>
        </w:rPr>
        <w:t xml:space="preserve"> (albino mice). </w:t>
      </w:r>
      <w:r w:rsidRPr="009737B6">
        <w:rPr>
          <w:rStyle w:val="Emphasis"/>
          <w:rFonts w:ascii="Garamond" w:hAnsi="Garamond"/>
          <w:i w:val="0"/>
          <w:iCs w:val="0"/>
          <w:sz w:val="20"/>
          <w:szCs w:val="20"/>
        </w:rPr>
        <w:t xml:space="preserve">Pan </w:t>
      </w:r>
      <w:proofErr w:type="spellStart"/>
      <w:r w:rsidRPr="009737B6">
        <w:rPr>
          <w:rStyle w:val="Emphasis"/>
          <w:rFonts w:ascii="Garamond" w:hAnsi="Garamond"/>
          <w:i w:val="0"/>
          <w:iCs w:val="0"/>
          <w:sz w:val="20"/>
          <w:szCs w:val="20"/>
        </w:rPr>
        <w:t>Afr</w:t>
      </w:r>
      <w:proofErr w:type="spellEnd"/>
      <w:r w:rsidRPr="009737B6">
        <w:rPr>
          <w:rStyle w:val="Emphasis"/>
          <w:rFonts w:ascii="Garamond" w:hAnsi="Garamond"/>
          <w:i w:val="0"/>
          <w:iCs w:val="0"/>
          <w:sz w:val="20"/>
          <w:szCs w:val="20"/>
        </w:rPr>
        <w:t xml:space="preserve"> J Life Sci</w:t>
      </w:r>
      <w:r w:rsidRPr="009737B6">
        <w:rPr>
          <w:rFonts w:ascii="Garamond" w:hAnsi="Garamond"/>
          <w:sz w:val="20"/>
          <w:szCs w:val="20"/>
        </w:rPr>
        <w:t>. 2020; 4(2):98–103.</w:t>
      </w:r>
    </w:p>
    <w:p w14:paraId="7A73BD0F"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Schiavone S, Jaquet V, </w:t>
      </w:r>
      <w:proofErr w:type="spellStart"/>
      <w:r w:rsidRPr="009737B6">
        <w:rPr>
          <w:rFonts w:ascii="Garamond" w:eastAsia="Times New Roman" w:hAnsi="Garamond"/>
          <w:sz w:val="20"/>
          <w:szCs w:val="20"/>
        </w:rPr>
        <w:t>Trabace</w:t>
      </w:r>
      <w:proofErr w:type="spellEnd"/>
      <w:r w:rsidRPr="009737B6">
        <w:rPr>
          <w:rFonts w:ascii="Garamond" w:eastAsia="Times New Roman" w:hAnsi="Garamond"/>
          <w:sz w:val="20"/>
          <w:szCs w:val="20"/>
        </w:rPr>
        <w:t xml:space="preserve"> L, Krause KH. Severe life stress and oxidative stress in the brain: from animal models to human pathology. </w:t>
      </w:r>
      <w:proofErr w:type="spellStart"/>
      <w:r w:rsidRPr="009737B6">
        <w:rPr>
          <w:rFonts w:ascii="Garamond" w:eastAsia="Times New Roman" w:hAnsi="Garamond"/>
          <w:sz w:val="20"/>
          <w:szCs w:val="20"/>
        </w:rPr>
        <w:t>Antioxid</w:t>
      </w:r>
      <w:proofErr w:type="spellEnd"/>
      <w:r w:rsidRPr="009737B6">
        <w:rPr>
          <w:rFonts w:ascii="Garamond" w:eastAsia="Times New Roman" w:hAnsi="Garamond"/>
          <w:sz w:val="20"/>
          <w:szCs w:val="20"/>
        </w:rPr>
        <w:t xml:space="preserve"> Redox Signal. 2013; 18(12):1475–1490. </w:t>
      </w:r>
    </w:p>
    <w:p w14:paraId="4528E14F"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Heusinkveld HJ, Wahle T, Campbell A, </w:t>
      </w:r>
      <w:proofErr w:type="spellStart"/>
      <w:r w:rsidRPr="009737B6">
        <w:rPr>
          <w:rFonts w:ascii="Garamond" w:eastAsia="Times New Roman" w:hAnsi="Garamond"/>
          <w:sz w:val="20"/>
          <w:szCs w:val="20"/>
        </w:rPr>
        <w:t>Westerink</w:t>
      </w:r>
      <w:proofErr w:type="spellEnd"/>
      <w:r w:rsidRPr="009737B6">
        <w:rPr>
          <w:rFonts w:ascii="Garamond" w:eastAsia="Times New Roman" w:hAnsi="Garamond"/>
          <w:sz w:val="20"/>
          <w:szCs w:val="20"/>
        </w:rPr>
        <w:t xml:space="preserve"> RHS, Tran L, Johnston H, et al. Neurodegenerative and neurological disorders by small inhaled particles. Neurotoxicology. 2016; 56:94–106. </w:t>
      </w:r>
    </w:p>
    <w:p w14:paraId="4C586D17"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eastAsia="Times New Roman" w:hAnsi="Garamond"/>
          <w:sz w:val="20"/>
          <w:szCs w:val="20"/>
        </w:rPr>
        <w:t>Olasehinde</w:t>
      </w:r>
      <w:proofErr w:type="spellEnd"/>
      <w:r w:rsidRPr="009737B6">
        <w:rPr>
          <w:rFonts w:ascii="Garamond" w:eastAsia="Times New Roman" w:hAnsi="Garamond"/>
          <w:sz w:val="20"/>
          <w:szCs w:val="20"/>
        </w:rPr>
        <w:t xml:space="preserve"> TA, Olaniran AO. Neurotoxicity of polycyclic aromatic hydrocarbons: a systematic mapping and review of neuropathological mechanisms. Toxics. 2022; 10(8):417. </w:t>
      </w:r>
    </w:p>
    <w:p w14:paraId="775DD994"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Zhao Q, Li Y, Chai X, Xu L, Zhang L, Ning P. Interaction of inhalable volatile organic compounds and pulmonary surfactant: potential hazards of VOC exposure to lung. J Hazard Mater. 2019; 369:512–520. </w:t>
      </w:r>
    </w:p>
    <w:p w14:paraId="6670F4E1"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eastAsia="Times New Roman" w:hAnsi="Garamond"/>
          <w:sz w:val="20"/>
          <w:szCs w:val="20"/>
        </w:rPr>
        <w:t>Krubaa</w:t>
      </w:r>
      <w:proofErr w:type="spellEnd"/>
      <w:r w:rsidRPr="009737B6">
        <w:rPr>
          <w:rFonts w:ascii="Garamond" w:eastAsia="Times New Roman" w:hAnsi="Garamond"/>
          <w:sz w:val="20"/>
          <w:szCs w:val="20"/>
        </w:rPr>
        <w:t xml:space="preserve"> P, Yogitha PS. Albino Wistar rats: advantages and limitations in biomedical research. SBV J Basic Clin Appl Health Sci. 2024; 7(2):61–65. </w:t>
      </w:r>
    </w:p>
    <w:p w14:paraId="166F4E28"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Ruch RJ, Cheng SJ, </w:t>
      </w:r>
      <w:proofErr w:type="spellStart"/>
      <w:r w:rsidRPr="009737B6">
        <w:rPr>
          <w:rFonts w:ascii="Garamond" w:eastAsia="Times New Roman" w:hAnsi="Garamond"/>
          <w:sz w:val="20"/>
          <w:szCs w:val="20"/>
        </w:rPr>
        <w:t>Klaunig</w:t>
      </w:r>
      <w:proofErr w:type="spellEnd"/>
      <w:r w:rsidRPr="009737B6">
        <w:rPr>
          <w:rFonts w:ascii="Garamond" w:eastAsia="Times New Roman" w:hAnsi="Garamond"/>
          <w:sz w:val="20"/>
          <w:szCs w:val="20"/>
        </w:rPr>
        <w:t xml:space="preserve"> JE. Prevention of cytotoxicity and inhibition of intercellular communication by antioxidant catechins isolated from Chinese green tea. Carcinogenesis. 1989; 10:1003–1008. </w:t>
      </w:r>
    </w:p>
    <w:p w14:paraId="47161605"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eastAsia="Times New Roman" w:hAnsi="Garamond"/>
          <w:sz w:val="20"/>
          <w:szCs w:val="20"/>
        </w:rPr>
        <w:t>Marcocci</w:t>
      </w:r>
      <w:proofErr w:type="spellEnd"/>
      <w:r w:rsidRPr="009737B6">
        <w:rPr>
          <w:rFonts w:ascii="Garamond" w:eastAsia="Times New Roman" w:hAnsi="Garamond"/>
          <w:sz w:val="20"/>
          <w:szCs w:val="20"/>
        </w:rPr>
        <w:t xml:space="preserve"> L, Maguire JJ, Droy-</w:t>
      </w:r>
      <w:proofErr w:type="spellStart"/>
      <w:r w:rsidRPr="009737B6">
        <w:rPr>
          <w:rFonts w:ascii="Garamond" w:eastAsia="Times New Roman" w:hAnsi="Garamond"/>
          <w:sz w:val="20"/>
          <w:szCs w:val="20"/>
        </w:rPr>
        <w:t>Lefaix</w:t>
      </w:r>
      <w:proofErr w:type="spellEnd"/>
      <w:r w:rsidRPr="009737B6">
        <w:rPr>
          <w:rFonts w:ascii="Garamond" w:eastAsia="Times New Roman" w:hAnsi="Garamond"/>
          <w:sz w:val="20"/>
          <w:szCs w:val="20"/>
        </w:rPr>
        <w:t xml:space="preserve"> MT, Packer L. The nitric oxide-scavenging properties of Ginkgo biloba extract </w:t>
      </w:r>
      <w:proofErr w:type="spellStart"/>
      <w:r w:rsidRPr="009737B6">
        <w:rPr>
          <w:rFonts w:ascii="Garamond" w:eastAsia="Times New Roman" w:hAnsi="Garamond"/>
          <w:sz w:val="20"/>
          <w:szCs w:val="20"/>
        </w:rPr>
        <w:t>EGb</w:t>
      </w:r>
      <w:proofErr w:type="spellEnd"/>
      <w:r w:rsidRPr="009737B6">
        <w:rPr>
          <w:rFonts w:ascii="Garamond" w:eastAsia="Times New Roman" w:hAnsi="Garamond"/>
          <w:sz w:val="20"/>
          <w:szCs w:val="20"/>
        </w:rPr>
        <w:t xml:space="preserve"> 761. </w:t>
      </w:r>
      <w:proofErr w:type="spellStart"/>
      <w:r w:rsidRPr="009737B6">
        <w:rPr>
          <w:rFonts w:ascii="Garamond" w:eastAsia="Times New Roman" w:hAnsi="Garamond"/>
          <w:sz w:val="20"/>
          <w:szCs w:val="20"/>
        </w:rPr>
        <w:t>Biochem</w:t>
      </w:r>
      <w:proofErr w:type="spellEnd"/>
      <w:r w:rsidRPr="009737B6">
        <w:rPr>
          <w:rFonts w:ascii="Garamond" w:eastAsia="Times New Roman" w:hAnsi="Garamond"/>
          <w:sz w:val="20"/>
          <w:szCs w:val="20"/>
        </w:rPr>
        <w:t xml:space="preserve"> </w:t>
      </w:r>
      <w:proofErr w:type="spellStart"/>
      <w:r w:rsidRPr="009737B6">
        <w:rPr>
          <w:rFonts w:ascii="Garamond" w:eastAsia="Times New Roman" w:hAnsi="Garamond"/>
          <w:sz w:val="20"/>
          <w:szCs w:val="20"/>
        </w:rPr>
        <w:t>Biophys</w:t>
      </w:r>
      <w:proofErr w:type="spellEnd"/>
      <w:r w:rsidRPr="009737B6">
        <w:rPr>
          <w:rFonts w:ascii="Garamond" w:eastAsia="Times New Roman" w:hAnsi="Garamond"/>
          <w:sz w:val="20"/>
          <w:szCs w:val="20"/>
        </w:rPr>
        <w:t xml:space="preserve"> Res Commun. 1994; 201:748–755. </w:t>
      </w:r>
    </w:p>
    <w:p w14:paraId="35578E37"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Ellman GL. Tissue sulfhydryl groups. Arch </w:t>
      </w:r>
      <w:proofErr w:type="spellStart"/>
      <w:r w:rsidRPr="009737B6">
        <w:rPr>
          <w:rFonts w:ascii="Garamond" w:eastAsia="Times New Roman" w:hAnsi="Garamond"/>
          <w:sz w:val="20"/>
          <w:szCs w:val="20"/>
        </w:rPr>
        <w:t>Biochem</w:t>
      </w:r>
      <w:proofErr w:type="spellEnd"/>
      <w:r w:rsidRPr="009737B6">
        <w:rPr>
          <w:rFonts w:ascii="Garamond" w:eastAsia="Times New Roman" w:hAnsi="Garamond"/>
          <w:sz w:val="20"/>
          <w:szCs w:val="20"/>
        </w:rPr>
        <w:t xml:space="preserve"> </w:t>
      </w:r>
      <w:proofErr w:type="spellStart"/>
      <w:r w:rsidRPr="009737B6">
        <w:rPr>
          <w:rFonts w:ascii="Garamond" w:eastAsia="Times New Roman" w:hAnsi="Garamond"/>
          <w:sz w:val="20"/>
          <w:szCs w:val="20"/>
        </w:rPr>
        <w:t>Biophys</w:t>
      </w:r>
      <w:proofErr w:type="spellEnd"/>
      <w:r w:rsidRPr="009737B6">
        <w:rPr>
          <w:rFonts w:ascii="Garamond" w:eastAsia="Times New Roman" w:hAnsi="Garamond"/>
          <w:sz w:val="20"/>
          <w:szCs w:val="20"/>
        </w:rPr>
        <w:t xml:space="preserve">. 1959; 82(1):70–77. </w:t>
      </w:r>
    </w:p>
    <w:p w14:paraId="7AF7A9FF"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lastRenderedPageBreak/>
        <w:t xml:space="preserve">McCord JM, Fridovich I. Superoxide dismutase: an enzymic function for erythrocuprein (hemocuprein). J Biol Chem. 1969; 244(22):6049–6055. </w:t>
      </w:r>
    </w:p>
    <w:p w14:paraId="0A41898F"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Donnan SK. The </w:t>
      </w:r>
      <w:proofErr w:type="spellStart"/>
      <w:r w:rsidRPr="009737B6">
        <w:rPr>
          <w:rFonts w:ascii="Garamond" w:eastAsia="Times New Roman" w:hAnsi="Garamond"/>
          <w:sz w:val="20"/>
          <w:szCs w:val="20"/>
        </w:rPr>
        <w:t>thiobarbituric</w:t>
      </w:r>
      <w:proofErr w:type="spellEnd"/>
      <w:r w:rsidRPr="009737B6">
        <w:rPr>
          <w:rFonts w:ascii="Garamond" w:eastAsia="Times New Roman" w:hAnsi="Garamond"/>
          <w:sz w:val="20"/>
          <w:szCs w:val="20"/>
        </w:rPr>
        <w:t xml:space="preserve"> acid test applied to tissues from rats treated in various ways. J Biol Chem. 1950; 182(1):415–420. </w:t>
      </w:r>
    </w:p>
    <w:p w14:paraId="0F46F869"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eastAsia="Times New Roman" w:hAnsi="Garamond"/>
          <w:sz w:val="20"/>
          <w:szCs w:val="20"/>
        </w:rPr>
        <w:t>Moronkeji</w:t>
      </w:r>
      <w:proofErr w:type="spellEnd"/>
      <w:r w:rsidRPr="009737B6">
        <w:rPr>
          <w:rFonts w:ascii="Garamond" w:eastAsia="Times New Roman" w:hAnsi="Garamond"/>
          <w:sz w:val="20"/>
          <w:szCs w:val="20"/>
        </w:rPr>
        <w:t xml:space="preserve"> A, </w:t>
      </w:r>
      <w:proofErr w:type="spellStart"/>
      <w:r w:rsidRPr="009737B6">
        <w:rPr>
          <w:rFonts w:ascii="Garamond" w:eastAsia="Times New Roman" w:hAnsi="Garamond"/>
          <w:sz w:val="20"/>
          <w:szCs w:val="20"/>
        </w:rPr>
        <w:t>Olayanju</w:t>
      </w:r>
      <w:proofErr w:type="spellEnd"/>
      <w:r w:rsidRPr="009737B6">
        <w:rPr>
          <w:rFonts w:ascii="Garamond" w:eastAsia="Times New Roman" w:hAnsi="Garamond"/>
          <w:sz w:val="20"/>
          <w:szCs w:val="20"/>
        </w:rPr>
        <w:t xml:space="preserve"> A, Adeniyi TD, </w:t>
      </w:r>
      <w:proofErr w:type="spellStart"/>
      <w:r w:rsidRPr="009737B6">
        <w:rPr>
          <w:rFonts w:ascii="Garamond" w:eastAsia="Times New Roman" w:hAnsi="Garamond"/>
          <w:sz w:val="20"/>
          <w:szCs w:val="20"/>
        </w:rPr>
        <w:t>Atere</w:t>
      </w:r>
      <w:proofErr w:type="spellEnd"/>
      <w:r w:rsidRPr="009737B6">
        <w:rPr>
          <w:rFonts w:ascii="Garamond" w:eastAsia="Times New Roman" w:hAnsi="Garamond"/>
          <w:sz w:val="20"/>
          <w:szCs w:val="20"/>
        </w:rPr>
        <w:t xml:space="preserve"> AD, </w:t>
      </w:r>
      <w:proofErr w:type="spellStart"/>
      <w:r w:rsidRPr="009737B6">
        <w:rPr>
          <w:rFonts w:ascii="Garamond" w:eastAsia="Times New Roman" w:hAnsi="Garamond"/>
          <w:sz w:val="20"/>
          <w:szCs w:val="20"/>
        </w:rPr>
        <w:t>Moronkeji</w:t>
      </w:r>
      <w:proofErr w:type="spellEnd"/>
      <w:r w:rsidRPr="009737B6">
        <w:rPr>
          <w:rFonts w:ascii="Garamond" w:eastAsia="Times New Roman" w:hAnsi="Garamond"/>
          <w:sz w:val="20"/>
          <w:szCs w:val="20"/>
        </w:rPr>
        <w:t xml:space="preserve"> AI, </w:t>
      </w:r>
      <w:proofErr w:type="spellStart"/>
      <w:r w:rsidRPr="009737B6">
        <w:rPr>
          <w:rFonts w:ascii="Garamond" w:eastAsia="Times New Roman" w:hAnsi="Garamond"/>
          <w:sz w:val="20"/>
          <w:szCs w:val="20"/>
        </w:rPr>
        <w:t>Igunbor</w:t>
      </w:r>
      <w:proofErr w:type="spellEnd"/>
      <w:r w:rsidRPr="009737B6">
        <w:rPr>
          <w:rFonts w:ascii="Garamond" w:eastAsia="Times New Roman" w:hAnsi="Garamond"/>
          <w:sz w:val="20"/>
          <w:szCs w:val="20"/>
        </w:rPr>
        <w:t xml:space="preserve"> MC. Oxidative stress response to gasoline generator exhaust emission in adult male Wistar rats. Environ Anal Health </w:t>
      </w:r>
      <w:proofErr w:type="spellStart"/>
      <w:r w:rsidRPr="009737B6">
        <w:rPr>
          <w:rFonts w:ascii="Garamond" w:eastAsia="Times New Roman" w:hAnsi="Garamond"/>
          <w:sz w:val="20"/>
          <w:szCs w:val="20"/>
        </w:rPr>
        <w:t>Toxicol</w:t>
      </w:r>
      <w:proofErr w:type="spellEnd"/>
      <w:r w:rsidRPr="009737B6">
        <w:rPr>
          <w:rFonts w:ascii="Garamond" w:eastAsia="Times New Roman" w:hAnsi="Garamond"/>
          <w:sz w:val="20"/>
          <w:szCs w:val="20"/>
        </w:rPr>
        <w:t xml:space="preserve">. 2024; 39(4):030. </w:t>
      </w:r>
    </w:p>
    <w:p w14:paraId="30B4963C"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Oni AA, </w:t>
      </w:r>
      <w:proofErr w:type="spellStart"/>
      <w:r w:rsidRPr="009737B6">
        <w:rPr>
          <w:rFonts w:ascii="Garamond" w:eastAsia="Times New Roman" w:hAnsi="Garamond"/>
          <w:sz w:val="20"/>
          <w:szCs w:val="20"/>
        </w:rPr>
        <w:t>Osoh</w:t>
      </w:r>
      <w:proofErr w:type="spellEnd"/>
      <w:r w:rsidRPr="009737B6">
        <w:rPr>
          <w:rFonts w:ascii="Garamond" w:eastAsia="Times New Roman" w:hAnsi="Garamond"/>
          <w:sz w:val="20"/>
          <w:szCs w:val="20"/>
        </w:rPr>
        <w:t xml:space="preserve"> MO, </w:t>
      </w:r>
      <w:proofErr w:type="spellStart"/>
      <w:r w:rsidRPr="009737B6">
        <w:rPr>
          <w:rFonts w:ascii="Garamond" w:eastAsia="Times New Roman" w:hAnsi="Garamond"/>
          <w:sz w:val="20"/>
          <w:szCs w:val="20"/>
        </w:rPr>
        <w:t>Obikoya</w:t>
      </w:r>
      <w:proofErr w:type="spellEnd"/>
      <w:r w:rsidRPr="009737B6">
        <w:rPr>
          <w:rFonts w:ascii="Garamond" w:eastAsia="Times New Roman" w:hAnsi="Garamond"/>
          <w:sz w:val="20"/>
          <w:szCs w:val="20"/>
        </w:rPr>
        <w:t xml:space="preserve"> AO, </w:t>
      </w:r>
      <w:proofErr w:type="spellStart"/>
      <w:r w:rsidRPr="009737B6">
        <w:rPr>
          <w:rFonts w:ascii="Garamond" w:eastAsia="Times New Roman" w:hAnsi="Garamond"/>
          <w:sz w:val="20"/>
          <w:szCs w:val="20"/>
        </w:rPr>
        <w:t>Ohore</w:t>
      </w:r>
      <w:proofErr w:type="spellEnd"/>
      <w:r w:rsidRPr="009737B6">
        <w:rPr>
          <w:rFonts w:ascii="Garamond" w:eastAsia="Times New Roman" w:hAnsi="Garamond"/>
          <w:sz w:val="20"/>
          <w:szCs w:val="20"/>
        </w:rPr>
        <w:t xml:space="preserve"> OG. Oxidative stress responses as a marker of toxicity in mice exposed to polluted groundwater from an automobile junk market in South-Western Nigeria. Cell Stress Chaperones. 2022; 27(6):685–702. </w:t>
      </w:r>
    </w:p>
    <w:p w14:paraId="1AF43738"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Khan RA, Khan MR, </w:t>
      </w:r>
      <w:proofErr w:type="spellStart"/>
      <w:r w:rsidRPr="009737B6">
        <w:rPr>
          <w:rFonts w:ascii="Garamond" w:eastAsia="Times New Roman" w:hAnsi="Garamond"/>
          <w:sz w:val="20"/>
          <w:szCs w:val="20"/>
        </w:rPr>
        <w:t>Sahreen</w:t>
      </w:r>
      <w:proofErr w:type="spellEnd"/>
      <w:r w:rsidRPr="009737B6">
        <w:rPr>
          <w:rFonts w:ascii="Garamond" w:eastAsia="Times New Roman" w:hAnsi="Garamond"/>
          <w:sz w:val="20"/>
          <w:szCs w:val="20"/>
        </w:rPr>
        <w:t xml:space="preserve"> S, Bokhari J. Prevention of CCl4-induced liver alterations in reduced glutathione-deficient rats by diltiazem. Environ </w:t>
      </w:r>
      <w:proofErr w:type="spellStart"/>
      <w:r w:rsidRPr="009737B6">
        <w:rPr>
          <w:rFonts w:ascii="Garamond" w:eastAsia="Times New Roman" w:hAnsi="Garamond"/>
          <w:sz w:val="20"/>
          <w:szCs w:val="20"/>
        </w:rPr>
        <w:t>Toxicol</w:t>
      </w:r>
      <w:proofErr w:type="spellEnd"/>
      <w:r w:rsidRPr="009737B6">
        <w:rPr>
          <w:rFonts w:ascii="Garamond" w:eastAsia="Times New Roman" w:hAnsi="Garamond"/>
          <w:sz w:val="20"/>
          <w:szCs w:val="20"/>
        </w:rPr>
        <w:t xml:space="preserve"> </w:t>
      </w:r>
      <w:proofErr w:type="spellStart"/>
      <w:r w:rsidRPr="009737B6">
        <w:rPr>
          <w:rFonts w:ascii="Garamond" w:eastAsia="Times New Roman" w:hAnsi="Garamond"/>
          <w:sz w:val="20"/>
          <w:szCs w:val="20"/>
        </w:rPr>
        <w:t>Pharmacol</w:t>
      </w:r>
      <w:proofErr w:type="spellEnd"/>
      <w:r w:rsidRPr="009737B6">
        <w:rPr>
          <w:rFonts w:ascii="Garamond" w:eastAsia="Times New Roman" w:hAnsi="Garamond"/>
          <w:sz w:val="20"/>
          <w:szCs w:val="20"/>
        </w:rPr>
        <w:t xml:space="preserve">. 2017; 52:200–213. </w:t>
      </w:r>
    </w:p>
    <w:p w14:paraId="25F71465"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r w:rsidRPr="009737B6">
        <w:rPr>
          <w:rFonts w:ascii="Garamond" w:eastAsia="Times New Roman" w:hAnsi="Garamond"/>
          <w:sz w:val="20"/>
          <w:szCs w:val="20"/>
        </w:rPr>
        <w:t xml:space="preserve">Azeez OM, Akhigbe RE, Anigbogu CN. Oxidative status in rat kidney exposed to petroleum hydrocarbons. J Nat Sci Biol Med. 2013; 4(1):149–154. </w:t>
      </w:r>
    </w:p>
    <w:p w14:paraId="12D63140" w14:textId="77777777" w:rsidR="005F0E8C" w:rsidRPr="009737B6" w:rsidRDefault="005F0E8C" w:rsidP="005F0E8C">
      <w:pPr>
        <w:pStyle w:val="ListParagraph"/>
        <w:numPr>
          <w:ilvl w:val="0"/>
          <w:numId w:val="27"/>
        </w:numPr>
        <w:spacing w:after="0" w:line="240" w:lineRule="auto"/>
        <w:ind w:left="357" w:hanging="357"/>
        <w:jc w:val="both"/>
        <w:rPr>
          <w:rFonts w:ascii="Garamond" w:eastAsia="Times New Roman" w:hAnsi="Garamond"/>
          <w:sz w:val="20"/>
          <w:szCs w:val="20"/>
        </w:rPr>
      </w:pPr>
      <w:proofErr w:type="spellStart"/>
      <w:r w:rsidRPr="009737B6">
        <w:rPr>
          <w:rFonts w:ascii="Garamond" w:eastAsia="Times New Roman" w:hAnsi="Garamond"/>
          <w:sz w:val="20"/>
          <w:szCs w:val="20"/>
        </w:rPr>
        <w:t>Owagboriaye</w:t>
      </w:r>
      <w:proofErr w:type="spellEnd"/>
      <w:r w:rsidRPr="009737B6">
        <w:rPr>
          <w:rFonts w:ascii="Garamond" w:eastAsia="Times New Roman" w:hAnsi="Garamond"/>
          <w:sz w:val="20"/>
          <w:szCs w:val="20"/>
        </w:rPr>
        <w:t xml:space="preserve"> FO, Dedeke GA, </w:t>
      </w:r>
      <w:proofErr w:type="spellStart"/>
      <w:r w:rsidRPr="009737B6">
        <w:rPr>
          <w:rFonts w:ascii="Garamond" w:eastAsia="Times New Roman" w:hAnsi="Garamond"/>
          <w:sz w:val="20"/>
          <w:szCs w:val="20"/>
        </w:rPr>
        <w:t>Aladesida</w:t>
      </w:r>
      <w:proofErr w:type="spellEnd"/>
      <w:r w:rsidRPr="009737B6">
        <w:rPr>
          <w:rFonts w:ascii="Garamond" w:eastAsia="Times New Roman" w:hAnsi="Garamond"/>
          <w:sz w:val="20"/>
          <w:szCs w:val="20"/>
        </w:rPr>
        <w:t xml:space="preserve"> AA, Bamidele JA, </w:t>
      </w:r>
      <w:proofErr w:type="spellStart"/>
      <w:r w:rsidRPr="009737B6">
        <w:rPr>
          <w:rFonts w:ascii="Garamond" w:eastAsia="Times New Roman" w:hAnsi="Garamond"/>
          <w:sz w:val="20"/>
          <w:szCs w:val="20"/>
        </w:rPr>
        <w:t>Olooto</w:t>
      </w:r>
      <w:proofErr w:type="spellEnd"/>
      <w:r w:rsidRPr="009737B6">
        <w:rPr>
          <w:rFonts w:ascii="Garamond" w:eastAsia="Times New Roman" w:hAnsi="Garamond"/>
          <w:sz w:val="20"/>
          <w:szCs w:val="20"/>
        </w:rPr>
        <w:t xml:space="preserve"> WE. Assessment of the effect of gasoline fume on stress hormones, antioxidant status and lipid peroxidation in albino rats. J King Saud Univ Sci. 2018; 30(3):393–399. </w:t>
      </w:r>
    </w:p>
    <w:p w14:paraId="1FC861A9" w14:textId="63353754" w:rsidR="0067535C" w:rsidRPr="005F0E8C" w:rsidRDefault="005F0E8C" w:rsidP="005F0E8C">
      <w:pPr>
        <w:pStyle w:val="ListParagraph"/>
        <w:numPr>
          <w:ilvl w:val="0"/>
          <w:numId w:val="27"/>
        </w:numPr>
        <w:spacing w:after="0" w:line="240" w:lineRule="auto"/>
        <w:ind w:left="357" w:hanging="357"/>
        <w:jc w:val="both"/>
        <w:rPr>
          <w:rFonts w:ascii="Garamond" w:hAnsi="Garamond"/>
          <w:sz w:val="20"/>
          <w:szCs w:val="20"/>
        </w:rPr>
      </w:pPr>
      <w:r w:rsidRPr="009737B6">
        <w:rPr>
          <w:rFonts w:ascii="Garamond" w:eastAsia="Times New Roman" w:hAnsi="Garamond"/>
          <w:sz w:val="20"/>
          <w:szCs w:val="20"/>
        </w:rPr>
        <w:t xml:space="preserve">Fang J, Xu X, Jiang L, Qiao J, Zhou H, Li K. Preliminary results of toxicity studies in rats following low-dose and short-term exposure to methyl mercaptan. </w:t>
      </w:r>
      <w:proofErr w:type="spellStart"/>
      <w:r w:rsidRPr="009737B6">
        <w:rPr>
          <w:rFonts w:ascii="Garamond" w:eastAsia="Times New Roman" w:hAnsi="Garamond"/>
          <w:sz w:val="20"/>
          <w:szCs w:val="20"/>
        </w:rPr>
        <w:t>Toxicol</w:t>
      </w:r>
      <w:proofErr w:type="spellEnd"/>
      <w:r w:rsidRPr="009737B6">
        <w:rPr>
          <w:rFonts w:ascii="Garamond" w:eastAsia="Times New Roman" w:hAnsi="Garamond"/>
          <w:sz w:val="20"/>
          <w:szCs w:val="20"/>
        </w:rPr>
        <w:t xml:space="preserve"> Rep. 2019; 6:431–438.</w:t>
      </w:r>
    </w:p>
    <w:p w14:paraId="68307864" w14:textId="77777777" w:rsidR="0067535C" w:rsidRPr="00042A0F" w:rsidRDefault="0067535C" w:rsidP="00042A0F">
      <w:pPr>
        <w:spacing w:line="259" w:lineRule="auto"/>
        <w:jc w:val="both"/>
        <w:rPr>
          <w:rFonts w:ascii="Garamond" w:hAnsi="Garamond"/>
          <w:bCs/>
          <w:iCs/>
          <w:sz w:val="20"/>
          <w:szCs w:val="20"/>
        </w:rPr>
      </w:pPr>
    </w:p>
    <w:sectPr w:rsidR="0067535C" w:rsidRPr="00042A0F" w:rsidSect="00042A0F">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7C33" w14:textId="77777777" w:rsidR="003B7A6A" w:rsidRDefault="003B7A6A" w:rsidP="00202B90">
      <w:r>
        <w:separator/>
      </w:r>
    </w:p>
  </w:endnote>
  <w:endnote w:type="continuationSeparator" w:id="0">
    <w:p w14:paraId="77ED5EF5" w14:textId="77777777" w:rsidR="003B7A6A" w:rsidRDefault="003B7A6A"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7" w:name="_Hlk114232143"/>
    <w:bookmarkStart w:id="8"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7"/>
    <w:bookmarkEnd w:id="8"/>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0EFD" w14:textId="77777777" w:rsidR="003B7A6A" w:rsidRDefault="003B7A6A" w:rsidP="00202B90">
      <w:bookmarkStart w:id="0" w:name="_Hlk191386689"/>
      <w:bookmarkEnd w:id="0"/>
      <w:r>
        <w:separator/>
      </w:r>
    </w:p>
  </w:footnote>
  <w:footnote w:type="continuationSeparator" w:id="0">
    <w:p w14:paraId="5629BE28" w14:textId="77777777" w:rsidR="003B7A6A" w:rsidRDefault="003B7A6A"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6"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6"/>
  <w:p w14:paraId="3CBF415A" w14:textId="77777777" w:rsidR="00EC1C33" w:rsidRPr="00EC1C33" w:rsidRDefault="00EC1C33" w:rsidP="00EC1C33">
    <w:pPr>
      <w:pStyle w:val="Header"/>
      <w:tabs>
        <w:tab w:val="left" w:pos="630"/>
      </w:tabs>
      <w:rPr>
        <w:rFonts w:ascii="Garamond" w:hAnsi="Garamond"/>
        <w:sz w:val="20"/>
        <w:szCs w:val="22"/>
      </w:rPr>
    </w:pPr>
    <w:r w:rsidRPr="00EC1C33">
      <w:rPr>
        <w:rFonts w:ascii="Garamond" w:hAnsi="Garamond"/>
        <w:sz w:val="20"/>
        <w:szCs w:val="22"/>
      </w:rPr>
      <w:t>Effect of Petroleum Products Inhalation on Oxidative Stress Parameters of Male Wistar Albino Rats</w:t>
    </w:r>
  </w:p>
  <w:p w14:paraId="5D172485" w14:textId="67AA913F" w:rsidR="002238CA" w:rsidRDefault="00874376"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Edoga</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8008089" w14:textId="77777777" w:rsidR="00874376" w:rsidRPr="00EC1C33" w:rsidRDefault="00874376" w:rsidP="00874376">
    <w:pPr>
      <w:pStyle w:val="Header"/>
      <w:tabs>
        <w:tab w:val="left" w:pos="630"/>
      </w:tabs>
      <w:rPr>
        <w:rFonts w:ascii="Garamond" w:hAnsi="Garamond"/>
        <w:sz w:val="20"/>
        <w:szCs w:val="22"/>
      </w:rPr>
    </w:pPr>
    <w:r w:rsidRPr="00EC1C33">
      <w:rPr>
        <w:rFonts w:ascii="Garamond" w:hAnsi="Garamond"/>
        <w:sz w:val="20"/>
        <w:szCs w:val="22"/>
      </w:rPr>
      <w:t>Effect of Petroleum Products Inhalation on Oxidative Stress Parameters of Male Wistar Albino Rats</w:t>
    </w:r>
  </w:p>
  <w:p w14:paraId="064FDDF1" w14:textId="77777777" w:rsidR="00874376" w:rsidRDefault="00874376" w:rsidP="0087437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Edoga</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F9E98E6" w14:textId="77777777" w:rsidR="00874376" w:rsidRPr="00EC1C33" w:rsidRDefault="00874376" w:rsidP="00874376">
    <w:pPr>
      <w:pStyle w:val="Header"/>
      <w:tabs>
        <w:tab w:val="left" w:pos="630"/>
      </w:tabs>
      <w:rPr>
        <w:rFonts w:ascii="Garamond" w:hAnsi="Garamond"/>
        <w:sz w:val="20"/>
        <w:szCs w:val="22"/>
      </w:rPr>
    </w:pPr>
    <w:r w:rsidRPr="00EC1C33">
      <w:rPr>
        <w:rFonts w:ascii="Garamond" w:hAnsi="Garamond"/>
        <w:sz w:val="20"/>
        <w:szCs w:val="22"/>
      </w:rPr>
      <w:t>Effect of Petroleum Products Inhalation on Oxidative Stress Parameters of Male Wistar Albino Rats</w:t>
    </w:r>
  </w:p>
  <w:p w14:paraId="025CAA5E" w14:textId="77777777" w:rsidR="00874376" w:rsidRDefault="00874376" w:rsidP="0087437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Edoga</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000000A"/>
    <w:multiLevelType w:val="hybridMultilevel"/>
    <w:tmpl w:val="9D1A85EA"/>
    <w:lvl w:ilvl="0" w:tplc="950C869C">
      <w:start w:val="1"/>
      <w:numFmt w:val="decimal"/>
      <w:lvlText w:val="%1."/>
      <w:lvlJc w:val="left"/>
      <w:pPr>
        <w:ind w:left="720" w:hanging="360"/>
      </w:pPr>
      <w:rPr>
        <w:rFonts w:hint="default"/>
        <w:color w:val="2E2E2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6124ED"/>
    <w:multiLevelType w:val="hybridMultilevel"/>
    <w:tmpl w:val="C8807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2"/>
  </w:num>
  <w:num w:numId="3" w16cid:durableId="34425020">
    <w:abstractNumId w:val="16"/>
  </w:num>
  <w:num w:numId="4" w16cid:durableId="1129132120">
    <w:abstractNumId w:val="14"/>
  </w:num>
  <w:num w:numId="5" w16cid:durableId="970405640">
    <w:abstractNumId w:val="5"/>
  </w:num>
  <w:num w:numId="6" w16cid:durableId="1155297297">
    <w:abstractNumId w:val="0"/>
  </w:num>
  <w:num w:numId="7" w16cid:durableId="1289319636">
    <w:abstractNumId w:val="18"/>
  </w:num>
  <w:num w:numId="8" w16cid:durableId="1595816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7"/>
  </w:num>
  <w:num w:numId="11" w16cid:durableId="624430197">
    <w:abstractNumId w:val="10"/>
  </w:num>
  <w:num w:numId="12" w16cid:durableId="1779639381">
    <w:abstractNumId w:val="20"/>
  </w:num>
  <w:num w:numId="13" w16cid:durableId="52851340">
    <w:abstractNumId w:val="21"/>
  </w:num>
  <w:num w:numId="14" w16cid:durableId="1055860988">
    <w:abstractNumId w:val="13"/>
  </w:num>
  <w:num w:numId="15" w16cid:durableId="1380934824">
    <w:abstractNumId w:val="22"/>
  </w:num>
  <w:num w:numId="16" w16cid:durableId="1314261793">
    <w:abstractNumId w:val="6"/>
  </w:num>
  <w:num w:numId="17" w16cid:durableId="1221361593">
    <w:abstractNumId w:val="25"/>
  </w:num>
  <w:num w:numId="18" w16cid:durableId="377054002">
    <w:abstractNumId w:val="8"/>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3"/>
  </w:num>
  <w:num w:numId="21" w16cid:durableId="299457719">
    <w:abstractNumId w:val="9"/>
  </w:num>
  <w:num w:numId="22" w16cid:durableId="1575044381">
    <w:abstractNumId w:val="19"/>
  </w:num>
  <w:num w:numId="23" w16cid:durableId="1550071572">
    <w:abstractNumId w:val="26"/>
  </w:num>
  <w:num w:numId="24" w16cid:durableId="1200505831">
    <w:abstractNumId w:val="24"/>
  </w:num>
  <w:num w:numId="25" w16cid:durableId="1501195848">
    <w:abstractNumId w:val="4"/>
  </w:num>
  <w:num w:numId="26" w16cid:durableId="285821898">
    <w:abstractNumId w:val="1"/>
  </w:num>
  <w:num w:numId="27" w16cid:durableId="113175246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2A0F"/>
    <w:rsid w:val="00044076"/>
    <w:rsid w:val="00045140"/>
    <w:rsid w:val="00047BAC"/>
    <w:rsid w:val="00057CF5"/>
    <w:rsid w:val="00070678"/>
    <w:rsid w:val="00070BE4"/>
    <w:rsid w:val="00070E04"/>
    <w:rsid w:val="00070E0C"/>
    <w:rsid w:val="00070E21"/>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9D6"/>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2DE"/>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B7A6A"/>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2FCD"/>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4E93"/>
    <w:rsid w:val="005D69B0"/>
    <w:rsid w:val="005E72F4"/>
    <w:rsid w:val="005E7E10"/>
    <w:rsid w:val="005F0E8C"/>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1A2B"/>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535C"/>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2490"/>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74376"/>
    <w:rsid w:val="00880A2F"/>
    <w:rsid w:val="00881704"/>
    <w:rsid w:val="00881A1D"/>
    <w:rsid w:val="00881D4B"/>
    <w:rsid w:val="00883BE5"/>
    <w:rsid w:val="00887420"/>
    <w:rsid w:val="00887763"/>
    <w:rsid w:val="00887A05"/>
    <w:rsid w:val="00894107"/>
    <w:rsid w:val="008A056F"/>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98E"/>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3ECC"/>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9A6"/>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39DA"/>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1C33"/>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oramarchioa@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81"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81"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5175</Words>
  <Characters>29503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2026-04-06T06:57:00Z</dcterms:created>
  <dcterms:modified xsi:type="dcterms:W3CDTF">2026-04-06T06:57:00Z</dcterms:modified>
</cp:coreProperties>
</file>