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139120B9">
                <wp:simplePos x="0" y="0"/>
                <wp:positionH relativeFrom="column">
                  <wp:posOffset>-238539</wp:posOffset>
                </wp:positionH>
                <wp:positionV relativeFrom="paragraph">
                  <wp:posOffset>122997</wp:posOffset>
                </wp:positionV>
                <wp:extent cx="6419850" cy="1025718"/>
                <wp:effectExtent l="0" t="0" r="19050" b="22225"/>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1025718"/>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ADE7F69" id="Round Diagonal Corner Rectangle 262" o:spid="_x0000_s1026" style="position:absolute;margin-left:-18.8pt;margin-top:9.7pt;width:505.5pt;height:80.7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1025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" path="m170956,l6419850,r,l6419850,854762v,94416,-76540,170956,-170956,170956l,1025718r,l,170956c,76540,76540,,170956,xe" fillcolor="#1a601c" strokecolor="#385723" strokeweight="1pt">
                <v:stroke joinstyle="miter"/>
                <v:path arrowok="t" o:connecttype="custom" o:connectlocs="170956,0;6419850,0;6419850,0;6419850,854762;6248894,1025718;0,1025718;0,1025718;0,170956;170956,0" o:connectangles="0,0,0,0,0,0,0,0,0"/>
              </v:shape>
            </w:pict>
          </mc:Fallback>
        </mc:AlternateContent>
      </w:r>
    </w:p>
    <w:p w14:paraId="0E4FFCF5" w14:textId="77777777" w:rsidR="00691CF0" w:rsidRPr="00691CF0" w:rsidRDefault="00691CF0" w:rsidP="00691CF0">
      <w:pPr>
        <w:pBdr>
          <w:bottom w:val="single" w:sz="6" w:space="1" w:color="auto"/>
        </w:pBdr>
        <w:jc w:val="both"/>
        <w:rPr>
          <w:rFonts w:ascii="Garamond" w:hAnsi="Garamond" w:cs="Times New Roman"/>
          <w:b/>
          <w:bCs/>
          <w:color w:val="FFFFFF" w:themeColor="background1"/>
          <w:sz w:val="32"/>
          <w:szCs w:val="32"/>
          <w:lang w:val="en-GB"/>
        </w:rPr>
      </w:pPr>
      <w:bookmarkStart w:id="1" w:name="_top"/>
      <w:bookmarkStart w:id="2" w:name="_Hlk192762964"/>
      <w:bookmarkStart w:id="3" w:name="_Hlk192836332"/>
      <w:bookmarkEnd w:id="1"/>
      <w:r w:rsidRPr="00691CF0">
        <w:rPr>
          <w:rFonts w:ascii="Garamond" w:hAnsi="Garamond" w:cs="Times New Roman"/>
          <w:b/>
          <w:bCs/>
          <w:color w:val="FFFFFF" w:themeColor="background1"/>
          <w:sz w:val="32"/>
          <w:szCs w:val="32"/>
          <w:lang w:val="en-GB"/>
        </w:rPr>
        <w:t>Acute Effects of Steady-State Generator and Intermittent Traffic Noise on Attention and Short-Term Memory in Nigerian University Students: A Counterbalanced Experimental Study.</w:t>
      </w:r>
    </w:p>
    <w:p w14:paraId="37CBB0E8" w14:textId="289AE07F" w:rsidR="005C344C" w:rsidRDefault="0024597C" w:rsidP="005C344C">
      <w:pPr>
        <w:pBdr>
          <w:bottom w:val="single" w:sz="6" w:space="1" w:color="auto"/>
        </w:pBdr>
        <w:jc w:val="both"/>
        <w:rPr>
          <w:rFonts w:ascii="Garamond" w:hAnsi="Garamond"/>
          <w:b/>
          <w:bCs/>
          <w:i/>
          <w:iCs/>
          <w:color w:val="FFFFFF" w:themeColor="background1"/>
          <w:sz w:val="22"/>
          <w:szCs w:val="22"/>
        </w:rPr>
      </w:pPr>
      <w:r w:rsidRPr="0024597C">
        <w:rPr>
          <w:rFonts w:ascii="Garamond" w:hAnsi="Garamond"/>
          <w:b/>
          <w:bCs/>
          <w:i/>
          <w:iCs/>
          <w:color w:val="FFFFFF" w:themeColor="background1"/>
          <w:sz w:val="22"/>
          <w:szCs w:val="22"/>
          <w:vertAlign w:val="superscript"/>
        </w:rPr>
        <w:t>1</w:t>
      </w:r>
      <w:r w:rsidR="005C344C" w:rsidRPr="005C344C">
        <w:rPr>
          <w:rFonts w:ascii="Garamond" w:hAnsi="Garamond"/>
          <w:b/>
          <w:bCs/>
          <w:i/>
          <w:iCs/>
          <w:color w:val="FFFFFF" w:themeColor="background1"/>
          <w:sz w:val="22"/>
          <w:szCs w:val="22"/>
        </w:rPr>
        <w:t xml:space="preserve">Muhammad-Hadi Folarin </w:t>
      </w:r>
      <w:proofErr w:type="spellStart"/>
      <w:r w:rsidR="005C344C" w:rsidRPr="005C344C">
        <w:rPr>
          <w:rFonts w:ascii="Garamond" w:hAnsi="Garamond"/>
          <w:b/>
          <w:bCs/>
          <w:i/>
          <w:iCs/>
          <w:color w:val="FFFFFF" w:themeColor="background1"/>
          <w:sz w:val="22"/>
          <w:szCs w:val="22"/>
        </w:rPr>
        <w:t>Oyerinde</w:t>
      </w:r>
      <w:proofErr w:type="spellEnd"/>
      <w:r w:rsidR="005C344C" w:rsidRPr="005C344C">
        <w:rPr>
          <w:rFonts w:ascii="Garamond" w:hAnsi="Garamond"/>
          <w:b/>
          <w:bCs/>
          <w:i/>
          <w:iCs/>
          <w:color w:val="FFFFFF" w:themeColor="background1"/>
          <w:sz w:val="22"/>
          <w:szCs w:val="22"/>
        </w:rPr>
        <w:t xml:space="preserve">, </w:t>
      </w:r>
      <w:r w:rsidR="005C344C" w:rsidRPr="005C344C">
        <w:rPr>
          <w:rFonts w:ascii="Garamond" w:hAnsi="Garamond"/>
          <w:b/>
          <w:bCs/>
          <w:i/>
          <w:iCs/>
          <w:color w:val="FFFFFF" w:themeColor="background1"/>
          <w:sz w:val="22"/>
          <w:szCs w:val="22"/>
          <w:vertAlign w:val="superscript"/>
        </w:rPr>
        <w:t>2</w:t>
      </w:r>
      <w:r w:rsidR="005C344C" w:rsidRPr="005C344C">
        <w:rPr>
          <w:rFonts w:ascii="Garamond" w:hAnsi="Garamond"/>
          <w:b/>
          <w:bCs/>
          <w:i/>
          <w:iCs/>
          <w:color w:val="FFFFFF" w:themeColor="background1"/>
          <w:sz w:val="22"/>
          <w:szCs w:val="22"/>
        </w:rPr>
        <w:t xml:space="preserve">Idris Muhammad Yakubu, </w:t>
      </w:r>
      <w:r w:rsidR="005C344C" w:rsidRPr="005C344C">
        <w:rPr>
          <w:rFonts w:ascii="Garamond" w:hAnsi="Garamond"/>
          <w:b/>
          <w:bCs/>
          <w:i/>
          <w:iCs/>
          <w:color w:val="FFFFFF" w:themeColor="background1"/>
          <w:sz w:val="22"/>
          <w:szCs w:val="22"/>
          <w:vertAlign w:val="superscript"/>
        </w:rPr>
        <w:t>3</w:t>
      </w:r>
      <w:r w:rsidR="005C344C" w:rsidRPr="005C344C">
        <w:rPr>
          <w:rFonts w:ascii="Garamond" w:hAnsi="Garamond"/>
          <w:b/>
          <w:bCs/>
          <w:i/>
          <w:iCs/>
          <w:color w:val="FFFFFF" w:themeColor="background1"/>
          <w:sz w:val="22"/>
          <w:szCs w:val="22"/>
        </w:rPr>
        <w:t xml:space="preserve">Ikemsinachi Teddy Ononogbo, </w:t>
      </w:r>
      <w:r w:rsidR="002A5C1C" w:rsidRPr="002A5C1C">
        <w:rPr>
          <w:rFonts w:ascii="Garamond" w:hAnsi="Garamond"/>
          <w:b/>
          <w:bCs/>
          <w:i/>
          <w:iCs/>
          <w:color w:val="FFFFFF" w:themeColor="background1"/>
          <w:sz w:val="22"/>
          <w:szCs w:val="22"/>
          <w:vertAlign w:val="superscript"/>
        </w:rPr>
        <w:t>4</w:t>
      </w:r>
      <w:r w:rsidR="005C344C" w:rsidRPr="005C344C">
        <w:rPr>
          <w:rFonts w:ascii="Garamond" w:hAnsi="Garamond"/>
          <w:b/>
          <w:bCs/>
          <w:i/>
          <w:iCs/>
          <w:color w:val="FFFFFF" w:themeColor="background1"/>
          <w:sz w:val="22"/>
          <w:szCs w:val="22"/>
        </w:rPr>
        <w:t xml:space="preserve">Elvina </w:t>
      </w:r>
      <w:proofErr w:type="spellStart"/>
      <w:r w:rsidR="005C344C" w:rsidRPr="005C344C">
        <w:rPr>
          <w:rFonts w:ascii="Garamond" w:hAnsi="Garamond"/>
          <w:b/>
          <w:bCs/>
          <w:i/>
          <w:iCs/>
          <w:color w:val="FFFFFF" w:themeColor="background1"/>
          <w:sz w:val="22"/>
          <w:szCs w:val="22"/>
        </w:rPr>
        <w:t>Oruobu</w:t>
      </w:r>
      <w:proofErr w:type="spellEnd"/>
      <w:r w:rsidR="005C344C" w:rsidRPr="005C344C">
        <w:rPr>
          <w:rFonts w:ascii="Garamond" w:hAnsi="Garamond"/>
          <w:b/>
          <w:bCs/>
          <w:i/>
          <w:iCs/>
          <w:color w:val="FFFFFF" w:themeColor="background1"/>
          <w:sz w:val="22"/>
          <w:szCs w:val="22"/>
        </w:rPr>
        <w:t xml:space="preserve">, </w:t>
      </w:r>
      <w:r w:rsidR="002A5C1C" w:rsidRPr="002A5C1C">
        <w:rPr>
          <w:rFonts w:ascii="Garamond" w:hAnsi="Garamond"/>
          <w:b/>
          <w:bCs/>
          <w:i/>
          <w:iCs/>
          <w:color w:val="FFFFFF" w:themeColor="background1"/>
          <w:sz w:val="22"/>
          <w:szCs w:val="22"/>
          <w:vertAlign w:val="superscript"/>
        </w:rPr>
        <w:t>5</w:t>
      </w:r>
      <w:r w:rsidR="005C344C" w:rsidRPr="005C344C">
        <w:rPr>
          <w:rFonts w:ascii="Garamond" w:hAnsi="Garamond"/>
          <w:b/>
          <w:bCs/>
          <w:i/>
          <w:iCs/>
          <w:color w:val="FFFFFF" w:themeColor="background1"/>
          <w:sz w:val="22"/>
          <w:szCs w:val="22"/>
        </w:rPr>
        <w:t>Paul Chidiebere Onyebuchi</w:t>
      </w:r>
      <w:r w:rsidR="00A754B1">
        <w:rPr>
          <w:rFonts w:ascii="Garamond" w:hAnsi="Garamond"/>
          <w:b/>
          <w:bCs/>
          <w:i/>
          <w:iCs/>
          <w:color w:val="FFFFFF" w:themeColor="background1"/>
          <w:sz w:val="22"/>
          <w:szCs w:val="22"/>
        </w:rPr>
        <w:t xml:space="preserve"> </w:t>
      </w:r>
    </w:p>
    <w:p w14:paraId="0E044926" w14:textId="19DAC5AA" w:rsidR="005C344C" w:rsidRPr="005C344C" w:rsidRDefault="005C344C" w:rsidP="005C344C">
      <w:pPr>
        <w:pBdr>
          <w:bottom w:val="single" w:sz="6" w:space="1" w:color="auto"/>
        </w:pBdr>
        <w:jc w:val="both"/>
        <w:rPr>
          <w:rFonts w:ascii="Garamond" w:hAnsi="Garamond"/>
          <w:bCs/>
          <w:i/>
          <w:iCs/>
          <w:sz w:val="20"/>
          <w:szCs w:val="20"/>
        </w:rPr>
      </w:pPr>
      <w:bookmarkStart w:id="4" w:name="_Hlk209348096"/>
      <w:bookmarkEnd w:id="2"/>
      <w:bookmarkEnd w:id="3"/>
      <w:r w:rsidRPr="005C344C">
        <w:rPr>
          <w:rFonts w:ascii="Garamond" w:hAnsi="Garamond"/>
          <w:bCs/>
          <w:i/>
          <w:iCs/>
          <w:sz w:val="20"/>
          <w:szCs w:val="20"/>
        </w:rPr>
        <w:t>¹International Tobacco Company, Nigeria</w:t>
      </w:r>
    </w:p>
    <w:p w14:paraId="5576EEC6" w14:textId="28ED503B" w:rsidR="005C344C" w:rsidRPr="005C344C" w:rsidRDefault="005C344C" w:rsidP="005C344C">
      <w:pPr>
        <w:pBdr>
          <w:bottom w:val="single" w:sz="6" w:space="1" w:color="auto"/>
        </w:pBdr>
        <w:jc w:val="both"/>
        <w:rPr>
          <w:rFonts w:ascii="Garamond" w:hAnsi="Garamond"/>
          <w:bCs/>
          <w:i/>
          <w:iCs/>
          <w:sz w:val="20"/>
          <w:szCs w:val="20"/>
        </w:rPr>
      </w:pPr>
      <w:r w:rsidRPr="005C344C">
        <w:rPr>
          <w:rFonts w:ascii="Garamond" w:hAnsi="Garamond"/>
          <w:bCs/>
          <w:i/>
          <w:iCs/>
          <w:sz w:val="20"/>
          <w:szCs w:val="20"/>
        </w:rPr>
        <w:t>²Department of Public Health, American University of Nigeria, Yola, Nigeria</w:t>
      </w:r>
    </w:p>
    <w:p w14:paraId="4CC8A3DA" w14:textId="30159271" w:rsidR="005C344C" w:rsidRDefault="005C344C" w:rsidP="005C344C">
      <w:pPr>
        <w:pBdr>
          <w:bottom w:val="single" w:sz="6" w:space="1" w:color="auto"/>
        </w:pBdr>
        <w:jc w:val="both"/>
        <w:rPr>
          <w:rFonts w:ascii="Garamond" w:hAnsi="Garamond"/>
          <w:bCs/>
          <w:i/>
          <w:iCs/>
          <w:sz w:val="20"/>
          <w:szCs w:val="20"/>
        </w:rPr>
      </w:pPr>
      <w:r w:rsidRPr="005C344C">
        <w:rPr>
          <w:rFonts w:ascii="Garamond" w:hAnsi="Garamond"/>
          <w:bCs/>
          <w:i/>
          <w:iCs/>
          <w:sz w:val="20"/>
          <w:szCs w:val="20"/>
        </w:rPr>
        <w:t>³Mission to Save the Helpless (MITOSATH), Nigeria</w:t>
      </w:r>
    </w:p>
    <w:p w14:paraId="476278D8" w14:textId="781D5807" w:rsidR="005C344C" w:rsidRPr="005C344C" w:rsidRDefault="005C344C" w:rsidP="005C344C">
      <w:pPr>
        <w:pBdr>
          <w:bottom w:val="single" w:sz="6" w:space="1" w:color="auto"/>
        </w:pBdr>
        <w:jc w:val="both"/>
        <w:rPr>
          <w:rFonts w:ascii="Garamond" w:hAnsi="Garamond"/>
          <w:bCs/>
          <w:i/>
          <w:iCs/>
          <w:sz w:val="20"/>
          <w:szCs w:val="20"/>
        </w:rPr>
      </w:pPr>
      <w:r w:rsidRPr="005C344C">
        <w:rPr>
          <w:rFonts w:ascii="Cambria Math" w:hAnsi="Cambria Math" w:cs="Cambria Math"/>
          <w:bCs/>
          <w:i/>
          <w:iCs/>
          <w:sz w:val="20"/>
          <w:szCs w:val="20"/>
        </w:rPr>
        <w:t>⁴</w:t>
      </w:r>
      <w:r w:rsidRPr="005C344C">
        <w:rPr>
          <w:rFonts w:ascii="Garamond" w:hAnsi="Garamond"/>
          <w:bCs/>
          <w:i/>
          <w:iCs/>
          <w:sz w:val="20"/>
          <w:szCs w:val="20"/>
        </w:rPr>
        <w:t>British American Tobacco Company, Nigeria</w:t>
      </w:r>
    </w:p>
    <w:p w14:paraId="27C2DB2D" w14:textId="48AC914D" w:rsidR="005C344C" w:rsidRPr="005C344C" w:rsidRDefault="005C344C" w:rsidP="005C344C">
      <w:pPr>
        <w:pBdr>
          <w:bottom w:val="single" w:sz="6" w:space="1" w:color="auto"/>
        </w:pBdr>
        <w:jc w:val="both"/>
        <w:rPr>
          <w:rFonts w:ascii="Garamond" w:hAnsi="Garamond"/>
          <w:bCs/>
          <w:i/>
          <w:iCs/>
          <w:sz w:val="20"/>
          <w:szCs w:val="20"/>
        </w:rPr>
      </w:pPr>
      <w:r w:rsidRPr="005C344C">
        <w:rPr>
          <w:rFonts w:ascii="Cambria Math" w:hAnsi="Cambria Math" w:cs="Cambria Math"/>
          <w:bCs/>
          <w:i/>
          <w:iCs/>
          <w:sz w:val="20"/>
          <w:szCs w:val="20"/>
        </w:rPr>
        <w:t>⁵</w:t>
      </w:r>
      <w:r w:rsidRPr="005C344C">
        <w:rPr>
          <w:rFonts w:ascii="Garamond" w:hAnsi="Garamond"/>
          <w:bCs/>
          <w:i/>
          <w:iCs/>
          <w:sz w:val="20"/>
          <w:szCs w:val="20"/>
        </w:rPr>
        <w:t>Lagos State University Teaching Hospital, Lagos, Nigeria</w:t>
      </w:r>
    </w:p>
    <w:p w14:paraId="5B942685" w14:textId="77777777" w:rsidR="002265FA" w:rsidRDefault="002265FA" w:rsidP="00F20CA0">
      <w:pPr>
        <w:pBdr>
          <w:bottom w:val="single" w:sz="6" w:space="1" w:color="auto"/>
        </w:pBdr>
        <w:jc w:val="both"/>
        <w:rPr>
          <w:rFonts w:ascii="Garamond" w:hAnsi="Garamond"/>
          <w:bCs/>
          <w:i/>
          <w:iCs/>
          <w:sz w:val="20"/>
          <w:szCs w:val="20"/>
        </w:rPr>
      </w:pPr>
    </w:p>
    <w:bookmarkEnd w:id="4"/>
    <w:p w14:paraId="57003150" w14:textId="6A322324" w:rsidR="002A5C1C" w:rsidRDefault="001D4D3C" w:rsidP="00855308">
      <w:pPr>
        <w:pBdr>
          <w:bottom w:val="single" w:sz="6" w:space="1" w:color="auto"/>
        </w:pBdr>
        <w:jc w:val="both"/>
        <w:rPr>
          <w:rFonts w:ascii="Garamond" w:hAnsi="Garamond"/>
          <w:b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2A5C1C" w:rsidRPr="002A5C1C">
        <w:rPr>
          <w:rFonts w:ascii="Garamond" w:hAnsi="Garamond" w:cs="Segoe UI"/>
          <w:b/>
          <w:bCs/>
          <w:sz w:val="20"/>
          <w:szCs w:val="20"/>
          <w:shd w:val="clear" w:color="auto" w:fill="FFFFFF"/>
        </w:rPr>
        <w:t xml:space="preserve">Muhammad-Hadi Folarin </w:t>
      </w:r>
      <w:proofErr w:type="spellStart"/>
      <w:r w:rsidR="002A5C1C" w:rsidRPr="002A5C1C">
        <w:rPr>
          <w:rFonts w:ascii="Garamond" w:hAnsi="Garamond" w:cs="Segoe UI"/>
          <w:b/>
          <w:bCs/>
          <w:sz w:val="20"/>
          <w:szCs w:val="20"/>
          <w:shd w:val="clear" w:color="auto" w:fill="FFFFFF"/>
        </w:rPr>
        <w:t>Oyerinde</w:t>
      </w:r>
      <w:proofErr w:type="spellEnd"/>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2A5C1C" w:rsidRPr="005C344C">
        <w:rPr>
          <w:rFonts w:ascii="Garamond" w:hAnsi="Garamond"/>
          <w:bCs/>
          <w:sz w:val="20"/>
          <w:szCs w:val="20"/>
        </w:rPr>
        <w:t>International Tobacco Company, Nigeria</w:t>
      </w:r>
      <w:r w:rsidR="002A5C1C">
        <w:rPr>
          <w:rFonts w:ascii="Garamond" w:hAnsi="Garamond"/>
          <w:bCs/>
          <w:sz w:val="20"/>
          <w:szCs w:val="20"/>
        </w:rPr>
        <w:t xml:space="preserve"> </w:t>
      </w:r>
      <w:hyperlink r:id="rId8" w:history="1">
        <w:r w:rsidR="00A754B1" w:rsidRPr="00A703B8">
          <w:rPr>
            <w:rStyle w:val="Hyperlink"/>
            <w:rFonts w:ascii="Garamond" w:hAnsi="Garamond"/>
            <w:bCs/>
            <w:sz w:val="20"/>
            <w:szCs w:val="20"/>
          </w:rPr>
          <w:t>omhspace@gmail.com</w:t>
        </w:r>
      </w:hyperlink>
      <w:r w:rsidR="002A5C1C">
        <w:rPr>
          <w:rFonts w:ascii="Garamond" w:hAnsi="Garamond"/>
          <w:bCs/>
          <w:sz w:val="20"/>
          <w:szCs w:val="20"/>
        </w:rPr>
        <w:t>:</w:t>
      </w:r>
      <w:r w:rsidR="00A754B1">
        <w:rPr>
          <w:rFonts w:ascii="Garamond" w:hAnsi="Garamond"/>
          <w:bCs/>
          <w:sz w:val="20"/>
          <w:szCs w:val="20"/>
        </w:rPr>
        <w:t xml:space="preserve"> </w:t>
      </w:r>
      <w:r w:rsidR="002A5C1C" w:rsidRPr="002A5C1C">
        <w:rPr>
          <w:rFonts w:ascii="Garamond" w:hAnsi="Garamond"/>
          <w:bCs/>
          <w:sz w:val="20"/>
          <w:szCs w:val="20"/>
        </w:rPr>
        <w:t>+234 903 930 2264</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1F4826F2"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A975BD">
        <w:rPr>
          <w:rFonts w:ascii="Garamond" w:hAnsi="Garamond"/>
          <w:sz w:val="16"/>
          <w:szCs w:val="16"/>
        </w:rPr>
        <w:t>10</w:t>
      </w:r>
      <w:r w:rsidR="00943E61" w:rsidRPr="00F30FAF">
        <w:rPr>
          <w:rFonts w:ascii="Garamond" w:hAnsi="Garamond"/>
          <w:sz w:val="16"/>
          <w:szCs w:val="16"/>
        </w:rPr>
        <w:t xml:space="preserve"> </w:t>
      </w:r>
      <w:r w:rsidR="00A975BD">
        <w:rPr>
          <w:rFonts w:ascii="Garamond" w:hAnsi="Garamond"/>
          <w:sz w:val="16"/>
          <w:szCs w:val="16"/>
        </w:rPr>
        <w:t>January</w:t>
      </w:r>
      <w:r w:rsidR="00943E61" w:rsidRPr="00F30FAF">
        <w:rPr>
          <w:rFonts w:ascii="Garamond" w:hAnsi="Garamond"/>
          <w:sz w:val="16"/>
          <w:szCs w:val="16"/>
        </w:rPr>
        <w:t xml:space="preserve"> 202</w:t>
      </w:r>
      <w:r w:rsidR="00A975BD">
        <w:rPr>
          <w:rFonts w:ascii="Garamond" w:hAnsi="Garamond"/>
          <w:sz w:val="16"/>
          <w:szCs w:val="16"/>
        </w:rPr>
        <w:t>6</w:t>
      </w:r>
      <w:r w:rsidR="00943E61" w:rsidRPr="00F30FAF">
        <w:rPr>
          <w:rFonts w:ascii="Garamond" w:hAnsi="Garamond"/>
          <w:sz w:val="16"/>
          <w:szCs w:val="16"/>
        </w:rPr>
        <w:t xml:space="preserve">, Reviewed </w:t>
      </w:r>
      <w:r w:rsidR="002E3587">
        <w:rPr>
          <w:rFonts w:ascii="Garamond" w:hAnsi="Garamond"/>
          <w:sz w:val="16"/>
          <w:szCs w:val="16"/>
        </w:rPr>
        <w:t>07</w:t>
      </w:r>
      <w:r w:rsidR="00943E61" w:rsidRPr="00F30FAF">
        <w:rPr>
          <w:rFonts w:ascii="Garamond" w:hAnsi="Garamond"/>
          <w:sz w:val="16"/>
          <w:szCs w:val="16"/>
        </w:rPr>
        <w:t xml:space="preserve"> </w:t>
      </w:r>
      <w:r w:rsidR="00A975BD">
        <w:rPr>
          <w:rFonts w:ascii="Garamond" w:hAnsi="Garamond"/>
          <w:sz w:val="16"/>
          <w:szCs w:val="16"/>
        </w:rPr>
        <w:t>February</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2E3587">
        <w:rPr>
          <w:rFonts w:ascii="Garamond" w:hAnsi="Garamond"/>
          <w:sz w:val="16"/>
          <w:szCs w:val="16"/>
        </w:rPr>
        <w:t>17</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14D8CEE8" w:rsidR="006732D7" w:rsidRPr="000931E7" w:rsidRDefault="00716B70" w:rsidP="006732D7">
      <w:pPr>
        <w:jc w:val="both"/>
        <w:rPr>
          <w:rFonts w:ascii="Garamond" w:hAnsi="Garamond"/>
          <w:sz w:val="22"/>
          <w:szCs w:val="22"/>
        </w:rPr>
      </w:pPr>
      <w:r w:rsidRPr="000931E7">
        <w:rPr>
          <w:rFonts w:ascii="Garamond" w:hAnsi="Garamond"/>
          <w:b/>
          <w:sz w:val="22"/>
          <w:szCs w:val="20"/>
        </w:rPr>
        <w:t>ABSTRACT</w:t>
      </w:r>
    </w:p>
    <w:p w14:paraId="42F1EBCC" w14:textId="6D6490DD" w:rsidR="00691CF0" w:rsidRPr="00691CF0" w:rsidRDefault="00691CF0" w:rsidP="00691CF0">
      <w:pPr>
        <w:jc w:val="both"/>
        <w:rPr>
          <w:rFonts w:ascii="Garamond" w:eastAsiaTheme="minorHAnsi" w:hAnsi="Garamond" w:cstheme="minorHAnsi"/>
          <w:bCs/>
          <w:sz w:val="20"/>
          <w:szCs w:val="20"/>
          <w:lang w:val="en-GB"/>
        </w:rPr>
      </w:pPr>
      <w:r w:rsidRPr="00691CF0">
        <w:rPr>
          <w:rFonts w:ascii="Garamond" w:eastAsiaTheme="minorHAnsi" w:hAnsi="Garamond" w:cstheme="minorHAnsi"/>
          <w:b/>
          <w:bCs/>
          <w:sz w:val="20"/>
          <w:szCs w:val="20"/>
          <w:lang w:val="en-GB"/>
        </w:rPr>
        <w:t>Objective</w:t>
      </w:r>
      <w:r w:rsidRPr="00691CF0">
        <w:rPr>
          <w:rFonts w:ascii="Garamond" w:eastAsiaTheme="minorHAnsi" w:hAnsi="Garamond" w:cstheme="minorHAnsi"/>
          <w:bCs/>
          <w:sz w:val="20"/>
          <w:szCs w:val="20"/>
          <w:lang w:val="en-GB"/>
        </w:rPr>
        <w:t>: This study examined the acute effects of steady-state and intermittent noise on attention and short-term memory among Nigerian university students.</w:t>
      </w:r>
    </w:p>
    <w:p w14:paraId="55EFD01E" w14:textId="77777777" w:rsidR="00691CF0" w:rsidRPr="00691CF0" w:rsidRDefault="00691CF0" w:rsidP="00691CF0">
      <w:pPr>
        <w:jc w:val="both"/>
        <w:rPr>
          <w:rFonts w:ascii="Garamond" w:eastAsiaTheme="minorHAnsi" w:hAnsi="Garamond" w:cstheme="minorHAnsi"/>
          <w:bCs/>
          <w:sz w:val="20"/>
          <w:szCs w:val="20"/>
          <w:lang w:val="en-GB"/>
        </w:rPr>
      </w:pPr>
      <w:r w:rsidRPr="00691CF0">
        <w:rPr>
          <w:rFonts w:ascii="Garamond" w:eastAsiaTheme="minorHAnsi" w:hAnsi="Garamond" w:cstheme="minorHAnsi"/>
          <w:b/>
          <w:bCs/>
          <w:sz w:val="20"/>
          <w:szCs w:val="20"/>
          <w:lang w:val="en-GB"/>
        </w:rPr>
        <w:t>Methods</w:t>
      </w:r>
      <w:r w:rsidRPr="00691CF0">
        <w:rPr>
          <w:rFonts w:ascii="Garamond" w:eastAsiaTheme="minorHAnsi" w:hAnsi="Garamond" w:cstheme="minorHAnsi"/>
          <w:bCs/>
          <w:sz w:val="20"/>
          <w:szCs w:val="20"/>
          <w:lang w:val="en-GB"/>
        </w:rPr>
        <w:t>: A counterbalanced within-subjects experimental design was employed with 40 undergraduate students from UNILORIN, who were exposed to three conditions: quiet control (~35 dB[A]), steady-state noise, and intermittent noise, all calibrated at 70 dB(A). Attention was assessed using the Letter Cancellation Test (LCT), while short-term memory was measured using immediate free recall of ten semantically unrelated words. Linear mixed-effects models adjusting for individual and session-level covariates were applied, with supplementary repeated-measures ANOVA (Analysis of Variance).</w:t>
      </w:r>
    </w:p>
    <w:p w14:paraId="6C0FF506" w14:textId="77777777" w:rsidR="00691CF0" w:rsidRPr="00691CF0" w:rsidRDefault="00691CF0" w:rsidP="00691CF0">
      <w:pPr>
        <w:jc w:val="both"/>
        <w:rPr>
          <w:rFonts w:ascii="Garamond" w:eastAsiaTheme="minorHAnsi" w:hAnsi="Garamond" w:cstheme="minorHAnsi"/>
          <w:bCs/>
          <w:sz w:val="20"/>
          <w:szCs w:val="20"/>
          <w:lang w:val="en-GB"/>
        </w:rPr>
      </w:pPr>
      <w:r w:rsidRPr="00691CF0">
        <w:rPr>
          <w:rFonts w:ascii="Garamond" w:eastAsiaTheme="minorHAnsi" w:hAnsi="Garamond" w:cstheme="minorHAnsi"/>
          <w:b/>
          <w:bCs/>
          <w:sz w:val="20"/>
          <w:szCs w:val="20"/>
          <w:lang w:val="en-GB"/>
        </w:rPr>
        <w:t>Results</w:t>
      </w:r>
      <w:r w:rsidRPr="00691CF0">
        <w:rPr>
          <w:rFonts w:ascii="Garamond" w:eastAsiaTheme="minorHAnsi" w:hAnsi="Garamond" w:cstheme="minorHAnsi"/>
          <w:bCs/>
          <w:sz w:val="20"/>
          <w:szCs w:val="20"/>
          <w:lang w:val="en-GB"/>
        </w:rPr>
        <w:t xml:space="preserve">: Linear mixed-effects models showed no significant deleterious effects of steady-state or intermittent noise on attention or short-term memory compared with the quiet condition. Supplementary repeated-measures ANOVA identified statistical differences in attention scores, but these effects were small and attenuated after covariate adjustment. Stress emerged as a significant negative predictor of both cognitive outcomes, while noise sensitivity showed a positive association with attentional performance. These findings suggest habituation or arousal-related resilience to noise exposure, with stress exerting a stronger influence on cognitive performance than noise itself. </w:t>
      </w:r>
    </w:p>
    <w:p w14:paraId="44EE8902" w14:textId="77777777" w:rsidR="00691CF0" w:rsidRDefault="00691CF0" w:rsidP="00A754B1">
      <w:pPr>
        <w:rPr>
          <w:rFonts w:ascii="Garamond" w:eastAsiaTheme="minorHAnsi" w:hAnsi="Garamond" w:cstheme="minorHAnsi"/>
          <w:b/>
          <w:bCs/>
          <w:sz w:val="20"/>
          <w:szCs w:val="20"/>
          <w:lang w:val="en-GB"/>
        </w:rPr>
      </w:pPr>
      <w:r w:rsidRPr="00691CF0">
        <w:rPr>
          <w:rFonts w:ascii="Garamond" w:eastAsiaTheme="minorHAnsi" w:hAnsi="Garamond" w:cstheme="minorHAnsi"/>
          <w:b/>
          <w:bCs/>
          <w:sz w:val="20"/>
          <w:szCs w:val="20"/>
          <w:lang w:val="en-GB"/>
        </w:rPr>
        <w:t>Conclusion</w:t>
      </w:r>
      <w:r w:rsidRPr="00691CF0">
        <w:rPr>
          <w:rFonts w:ascii="Garamond" w:eastAsiaTheme="minorHAnsi" w:hAnsi="Garamond" w:cstheme="minorHAnsi"/>
          <w:bCs/>
          <w:sz w:val="20"/>
          <w:szCs w:val="20"/>
          <w:lang w:val="en-GB"/>
        </w:rPr>
        <w:t xml:space="preserve">: Acute exposure to generator and traffic noise at 70 dB(A) does not significantly impair attention or memory among Nigerian university students. Interventions targeting stress reduction may offer greater cognitive benefits than short-term noise control alone.  </w:t>
      </w:r>
      <w:r w:rsidRPr="00691CF0">
        <w:rPr>
          <w:rFonts w:ascii="Garamond" w:eastAsiaTheme="minorHAnsi" w:hAnsi="Garamond" w:cstheme="minorHAnsi"/>
          <w:bCs/>
          <w:sz w:val="20"/>
          <w:szCs w:val="20"/>
          <w:lang w:val="en-GB"/>
        </w:rPr>
        <w:br/>
      </w:r>
    </w:p>
    <w:p w14:paraId="6844A87C" w14:textId="6C319358" w:rsidR="00691CF0" w:rsidRPr="00691CF0" w:rsidRDefault="00691CF0" w:rsidP="00691CF0">
      <w:pPr>
        <w:jc w:val="both"/>
        <w:rPr>
          <w:rFonts w:ascii="Garamond" w:eastAsiaTheme="minorHAnsi" w:hAnsi="Garamond" w:cstheme="minorHAnsi"/>
          <w:bCs/>
          <w:sz w:val="20"/>
          <w:szCs w:val="20"/>
          <w:lang w:val="en-GB"/>
        </w:rPr>
      </w:pPr>
      <w:r w:rsidRPr="00691CF0">
        <w:rPr>
          <w:rFonts w:ascii="Garamond" w:eastAsiaTheme="minorHAnsi" w:hAnsi="Garamond" w:cstheme="minorHAnsi"/>
          <w:b/>
          <w:bCs/>
          <w:sz w:val="20"/>
          <w:szCs w:val="20"/>
          <w:lang w:val="en-GB"/>
        </w:rPr>
        <w:t>Keywords</w:t>
      </w:r>
      <w:r>
        <w:rPr>
          <w:rFonts w:ascii="Garamond" w:eastAsiaTheme="minorHAnsi" w:hAnsi="Garamond" w:cstheme="minorHAnsi"/>
          <w:b/>
          <w:bCs/>
          <w:sz w:val="20"/>
          <w:szCs w:val="20"/>
          <w:lang w:val="en-GB"/>
        </w:rPr>
        <w:t xml:space="preserve">: </w:t>
      </w:r>
      <w:r w:rsidRPr="00691CF0">
        <w:rPr>
          <w:rFonts w:ascii="Garamond" w:eastAsiaTheme="minorHAnsi" w:hAnsi="Garamond" w:cstheme="minorHAnsi"/>
          <w:bCs/>
          <w:sz w:val="20"/>
          <w:szCs w:val="20"/>
          <w:lang w:val="en-GB"/>
        </w:rPr>
        <w:t>Environmental noise, generator noise, traffic noise, cognitive performance, attention, short-term memory, university students, public health.</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716B70">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289"/>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7EA89543" w14:textId="5C360F63" w:rsidR="0080277A" w:rsidRPr="000931E7" w:rsidRDefault="006732D7"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r w:rsidRPr="000931E7">
        <w:rPr>
          <w:rFonts w:ascii="Garamond" w:hAnsi="Garamond"/>
          <w:noProof/>
          <w:sz w:val="20"/>
          <w:szCs w:val="20"/>
        </w:rPr>
        <w:drawing>
          <wp:inline distT="0" distB="0" distL="0" distR="0" wp14:anchorId="2CDA4C7E" wp14:editId="6A4D50D9">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5EA8BF0D">
                <wp:simplePos x="0" y="0"/>
                <wp:positionH relativeFrom="margin">
                  <wp:posOffset>3254829</wp:posOffset>
                </wp:positionH>
                <wp:positionV relativeFrom="paragraph">
                  <wp:posOffset>23949</wp:posOffset>
                </wp:positionV>
                <wp:extent cx="2671639" cy="1099457"/>
                <wp:effectExtent l="0" t="0" r="8255" b="18415"/>
                <wp:wrapNone/>
                <wp:docPr id="8" name="Text Box 8"/>
                <wp:cNvGraphicFramePr/>
                <a:graphic xmlns:a="http://schemas.openxmlformats.org/drawingml/2006/main">
                  <a:graphicData uri="http://schemas.microsoft.com/office/word/2010/wordprocessingShape">
                    <wps:wsp>
                      <wps:cNvSpPr txBox="1"/>
                      <wps:spPr>
                        <a:xfrm>
                          <a:off x="0" y="0"/>
                          <a:ext cx="2671639" cy="1099457"/>
                        </a:xfrm>
                        <a:prstGeom prst="rect">
                          <a:avLst/>
                        </a:prstGeom>
                        <a:solidFill>
                          <a:sysClr val="window" lastClr="FFFFFF"/>
                        </a:solidFill>
                        <a:ln w="6350">
                          <a:solidFill>
                            <a:srgbClr val="70AD47">
                              <a:lumMod val="75000"/>
                            </a:srgbClr>
                          </a:solidFill>
                        </a:ln>
                      </wps:spPr>
                      <wps:txbx>
                        <w:txbxContent>
                          <w:p w14:paraId="65562D4D" w14:textId="21544D32" w:rsidR="00576722" w:rsidRPr="002A5C1C" w:rsidRDefault="00D60F57" w:rsidP="002A5C1C">
                            <w:pPr>
                              <w:pBdr>
                                <w:bottom w:val="single" w:sz="6" w:space="1" w:color="auto"/>
                              </w:pBdr>
                              <w:jc w:val="both"/>
                              <w:rPr>
                                <w:rFonts w:ascii="Garamond" w:hAnsi="Garamond" w:cs="Segoe UI"/>
                                <w:sz w:val="21"/>
                                <w:szCs w:val="21"/>
                                <w:shd w:val="clear" w:color="auto" w:fill="FFFFFF"/>
                              </w:rPr>
                            </w:pPr>
                            <w:proofErr w:type="spellStart"/>
                            <w:r w:rsidRPr="00F65266">
                              <w:rPr>
                                <w:rFonts w:ascii="Garamond" w:hAnsi="Garamond"/>
                                <w:i/>
                                <w:iCs/>
                                <w:sz w:val="20"/>
                                <w:szCs w:val="20"/>
                              </w:rPr>
                              <w:t>Oyerinde</w:t>
                            </w:r>
                            <w:proofErr w:type="spellEnd"/>
                            <w:r w:rsidRPr="00F65266">
                              <w:rPr>
                                <w:rFonts w:ascii="Garamond" w:hAnsi="Garamond"/>
                                <w:i/>
                                <w:iCs/>
                                <w:sz w:val="20"/>
                                <w:szCs w:val="20"/>
                              </w:rPr>
                              <w:t xml:space="preserve"> MF, Yakubu IM, </w:t>
                            </w:r>
                            <w:proofErr w:type="spellStart"/>
                            <w:r w:rsidRPr="00F65266">
                              <w:rPr>
                                <w:rFonts w:ascii="Garamond" w:hAnsi="Garamond"/>
                                <w:i/>
                                <w:iCs/>
                                <w:sz w:val="20"/>
                                <w:szCs w:val="20"/>
                              </w:rPr>
                              <w:t>Ononogbo</w:t>
                            </w:r>
                            <w:proofErr w:type="spellEnd"/>
                            <w:r w:rsidRPr="00F65266">
                              <w:rPr>
                                <w:rFonts w:ascii="Garamond" w:hAnsi="Garamond"/>
                                <w:i/>
                                <w:iCs/>
                                <w:sz w:val="20"/>
                                <w:szCs w:val="20"/>
                              </w:rPr>
                              <w:t xml:space="preserve"> IT, </w:t>
                            </w:r>
                            <w:proofErr w:type="spellStart"/>
                            <w:r w:rsidRPr="00F65266">
                              <w:rPr>
                                <w:rFonts w:ascii="Garamond" w:hAnsi="Garamond"/>
                                <w:i/>
                                <w:iCs/>
                                <w:sz w:val="20"/>
                                <w:szCs w:val="20"/>
                              </w:rPr>
                              <w:t>Oruobu</w:t>
                            </w:r>
                            <w:proofErr w:type="spellEnd"/>
                            <w:r w:rsidRPr="00F65266">
                              <w:rPr>
                                <w:rFonts w:ascii="Garamond" w:hAnsi="Garamond"/>
                                <w:i/>
                                <w:iCs/>
                                <w:sz w:val="20"/>
                                <w:szCs w:val="20"/>
                              </w:rPr>
                              <w:t xml:space="preserve"> E, Onyebuchi PC. </w:t>
                            </w:r>
                            <w:r w:rsidR="00691CF0" w:rsidRPr="00691CF0">
                              <w:rPr>
                                <w:rFonts w:ascii="Garamond" w:hAnsi="Garamond" w:cs="Segoe UI"/>
                                <w:sz w:val="18"/>
                                <w:szCs w:val="18"/>
                                <w:shd w:val="clear" w:color="auto" w:fill="FFFFFF"/>
                                <w:lang w:val="en-GB"/>
                              </w:rPr>
                              <w:t>Acute Effects of Steady-State Generator and Intermittent Traffic Noise on Attention and Short-Term Memory in Nigerian University Students: A Counterbalanced Experimental Study.</w:t>
                            </w:r>
                            <w:r w:rsidR="00691CF0" w:rsidRPr="002A5C1C">
                              <w:rPr>
                                <w:rFonts w:ascii="Garamond" w:hAnsi="Garamond" w:cs="Segoe UI"/>
                                <w:sz w:val="18"/>
                                <w:szCs w:val="18"/>
                                <w:shd w:val="clear" w:color="auto" w:fill="FFFFFF"/>
                                <w:lang w:val="en-GB"/>
                              </w:rPr>
                              <w:t xml:space="preserve"> </w:t>
                            </w:r>
                            <w:r w:rsidR="00576722" w:rsidRPr="002A5C1C">
                              <w:rPr>
                                <w:rFonts w:ascii="Garamond" w:hAnsi="Garamond" w:cs="Segoe UI"/>
                                <w:color w:val="000000" w:themeColor="text1"/>
                                <w:sz w:val="21"/>
                                <w:szCs w:val="21"/>
                                <w:shd w:val="clear" w:color="auto" w:fill="FFFFFF"/>
                              </w:rPr>
                              <w:t>The Nigerian Health Journal 202</w:t>
                            </w:r>
                            <w:r w:rsidR="00347612" w:rsidRPr="002A5C1C">
                              <w:rPr>
                                <w:rFonts w:ascii="Garamond" w:hAnsi="Garamond" w:cs="Segoe UI"/>
                                <w:color w:val="000000" w:themeColor="text1"/>
                                <w:sz w:val="21"/>
                                <w:szCs w:val="21"/>
                                <w:shd w:val="clear" w:color="auto" w:fill="FFFFFF"/>
                              </w:rPr>
                              <w:t>6</w:t>
                            </w:r>
                            <w:r w:rsidR="00576722" w:rsidRPr="002A5C1C">
                              <w:rPr>
                                <w:rFonts w:ascii="Garamond" w:hAnsi="Garamond" w:cs="Segoe UI"/>
                                <w:color w:val="000000" w:themeColor="text1"/>
                                <w:sz w:val="21"/>
                                <w:szCs w:val="21"/>
                                <w:shd w:val="clear" w:color="auto" w:fill="FFFFFF"/>
                              </w:rPr>
                              <w:t>; 2</w:t>
                            </w:r>
                            <w:r w:rsidR="00347612" w:rsidRPr="002A5C1C">
                              <w:rPr>
                                <w:rFonts w:ascii="Garamond" w:hAnsi="Garamond" w:cs="Segoe UI"/>
                                <w:color w:val="000000" w:themeColor="text1"/>
                                <w:sz w:val="21"/>
                                <w:szCs w:val="21"/>
                                <w:shd w:val="clear" w:color="auto" w:fill="FFFFFF"/>
                              </w:rPr>
                              <w:t>6</w:t>
                            </w:r>
                            <w:r w:rsidR="00576722" w:rsidRPr="002A5C1C">
                              <w:rPr>
                                <w:rFonts w:ascii="Garamond" w:hAnsi="Garamond" w:cs="Segoe UI"/>
                                <w:color w:val="000000" w:themeColor="text1"/>
                                <w:sz w:val="21"/>
                                <w:szCs w:val="21"/>
                                <w:shd w:val="clear" w:color="auto" w:fill="FFFFFF"/>
                              </w:rPr>
                              <w:t>(</w:t>
                            </w:r>
                            <w:r w:rsidR="00347612" w:rsidRPr="002A5C1C">
                              <w:rPr>
                                <w:rFonts w:ascii="Garamond" w:hAnsi="Garamond" w:cs="Segoe UI"/>
                                <w:color w:val="000000" w:themeColor="text1"/>
                                <w:sz w:val="21"/>
                                <w:szCs w:val="21"/>
                                <w:shd w:val="clear" w:color="auto" w:fill="FFFFFF"/>
                              </w:rPr>
                              <w:t>1</w:t>
                            </w:r>
                            <w:r w:rsidR="00576722" w:rsidRPr="002A5C1C">
                              <w:rPr>
                                <w:rFonts w:ascii="Garamond" w:hAnsi="Garamond" w:cs="Segoe UI"/>
                                <w:color w:val="000000" w:themeColor="text1"/>
                                <w:sz w:val="21"/>
                                <w:szCs w:val="21"/>
                                <w:shd w:val="clear" w:color="auto" w:fill="FFFFFF"/>
                              </w:rPr>
                              <w:t>)</w:t>
                            </w:r>
                            <w:r w:rsidR="00716B70">
                              <w:rPr>
                                <w:rFonts w:ascii="Garamond" w:hAnsi="Garamond" w:cs="Segoe UI"/>
                                <w:color w:val="000000" w:themeColor="text1"/>
                                <w:sz w:val="21"/>
                                <w:szCs w:val="21"/>
                                <w:shd w:val="clear" w:color="auto" w:fill="FFFFFF"/>
                              </w:rPr>
                              <w:t xml:space="preserve">: 289 – 297. </w:t>
                            </w:r>
                            <w:hyperlink r:id="rId22" w:history="1">
                              <w:r w:rsidR="00716B70" w:rsidRPr="008D4B15">
                                <w:rPr>
                                  <w:rStyle w:val="Hyperlink"/>
                                  <w:rFonts w:ascii="Garamond" w:hAnsi="Garamond" w:cs="Arial"/>
                                  <w:sz w:val="20"/>
                                  <w:szCs w:val="20"/>
                                </w:rPr>
                                <w:t>https://doi.org/10.71637/tnhj.v26i1.1300</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1.9pt;width:210.35pt;height:86.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" fillcolor="window" strokecolor="#548235" strokeweight=".5pt">
                <v:textbox>
                  <w:txbxContent>
                    <w:p w14:paraId="65562D4D" w14:textId="21544D32" w:rsidR="00576722" w:rsidRPr="002A5C1C" w:rsidRDefault="00D60F57" w:rsidP="002A5C1C">
                      <w:pPr>
                        <w:pBdr>
                          <w:bottom w:val="single" w:sz="6" w:space="1" w:color="auto"/>
                        </w:pBdr>
                        <w:jc w:val="both"/>
                        <w:rPr>
                          <w:rFonts w:ascii="Garamond" w:hAnsi="Garamond" w:cs="Segoe UI"/>
                          <w:sz w:val="21"/>
                          <w:szCs w:val="21"/>
                          <w:shd w:val="clear" w:color="auto" w:fill="FFFFFF"/>
                        </w:rPr>
                      </w:pPr>
                      <w:proofErr w:type="spellStart"/>
                      <w:r w:rsidRPr="00F65266">
                        <w:rPr>
                          <w:rFonts w:ascii="Garamond" w:hAnsi="Garamond"/>
                          <w:i/>
                          <w:iCs/>
                          <w:sz w:val="20"/>
                          <w:szCs w:val="20"/>
                        </w:rPr>
                        <w:t>Oyerinde</w:t>
                      </w:r>
                      <w:proofErr w:type="spellEnd"/>
                      <w:r w:rsidRPr="00F65266">
                        <w:rPr>
                          <w:rFonts w:ascii="Garamond" w:hAnsi="Garamond"/>
                          <w:i/>
                          <w:iCs/>
                          <w:sz w:val="20"/>
                          <w:szCs w:val="20"/>
                        </w:rPr>
                        <w:t xml:space="preserve"> MF, Yakubu IM, </w:t>
                      </w:r>
                      <w:proofErr w:type="spellStart"/>
                      <w:r w:rsidRPr="00F65266">
                        <w:rPr>
                          <w:rFonts w:ascii="Garamond" w:hAnsi="Garamond"/>
                          <w:i/>
                          <w:iCs/>
                          <w:sz w:val="20"/>
                          <w:szCs w:val="20"/>
                        </w:rPr>
                        <w:t>Ononogbo</w:t>
                      </w:r>
                      <w:proofErr w:type="spellEnd"/>
                      <w:r w:rsidRPr="00F65266">
                        <w:rPr>
                          <w:rFonts w:ascii="Garamond" w:hAnsi="Garamond"/>
                          <w:i/>
                          <w:iCs/>
                          <w:sz w:val="20"/>
                          <w:szCs w:val="20"/>
                        </w:rPr>
                        <w:t xml:space="preserve"> IT, </w:t>
                      </w:r>
                      <w:proofErr w:type="spellStart"/>
                      <w:r w:rsidRPr="00F65266">
                        <w:rPr>
                          <w:rFonts w:ascii="Garamond" w:hAnsi="Garamond"/>
                          <w:i/>
                          <w:iCs/>
                          <w:sz w:val="20"/>
                          <w:szCs w:val="20"/>
                        </w:rPr>
                        <w:t>Oruobu</w:t>
                      </w:r>
                      <w:proofErr w:type="spellEnd"/>
                      <w:r w:rsidRPr="00F65266">
                        <w:rPr>
                          <w:rFonts w:ascii="Garamond" w:hAnsi="Garamond"/>
                          <w:i/>
                          <w:iCs/>
                          <w:sz w:val="20"/>
                          <w:szCs w:val="20"/>
                        </w:rPr>
                        <w:t xml:space="preserve"> E, Onyebuchi PC. </w:t>
                      </w:r>
                      <w:r w:rsidR="00691CF0" w:rsidRPr="00691CF0">
                        <w:rPr>
                          <w:rFonts w:ascii="Garamond" w:hAnsi="Garamond" w:cs="Segoe UI"/>
                          <w:sz w:val="18"/>
                          <w:szCs w:val="18"/>
                          <w:shd w:val="clear" w:color="auto" w:fill="FFFFFF"/>
                          <w:lang w:val="en-GB"/>
                        </w:rPr>
                        <w:t>Acute Effects of Steady-State Generator and Intermittent Traffic Noise on Attention and Short-Term Memory in Nigerian University Students: A Counterbalanced Experimental Study.</w:t>
                      </w:r>
                      <w:r w:rsidR="00691CF0" w:rsidRPr="002A5C1C">
                        <w:rPr>
                          <w:rFonts w:ascii="Garamond" w:hAnsi="Garamond" w:cs="Segoe UI"/>
                          <w:sz w:val="18"/>
                          <w:szCs w:val="18"/>
                          <w:shd w:val="clear" w:color="auto" w:fill="FFFFFF"/>
                          <w:lang w:val="en-GB"/>
                        </w:rPr>
                        <w:t xml:space="preserve"> </w:t>
                      </w:r>
                      <w:r w:rsidR="00576722" w:rsidRPr="002A5C1C">
                        <w:rPr>
                          <w:rFonts w:ascii="Garamond" w:hAnsi="Garamond" w:cs="Segoe UI"/>
                          <w:color w:val="000000" w:themeColor="text1"/>
                          <w:sz w:val="21"/>
                          <w:szCs w:val="21"/>
                          <w:shd w:val="clear" w:color="auto" w:fill="FFFFFF"/>
                        </w:rPr>
                        <w:t>The Nigerian Health Journal 202</w:t>
                      </w:r>
                      <w:r w:rsidR="00347612" w:rsidRPr="002A5C1C">
                        <w:rPr>
                          <w:rFonts w:ascii="Garamond" w:hAnsi="Garamond" w:cs="Segoe UI"/>
                          <w:color w:val="000000" w:themeColor="text1"/>
                          <w:sz w:val="21"/>
                          <w:szCs w:val="21"/>
                          <w:shd w:val="clear" w:color="auto" w:fill="FFFFFF"/>
                        </w:rPr>
                        <w:t>6</w:t>
                      </w:r>
                      <w:r w:rsidR="00576722" w:rsidRPr="002A5C1C">
                        <w:rPr>
                          <w:rFonts w:ascii="Garamond" w:hAnsi="Garamond" w:cs="Segoe UI"/>
                          <w:color w:val="000000" w:themeColor="text1"/>
                          <w:sz w:val="21"/>
                          <w:szCs w:val="21"/>
                          <w:shd w:val="clear" w:color="auto" w:fill="FFFFFF"/>
                        </w:rPr>
                        <w:t>; 2</w:t>
                      </w:r>
                      <w:r w:rsidR="00347612" w:rsidRPr="002A5C1C">
                        <w:rPr>
                          <w:rFonts w:ascii="Garamond" w:hAnsi="Garamond" w:cs="Segoe UI"/>
                          <w:color w:val="000000" w:themeColor="text1"/>
                          <w:sz w:val="21"/>
                          <w:szCs w:val="21"/>
                          <w:shd w:val="clear" w:color="auto" w:fill="FFFFFF"/>
                        </w:rPr>
                        <w:t>6</w:t>
                      </w:r>
                      <w:r w:rsidR="00576722" w:rsidRPr="002A5C1C">
                        <w:rPr>
                          <w:rFonts w:ascii="Garamond" w:hAnsi="Garamond" w:cs="Segoe UI"/>
                          <w:color w:val="000000" w:themeColor="text1"/>
                          <w:sz w:val="21"/>
                          <w:szCs w:val="21"/>
                          <w:shd w:val="clear" w:color="auto" w:fill="FFFFFF"/>
                        </w:rPr>
                        <w:t>(</w:t>
                      </w:r>
                      <w:r w:rsidR="00347612" w:rsidRPr="002A5C1C">
                        <w:rPr>
                          <w:rFonts w:ascii="Garamond" w:hAnsi="Garamond" w:cs="Segoe UI"/>
                          <w:color w:val="000000" w:themeColor="text1"/>
                          <w:sz w:val="21"/>
                          <w:szCs w:val="21"/>
                          <w:shd w:val="clear" w:color="auto" w:fill="FFFFFF"/>
                        </w:rPr>
                        <w:t>1</w:t>
                      </w:r>
                      <w:r w:rsidR="00576722" w:rsidRPr="002A5C1C">
                        <w:rPr>
                          <w:rFonts w:ascii="Garamond" w:hAnsi="Garamond" w:cs="Segoe UI"/>
                          <w:color w:val="000000" w:themeColor="text1"/>
                          <w:sz w:val="21"/>
                          <w:szCs w:val="21"/>
                          <w:shd w:val="clear" w:color="auto" w:fill="FFFFFF"/>
                        </w:rPr>
                        <w:t>)</w:t>
                      </w:r>
                      <w:r w:rsidR="00716B70">
                        <w:rPr>
                          <w:rFonts w:ascii="Garamond" w:hAnsi="Garamond" w:cs="Segoe UI"/>
                          <w:color w:val="000000" w:themeColor="text1"/>
                          <w:sz w:val="21"/>
                          <w:szCs w:val="21"/>
                          <w:shd w:val="clear" w:color="auto" w:fill="FFFFFF"/>
                        </w:rPr>
                        <w:t xml:space="preserve">: 289 – 297. </w:t>
                      </w:r>
                      <w:hyperlink r:id="rId23" w:history="1">
                        <w:r w:rsidR="00716B70" w:rsidRPr="008D4B15">
                          <w:rPr>
                            <w:rStyle w:val="Hyperlink"/>
                            <w:rFonts w:ascii="Garamond" w:hAnsi="Garamond" w:cs="Arial"/>
                            <w:sz w:val="20"/>
                            <w:szCs w:val="20"/>
                          </w:rPr>
                          <w:t>https://doi.org/10.71637/tnhj.v26i1.1300</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&#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65EF4CD4" w:rsidR="000720E5" w:rsidRDefault="00A754B1"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077D065B" w14:textId="28634D4B" w:rsidR="00D37A38" w:rsidRDefault="00D37A38" w:rsidP="00D37A38">
      <w:pPr>
        <w:spacing w:line="259" w:lineRule="auto"/>
        <w:jc w:val="both"/>
        <w:rPr>
          <w:rFonts w:ascii="Garamond" w:hAnsi="Garamond"/>
          <w:bCs/>
          <w:iCs/>
          <w:sz w:val="20"/>
          <w:szCs w:val="20"/>
          <w:lang w:val="en-GB"/>
        </w:rPr>
      </w:pPr>
      <w:r w:rsidRPr="00D37A38">
        <w:rPr>
          <w:rFonts w:ascii="Garamond" w:hAnsi="Garamond"/>
          <w:bCs/>
          <w:iCs/>
          <w:sz w:val="20"/>
          <w:szCs w:val="20"/>
          <w:lang w:val="en-GB"/>
        </w:rPr>
        <w:t>Working memory (WM) and the various activities in which it is important seem to be affected by noise. It has a detrimental impact on tasks involving the activation of prior knowledge from long-term memory as well as serial recall, revision, mental arithmetic, reading comprehension, and operation span¹. Despite this, it is crucial to remember that the effects of noise on short-term memory and attention depend on its features, including the type of sound, frequency response, and sound pressure level, as well as the kind of work being performed². Environmental noise has substantial health concerns and is more than just an annoyance³. According to the World Health Organisation, it poses a risk associated with stress and cardiac problems, and the harm is physiological</w:t>
      </w:r>
      <w:r w:rsidRPr="00D37A38">
        <w:rPr>
          <w:rFonts w:ascii="Cambria Math" w:hAnsi="Cambria Math" w:cs="Cambria Math"/>
          <w:bCs/>
          <w:iCs/>
          <w:sz w:val="20"/>
          <w:szCs w:val="20"/>
          <w:lang w:val="en-GB"/>
        </w:rPr>
        <w:t>⁴</w:t>
      </w:r>
      <w:r w:rsidRPr="00D37A38">
        <w:rPr>
          <w:rFonts w:ascii="Garamond" w:hAnsi="Garamond"/>
          <w:bCs/>
          <w:iCs/>
          <w:sz w:val="20"/>
          <w:szCs w:val="20"/>
          <w:lang w:val="en-GB"/>
        </w:rPr>
        <w:t>. The prefrontal cortex and hippocampal regions of the brain, which oversee thinking and memory, may be directly harmed by noise because it triggers a stress response that releases chemicals such as cortisol</w:t>
      </w:r>
      <w:r w:rsidRPr="00D37A38">
        <w:rPr>
          <w:rFonts w:ascii="Cambria Math" w:hAnsi="Cambria Math" w:cs="Cambria Math"/>
          <w:bCs/>
          <w:iCs/>
          <w:sz w:val="20"/>
          <w:szCs w:val="20"/>
          <w:lang w:val="en-GB"/>
        </w:rPr>
        <w:t>⁴˒⁵</w:t>
      </w:r>
      <w:r w:rsidRPr="00D37A38">
        <w:rPr>
          <w:rFonts w:ascii="Garamond" w:hAnsi="Garamond"/>
          <w:bCs/>
          <w:iCs/>
          <w:sz w:val="20"/>
          <w:szCs w:val="20"/>
          <w:lang w:val="en-GB"/>
        </w:rPr>
        <w:t>. This indicates that noise may influence cognitive processes rather than only being a distraction. Chronic noise at school has been shown to negatively impact reading comprehension in large studies such as the RANCH (Road traffic and Aircraft Noise exposure and children’s Cognition and Health) project</w:t>
      </w:r>
      <w:r w:rsidRPr="00D37A38">
        <w:rPr>
          <w:rFonts w:ascii="Cambria Math" w:hAnsi="Cambria Math" w:cs="Cambria Math"/>
          <w:bCs/>
          <w:iCs/>
          <w:sz w:val="20"/>
          <w:szCs w:val="20"/>
          <w:lang w:val="en-GB"/>
        </w:rPr>
        <w:t>⁶</w:t>
      </w:r>
      <w:r w:rsidRPr="00D37A38">
        <w:rPr>
          <w:rFonts w:ascii="Garamond" w:hAnsi="Garamond"/>
          <w:bCs/>
          <w:iCs/>
          <w:sz w:val="20"/>
          <w:szCs w:val="20"/>
          <w:lang w:val="en-GB"/>
        </w:rPr>
        <w:t>. It is interesting to note that while simple memory activities do not seem to change much, noise can negatively impact complicated tasks like reading</w:t>
      </w:r>
      <w:r w:rsidRPr="00D37A38">
        <w:rPr>
          <w:rFonts w:ascii="Cambria Math" w:hAnsi="Cambria Math" w:cs="Cambria Math"/>
          <w:bCs/>
          <w:iCs/>
          <w:sz w:val="20"/>
          <w:szCs w:val="20"/>
          <w:lang w:val="en-GB"/>
        </w:rPr>
        <w:t>⁷</w:t>
      </w:r>
      <w:r w:rsidRPr="00D37A38">
        <w:rPr>
          <w:rFonts w:ascii="Garamond" w:hAnsi="Garamond"/>
          <w:bCs/>
          <w:iCs/>
          <w:sz w:val="20"/>
          <w:szCs w:val="20"/>
          <w:lang w:val="en-GB"/>
        </w:rPr>
        <w:t>, which is why it is necessary to assess various specific variables.</w:t>
      </w:r>
    </w:p>
    <w:p w14:paraId="52CD79DA" w14:textId="531C8090" w:rsidR="00D37A38" w:rsidRPr="00D37A38" w:rsidRDefault="00D37A38" w:rsidP="00D37A38">
      <w:pPr>
        <w:spacing w:line="259" w:lineRule="auto"/>
        <w:jc w:val="both"/>
        <w:rPr>
          <w:rFonts w:ascii="Garamond" w:hAnsi="Garamond"/>
          <w:bCs/>
          <w:iCs/>
          <w:sz w:val="20"/>
          <w:szCs w:val="20"/>
          <w:lang w:val="en-GB"/>
        </w:rPr>
      </w:pPr>
      <w:r w:rsidRPr="00D37A38">
        <w:rPr>
          <w:rFonts w:ascii="Garamond" w:hAnsi="Garamond"/>
          <w:bCs/>
          <w:iCs/>
          <w:sz w:val="20"/>
          <w:szCs w:val="20"/>
          <w:lang w:val="en-GB"/>
        </w:rPr>
        <w:t>Strong cognitive functioning is crucial for success in higher education, particularly in challenging programmes like public health, nursing, engineering, and law. Students must manage complex material, study intelligently, and perform effectively under pressure to succeed in the demanding academic environment</w:t>
      </w:r>
      <w:r w:rsidRPr="00D37A38">
        <w:rPr>
          <w:rFonts w:ascii="Cambria Math" w:hAnsi="Cambria Math" w:cs="Cambria Math"/>
          <w:bCs/>
          <w:iCs/>
          <w:sz w:val="20"/>
          <w:szCs w:val="20"/>
          <w:lang w:val="en-GB"/>
        </w:rPr>
        <w:t>⁸</w:t>
      </w:r>
      <w:r w:rsidRPr="00D37A38">
        <w:rPr>
          <w:rFonts w:ascii="Garamond" w:hAnsi="Garamond"/>
          <w:bCs/>
          <w:iCs/>
          <w:sz w:val="20"/>
          <w:szCs w:val="20"/>
          <w:lang w:val="en-GB"/>
        </w:rPr>
        <w:t>. Academic achievement is ultimately predicted by cognitive talents</w:t>
      </w:r>
      <w:r w:rsidRPr="00D37A38">
        <w:rPr>
          <w:rFonts w:ascii="Cambria Math" w:hAnsi="Cambria Math" w:cs="Cambria Math"/>
          <w:bCs/>
          <w:iCs/>
          <w:sz w:val="20"/>
          <w:szCs w:val="20"/>
          <w:lang w:val="en-GB"/>
        </w:rPr>
        <w:t>⁹</w:t>
      </w:r>
      <w:r w:rsidRPr="00D37A38">
        <w:rPr>
          <w:rFonts w:ascii="Garamond" w:hAnsi="Garamond"/>
          <w:bCs/>
          <w:iCs/>
          <w:sz w:val="20"/>
          <w:szCs w:val="20"/>
          <w:lang w:val="en-GB"/>
        </w:rPr>
        <w:t>; however, characteristics such as self-belief are also important</w:t>
      </w:r>
      <w:r w:rsidRPr="00D37A38">
        <w:rPr>
          <w:rFonts w:ascii="Garamond" w:hAnsi="Garamond" w:cs="Garamond"/>
          <w:bCs/>
          <w:iCs/>
          <w:sz w:val="20"/>
          <w:szCs w:val="20"/>
          <w:lang w:val="en-GB"/>
        </w:rPr>
        <w:t>¹</w:t>
      </w:r>
      <w:r w:rsidRPr="00D37A38">
        <w:rPr>
          <w:rFonts w:ascii="Cambria Math" w:hAnsi="Cambria Math" w:cs="Cambria Math"/>
          <w:bCs/>
          <w:iCs/>
          <w:sz w:val="20"/>
          <w:szCs w:val="20"/>
          <w:lang w:val="en-GB"/>
        </w:rPr>
        <w:t>⁰</w:t>
      </w:r>
      <w:r w:rsidRPr="00D37A38">
        <w:rPr>
          <w:rFonts w:ascii="Garamond" w:hAnsi="Garamond"/>
          <w:bCs/>
          <w:iCs/>
          <w:sz w:val="20"/>
          <w:szCs w:val="20"/>
          <w:lang w:val="en-GB"/>
        </w:rPr>
        <w:t>. This study focuses on short-term memory and attention because they are so crucial. The capacity to concentrate is known as attention. It was famously defined by James</w:t>
      </w:r>
      <w:r w:rsidRPr="00D37A38">
        <w:rPr>
          <w:rFonts w:ascii="Garamond" w:hAnsi="Garamond" w:cs="Garamond"/>
          <w:bCs/>
          <w:iCs/>
          <w:sz w:val="20"/>
          <w:szCs w:val="20"/>
          <w:lang w:val="en-GB"/>
        </w:rPr>
        <w:t>¹¹</w:t>
      </w:r>
      <w:r w:rsidRPr="00D37A38">
        <w:rPr>
          <w:rFonts w:ascii="Garamond" w:hAnsi="Garamond"/>
          <w:bCs/>
          <w:iCs/>
          <w:sz w:val="20"/>
          <w:szCs w:val="20"/>
          <w:lang w:val="en-GB"/>
        </w:rPr>
        <w:t xml:space="preserve"> as the mind </w:t>
      </w:r>
      <w:r w:rsidRPr="00D37A38">
        <w:rPr>
          <w:rFonts w:ascii="Garamond" w:hAnsi="Garamond" w:cs="Garamond"/>
          <w:bCs/>
          <w:iCs/>
          <w:sz w:val="20"/>
          <w:szCs w:val="20"/>
          <w:lang w:val="en-GB"/>
        </w:rPr>
        <w:t>“</w:t>
      </w:r>
      <w:r w:rsidRPr="00D37A38">
        <w:rPr>
          <w:rFonts w:ascii="Garamond" w:hAnsi="Garamond"/>
          <w:bCs/>
          <w:iCs/>
          <w:sz w:val="20"/>
          <w:szCs w:val="20"/>
          <w:lang w:val="en-GB"/>
        </w:rPr>
        <w:t>taking possession</w:t>
      </w:r>
      <w:r w:rsidRPr="00D37A38">
        <w:rPr>
          <w:rFonts w:ascii="Garamond" w:hAnsi="Garamond" w:cs="Garamond"/>
          <w:bCs/>
          <w:iCs/>
          <w:sz w:val="20"/>
          <w:szCs w:val="20"/>
          <w:lang w:val="en-GB"/>
        </w:rPr>
        <w:t>”</w:t>
      </w:r>
      <w:r w:rsidRPr="00D37A38">
        <w:rPr>
          <w:rFonts w:ascii="Garamond" w:hAnsi="Garamond"/>
          <w:bCs/>
          <w:iCs/>
          <w:sz w:val="20"/>
          <w:szCs w:val="20"/>
          <w:lang w:val="en-GB"/>
        </w:rPr>
        <w:t xml:space="preserve"> of one thought while disregarding others. The second pillar is WM. WM is a system with limited capacity that manages the information required for sophisticated cognitive functions such as learning, thinking, and language comprehension².</w:t>
      </w:r>
    </w:p>
    <w:p w14:paraId="0447D755" w14:textId="0498EC6C" w:rsidR="00D37A38" w:rsidRDefault="00D37A38" w:rsidP="00D37A38">
      <w:pPr>
        <w:spacing w:line="259" w:lineRule="auto"/>
        <w:jc w:val="both"/>
        <w:rPr>
          <w:rFonts w:ascii="Garamond" w:hAnsi="Garamond"/>
          <w:bCs/>
          <w:iCs/>
          <w:sz w:val="20"/>
          <w:szCs w:val="20"/>
          <w:lang w:val="en-GB"/>
        </w:rPr>
      </w:pPr>
      <w:r w:rsidRPr="00D37A38">
        <w:rPr>
          <w:rFonts w:ascii="Garamond" w:hAnsi="Garamond"/>
          <w:bCs/>
          <w:iCs/>
          <w:sz w:val="20"/>
          <w:szCs w:val="20"/>
          <w:lang w:val="en-GB"/>
        </w:rPr>
        <w:t xml:space="preserve">In Nigeria, the situation is very dire. In Nigerian cities and institutions, noise pollution is becoming an </w:t>
      </w:r>
      <w:r w:rsidRPr="00D37A38">
        <w:rPr>
          <w:rFonts w:ascii="Garamond" w:hAnsi="Garamond"/>
          <w:bCs/>
          <w:iCs/>
          <w:sz w:val="20"/>
          <w:szCs w:val="20"/>
          <w:lang w:val="en-GB"/>
        </w:rPr>
        <w:t>increasingly serious problem¹². Over 90% of the neighbourhoods surrounding Nigerian higher education institutions have unsettling noise levels, frequently between 50 and 110 dBA, according to a 2020 evaluation¹². This is far above what is considered safe. According to studies conducted in Ilorin and Sokoto, noise causes pupils to become fatigued, lose focus, and perform poorly¹³</w:t>
      </w:r>
      <w:r w:rsidRPr="00D37A38">
        <w:rPr>
          <w:rFonts w:ascii="Times New Roman" w:hAnsi="Times New Roman" w:cs="Times New Roman"/>
          <w:bCs/>
          <w:iCs/>
          <w:sz w:val="20"/>
          <w:szCs w:val="20"/>
          <w:lang w:val="en-GB"/>
        </w:rPr>
        <w:t>˒</w:t>
      </w:r>
      <w:r w:rsidRPr="00D37A38">
        <w:rPr>
          <w:rFonts w:ascii="Garamond" w:hAnsi="Garamond" w:cs="Garamond"/>
          <w:bCs/>
          <w:iCs/>
          <w:sz w:val="20"/>
          <w:szCs w:val="20"/>
          <w:lang w:val="en-GB"/>
        </w:rPr>
        <w:t>¹</w:t>
      </w:r>
      <w:r w:rsidRPr="00D37A38">
        <w:rPr>
          <w:rFonts w:ascii="Cambria Math" w:hAnsi="Cambria Math" w:cs="Cambria Math"/>
          <w:bCs/>
          <w:iCs/>
          <w:sz w:val="20"/>
          <w:szCs w:val="20"/>
          <w:lang w:val="en-GB"/>
        </w:rPr>
        <w:t>⁴</w:t>
      </w:r>
      <w:r w:rsidRPr="00D37A38">
        <w:rPr>
          <w:rFonts w:ascii="Garamond" w:hAnsi="Garamond"/>
          <w:bCs/>
          <w:iCs/>
          <w:sz w:val="20"/>
          <w:szCs w:val="20"/>
          <w:lang w:val="en-GB"/>
        </w:rPr>
        <w:t>. Road traffic and the continuous usage of power generators are Nigeria's two primary sources of noise, in contrast to the West, where traffic is the primary issue¹². This creates two types of noise: steady noise (e.g., generators) and intermittent noise (e.g., traffic). This study uses these real-world noise types to determine which is more detrimental to students.</w:t>
      </w:r>
    </w:p>
    <w:p w14:paraId="3B881FB7" w14:textId="256A90F5" w:rsidR="00D37A38" w:rsidRPr="00D37A38" w:rsidRDefault="00D37A38" w:rsidP="00D37A38">
      <w:pPr>
        <w:spacing w:line="259" w:lineRule="auto"/>
        <w:jc w:val="both"/>
        <w:rPr>
          <w:rFonts w:ascii="Garamond" w:hAnsi="Garamond"/>
          <w:bCs/>
          <w:iCs/>
          <w:sz w:val="20"/>
          <w:szCs w:val="20"/>
          <w:lang w:val="en-GB"/>
        </w:rPr>
      </w:pPr>
      <w:r w:rsidRPr="00D37A38">
        <w:rPr>
          <w:rFonts w:ascii="Garamond" w:hAnsi="Garamond"/>
          <w:bCs/>
          <w:iCs/>
          <w:sz w:val="20"/>
          <w:szCs w:val="20"/>
          <w:lang w:val="en-GB"/>
        </w:rPr>
        <w:t>This leads to the research site, a university, where there is frequently a serious noise issue. The limit for schools is 45 dBA according to Nigeria's National Environmental Regulations¹</w:t>
      </w:r>
      <w:r w:rsidRPr="00D37A38">
        <w:rPr>
          <w:rFonts w:ascii="Cambria Math" w:hAnsi="Cambria Math" w:cs="Cambria Math"/>
          <w:bCs/>
          <w:iCs/>
          <w:sz w:val="20"/>
          <w:szCs w:val="20"/>
          <w:lang w:val="en-GB"/>
        </w:rPr>
        <w:t>⁵</w:t>
      </w:r>
      <w:r w:rsidRPr="00D37A38">
        <w:rPr>
          <w:rFonts w:ascii="Garamond" w:hAnsi="Garamond"/>
          <w:bCs/>
          <w:iCs/>
          <w:sz w:val="20"/>
          <w:szCs w:val="20"/>
          <w:lang w:val="en-GB"/>
        </w:rPr>
        <w:t>. However, universities such as the University of Ilorin (UNILORIN) are high-risk environments with persistent, severe noise pollution, with recorded levels in student residential and academic areas reaching 75–80+ dBA, according to a substantial body of Nigerian research¹</w:t>
      </w:r>
      <w:r w:rsidRPr="00D37A38">
        <w:rPr>
          <w:rFonts w:ascii="Cambria Math" w:hAnsi="Cambria Math" w:cs="Cambria Math"/>
          <w:bCs/>
          <w:iCs/>
          <w:sz w:val="20"/>
          <w:szCs w:val="20"/>
          <w:lang w:val="en-GB"/>
        </w:rPr>
        <w:t>⁶</w:t>
      </w:r>
      <w:r w:rsidRPr="00D37A38">
        <w:rPr>
          <w:rFonts w:ascii="Garamond" w:hAnsi="Garamond"/>
          <w:bCs/>
          <w:iCs/>
          <w:sz w:val="20"/>
          <w:szCs w:val="20"/>
          <w:lang w:val="en-GB"/>
        </w:rPr>
        <w:t>. The actual noise level (80 dBA) is significantly higher than the regulatory limit of 45 dBA. Public health strategy has failed to address this gap</w:t>
      </w:r>
      <w:r w:rsidRPr="00D37A38">
        <w:rPr>
          <w:rFonts w:ascii="Garamond" w:hAnsi="Garamond" w:cs="Garamond"/>
          <w:bCs/>
          <w:iCs/>
          <w:sz w:val="20"/>
          <w:szCs w:val="20"/>
          <w:lang w:val="en-GB"/>
        </w:rPr>
        <w:t>¹²</w:t>
      </w:r>
      <w:r w:rsidRPr="00D37A38">
        <w:rPr>
          <w:rFonts w:ascii="Garamond" w:hAnsi="Garamond"/>
          <w:bCs/>
          <w:iCs/>
          <w:sz w:val="20"/>
          <w:szCs w:val="20"/>
          <w:lang w:val="en-GB"/>
        </w:rPr>
        <w:t>. Two common and distinct noise sources, steady-state (such as power generators) and intermittent (such as road traffic), create this auditory environment¹². This study is necessary to provide empirical evidence on how common environmental noise exposures may influence students’ cognitive performance in university settings, and it differs from large observational studies such as the RANCH project. Understanding these relationships may help inform environmental health policies and campus management strategies in settings where generator and traffic noise are common. We hypothesized that intermittent noise would cause greater impairment in attention and WM than steady-state noise. The primary aim of this study was to experimentally determine and compare the effects of exposure to steady-state and intermittent noise on the cognitive performance of university students.</w:t>
      </w:r>
    </w:p>
    <w:p w14:paraId="78FE5BEE" w14:textId="77777777" w:rsidR="00D37A38" w:rsidRPr="00D37A38" w:rsidRDefault="00D37A38" w:rsidP="00D37A38">
      <w:pPr>
        <w:spacing w:line="259" w:lineRule="auto"/>
        <w:jc w:val="both"/>
        <w:rPr>
          <w:rFonts w:ascii="Garamond" w:hAnsi="Garamond"/>
          <w:b/>
          <w:bCs/>
          <w:iCs/>
          <w:sz w:val="20"/>
          <w:szCs w:val="20"/>
          <w:lang w:val="en-GB"/>
        </w:rPr>
      </w:pPr>
    </w:p>
    <w:p w14:paraId="0F0F1A2C" w14:textId="565F8831" w:rsidR="00D37A38" w:rsidRPr="00D37A38" w:rsidRDefault="00A754B1" w:rsidP="00D37A38">
      <w:pPr>
        <w:spacing w:line="259" w:lineRule="auto"/>
        <w:jc w:val="both"/>
        <w:rPr>
          <w:rFonts w:ascii="Garamond" w:hAnsi="Garamond"/>
          <w:bCs/>
          <w:iCs/>
          <w:sz w:val="22"/>
          <w:szCs w:val="22"/>
          <w:lang w:val="en-GB"/>
        </w:rPr>
      </w:pPr>
      <w:r w:rsidRPr="00D37A38">
        <w:rPr>
          <w:rFonts w:ascii="Garamond" w:hAnsi="Garamond"/>
          <w:b/>
          <w:bCs/>
          <w:iCs/>
          <w:sz w:val="22"/>
          <w:szCs w:val="22"/>
          <w:lang w:val="en-GB"/>
        </w:rPr>
        <w:t>METHODS</w:t>
      </w:r>
    </w:p>
    <w:p w14:paraId="516BD3DD" w14:textId="7CF1FDC2" w:rsidR="00D37A38" w:rsidRPr="00D37A38" w:rsidRDefault="00D37A38" w:rsidP="00D37A38">
      <w:pPr>
        <w:spacing w:line="259" w:lineRule="auto"/>
        <w:jc w:val="both"/>
        <w:rPr>
          <w:rFonts w:ascii="Garamond" w:hAnsi="Garamond"/>
          <w:bCs/>
          <w:iCs/>
          <w:sz w:val="20"/>
          <w:szCs w:val="20"/>
          <w:lang w:val="en-GB"/>
        </w:rPr>
      </w:pPr>
      <w:r w:rsidRPr="00D37A38">
        <w:rPr>
          <w:rFonts w:ascii="Garamond" w:hAnsi="Garamond"/>
          <w:bCs/>
          <w:iCs/>
          <w:sz w:val="20"/>
          <w:szCs w:val="20"/>
          <w:lang w:val="en-GB"/>
        </w:rPr>
        <w:t xml:space="preserve">An a priori G*Power analysis for a repeated-measures ANOVA with three within-subject levels (f = 0.25, α = .05, power = .80) indicated a required sample of 28–34 participants; this was increased to 40 to allow for </w:t>
      </w:r>
      <w:r w:rsidRPr="00D37A38">
        <w:rPr>
          <w:rFonts w:ascii="Garamond" w:hAnsi="Garamond"/>
          <w:bCs/>
          <w:iCs/>
          <w:sz w:val="20"/>
          <w:szCs w:val="20"/>
          <w:lang w:val="en-GB"/>
        </w:rPr>
        <w:lastRenderedPageBreak/>
        <w:t>counterbalancing and potential attrition. The sample comprised 40 undergraduates from UNILORIN. Participants were recruited via campus posters and word of mouth; 52 students were screened, and 40 eligible students were enrolled, with no attrition. Inclusion criteria were age 18–35, university enrolment, normal or corrected vision, and no reported cognitive, neurological, or psychiatric conditions. Attention was measured using the LCT, and short-term memory was assessed via immediate free recall of 10 unrelated words.</w:t>
      </w:r>
    </w:p>
    <w:p w14:paraId="3F864F35" w14:textId="54791B4F" w:rsidR="00D37A38" w:rsidRDefault="00D37A38" w:rsidP="007A1526">
      <w:pPr>
        <w:spacing w:line="259" w:lineRule="auto"/>
        <w:jc w:val="both"/>
        <w:rPr>
          <w:rFonts w:ascii="Garamond" w:hAnsi="Garamond"/>
          <w:bCs/>
          <w:iCs/>
          <w:sz w:val="20"/>
          <w:szCs w:val="20"/>
        </w:rPr>
      </w:pPr>
      <w:r w:rsidRPr="00D37A38">
        <w:rPr>
          <w:rFonts w:ascii="Times New Roman" w:eastAsia="Times New Roman" w:hAnsi="Times New Roman" w:cs="Times New Roman"/>
          <w:noProof/>
          <w:kern w:val="2"/>
          <w:lang w:val="en-GB" w:eastAsia="en-GB"/>
          <w14:ligatures w14:val="standardContextual"/>
        </w:rPr>
        <w:drawing>
          <wp:anchor distT="0" distB="0" distL="114300" distR="114300" simplePos="0" relativeHeight="251664384" behindDoc="0" locked="0" layoutInCell="1" allowOverlap="1" wp14:anchorId="5C244D0B" wp14:editId="31A7BAB8">
            <wp:simplePos x="0" y="0"/>
            <wp:positionH relativeFrom="column">
              <wp:posOffset>-563245</wp:posOffset>
            </wp:positionH>
            <wp:positionV relativeFrom="paragraph">
              <wp:posOffset>194945</wp:posOffset>
            </wp:positionV>
            <wp:extent cx="3073400" cy="4198620"/>
            <wp:effectExtent l="0" t="0" r="25400" b="0"/>
            <wp:wrapThrough wrapText="bothSides">
              <wp:wrapPolygon edited="0">
                <wp:start x="1071" y="1960"/>
                <wp:lineTo x="1071" y="4574"/>
                <wp:lineTo x="5802" y="5227"/>
                <wp:lineTo x="8301" y="5227"/>
                <wp:lineTo x="8301" y="8363"/>
                <wp:lineTo x="2321" y="8494"/>
                <wp:lineTo x="1964" y="8559"/>
                <wp:lineTo x="1964" y="10388"/>
                <wp:lineTo x="0" y="10650"/>
                <wp:lineTo x="0" y="14439"/>
                <wp:lineTo x="3481" y="14766"/>
                <wp:lineTo x="3124" y="14831"/>
                <wp:lineTo x="3124" y="16465"/>
                <wp:lineTo x="3392" y="16726"/>
                <wp:lineTo x="4195" y="16726"/>
                <wp:lineTo x="4106" y="19731"/>
                <wp:lineTo x="14906" y="19731"/>
                <wp:lineTo x="15084" y="17053"/>
                <wp:lineTo x="14370" y="16987"/>
                <wp:lineTo x="4641" y="16726"/>
                <wp:lineTo x="12764" y="16726"/>
                <wp:lineTo x="14102" y="16595"/>
                <wp:lineTo x="14102" y="14831"/>
                <wp:lineTo x="15174" y="14635"/>
                <wp:lineTo x="17226" y="14374"/>
                <wp:lineTo x="17316" y="10715"/>
                <wp:lineTo x="16602" y="10650"/>
                <wp:lineTo x="15263" y="10388"/>
                <wp:lineTo x="15263" y="8559"/>
                <wp:lineTo x="21689" y="8298"/>
                <wp:lineTo x="21689" y="4900"/>
                <wp:lineTo x="15977" y="4181"/>
                <wp:lineTo x="15977" y="1960"/>
                <wp:lineTo x="1071" y="1960"/>
              </wp:wrapPolygon>
            </wp:wrapThrough>
            <wp:docPr id="66616398"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14:sizeRelH relativeFrom="page">
              <wp14:pctWidth>0</wp14:pctWidth>
            </wp14:sizeRelH>
            <wp14:sizeRelV relativeFrom="page">
              <wp14:pctHeight>0</wp14:pctHeight>
            </wp14:sizeRelV>
          </wp:anchor>
        </w:drawing>
      </w:r>
    </w:p>
    <w:p w14:paraId="7E3456AB" w14:textId="77777777" w:rsidR="00D37A38" w:rsidRDefault="00D37A38" w:rsidP="007A1526">
      <w:pPr>
        <w:spacing w:line="259" w:lineRule="auto"/>
        <w:jc w:val="both"/>
        <w:rPr>
          <w:rFonts w:ascii="Garamond" w:hAnsi="Garamond"/>
          <w:bCs/>
          <w:iCs/>
          <w:sz w:val="20"/>
          <w:szCs w:val="20"/>
        </w:rPr>
      </w:pPr>
    </w:p>
    <w:p w14:paraId="173AB621" w14:textId="77777777" w:rsidR="00D37A38" w:rsidRDefault="00D37A38" w:rsidP="007A1526">
      <w:pPr>
        <w:spacing w:line="259" w:lineRule="auto"/>
        <w:jc w:val="both"/>
        <w:rPr>
          <w:rFonts w:ascii="Garamond" w:hAnsi="Garamond"/>
          <w:bCs/>
          <w:iCs/>
          <w:sz w:val="20"/>
          <w:szCs w:val="20"/>
        </w:rPr>
      </w:pPr>
    </w:p>
    <w:p w14:paraId="6E685ECE" w14:textId="77777777" w:rsidR="00D37A38" w:rsidRDefault="00D37A38" w:rsidP="007A1526">
      <w:pPr>
        <w:spacing w:line="259" w:lineRule="auto"/>
        <w:jc w:val="both"/>
        <w:rPr>
          <w:rFonts w:ascii="Garamond" w:hAnsi="Garamond"/>
          <w:bCs/>
          <w:iCs/>
          <w:sz w:val="20"/>
          <w:szCs w:val="20"/>
        </w:rPr>
      </w:pPr>
    </w:p>
    <w:p w14:paraId="5AF1D3A7" w14:textId="77777777" w:rsidR="00D37A38" w:rsidRDefault="00D37A38" w:rsidP="007A1526">
      <w:pPr>
        <w:spacing w:line="259" w:lineRule="auto"/>
        <w:jc w:val="both"/>
        <w:rPr>
          <w:rFonts w:ascii="Garamond" w:hAnsi="Garamond"/>
          <w:bCs/>
          <w:iCs/>
          <w:sz w:val="20"/>
          <w:szCs w:val="20"/>
        </w:rPr>
      </w:pPr>
    </w:p>
    <w:p w14:paraId="78744D9B" w14:textId="77777777" w:rsidR="00D37A38" w:rsidRDefault="00D37A38" w:rsidP="007A1526">
      <w:pPr>
        <w:spacing w:line="259" w:lineRule="auto"/>
        <w:jc w:val="both"/>
        <w:rPr>
          <w:rFonts w:ascii="Garamond" w:hAnsi="Garamond"/>
          <w:bCs/>
          <w:iCs/>
          <w:sz w:val="20"/>
          <w:szCs w:val="20"/>
        </w:rPr>
      </w:pPr>
    </w:p>
    <w:p w14:paraId="3A42E372" w14:textId="77777777" w:rsidR="00D37A38" w:rsidRDefault="00D37A38" w:rsidP="007A1526">
      <w:pPr>
        <w:spacing w:line="259" w:lineRule="auto"/>
        <w:jc w:val="both"/>
        <w:rPr>
          <w:rFonts w:ascii="Garamond" w:hAnsi="Garamond"/>
          <w:bCs/>
          <w:iCs/>
          <w:sz w:val="20"/>
          <w:szCs w:val="20"/>
        </w:rPr>
      </w:pPr>
    </w:p>
    <w:p w14:paraId="615556C3" w14:textId="77777777" w:rsidR="00D37A38" w:rsidRDefault="00D37A38" w:rsidP="007A1526">
      <w:pPr>
        <w:spacing w:line="259" w:lineRule="auto"/>
        <w:jc w:val="both"/>
        <w:rPr>
          <w:rFonts w:ascii="Garamond" w:hAnsi="Garamond"/>
          <w:bCs/>
          <w:iCs/>
          <w:sz w:val="20"/>
          <w:szCs w:val="20"/>
        </w:rPr>
      </w:pPr>
    </w:p>
    <w:p w14:paraId="4F774AED" w14:textId="77777777" w:rsidR="00D37A38" w:rsidRDefault="00D37A38" w:rsidP="007A1526">
      <w:pPr>
        <w:spacing w:line="259" w:lineRule="auto"/>
        <w:jc w:val="both"/>
        <w:rPr>
          <w:rFonts w:ascii="Garamond" w:hAnsi="Garamond"/>
          <w:bCs/>
          <w:iCs/>
          <w:sz w:val="20"/>
          <w:szCs w:val="20"/>
        </w:rPr>
      </w:pPr>
    </w:p>
    <w:p w14:paraId="543ADE9C" w14:textId="77777777" w:rsidR="00D37A38" w:rsidRDefault="00D37A38" w:rsidP="007A1526">
      <w:pPr>
        <w:spacing w:line="259" w:lineRule="auto"/>
        <w:jc w:val="both"/>
        <w:rPr>
          <w:rFonts w:ascii="Garamond" w:hAnsi="Garamond"/>
          <w:bCs/>
          <w:iCs/>
          <w:sz w:val="20"/>
          <w:szCs w:val="20"/>
        </w:rPr>
      </w:pPr>
    </w:p>
    <w:p w14:paraId="15428DE4" w14:textId="77777777" w:rsidR="00D37A38" w:rsidRDefault="00D37A38" w:rsidP="007A1526">
      <w:pPr>
        <w:spacing w:line="259" w:lineRule="auto"/>
        <w:jc w:val="both"/>
        <w:rPr>
          <w:rFonts w:ascii="Garamond" w:hAnsi="Garamond"/>
          <w:bCs/>
          <w:iCs/>
          <w:sz w:val="20"/>
          <w:szCs w:val="20"/>
        </w:rPr>
      </w:pPr>
    </w:p>
    <w:p w14:paraId="761C60A0" w14:textId="77777777" w:rsidR="00D37A38" w:rsidRDefault="00D37A38" w:rsidP="007A1526">
      <w:pPr>
        <w:spacing w:line="259" w:lineRule="auto"/>
        <w:jc w:val="both"/>
        <w:rPr>
          <w:rFonts w:ascii="Garamond" w:hAnsi="Garamond"/>
          <w:bCs/>
          <w:iCs/>
          <w:sz w:val="20"/>
          <w:szCs w:val="20"/>
        </w:rPr>
      </w:pPr>
    </w:p>
    <w:p w14:paraId="43C5DA85" w14:textId="77777777" w:rsidR="00D37A38" w:rsidRDefault="00D37A38" w:rsidP="007A1526">
      <w:pPr>
        <w:spacing w:line="259" w:lineRule="auto"/>
        <w:jc w:val="both"/>
        <w:rPr>
          <w:rFonts w:ascii="Garamond" w:hAnsi="Garamond"/>
          <w:bCs/>
          <w:iCs/>
          <w:sz w:val="20"/>
          <w:szCs w:val="20"/>
        </w:rPr>
      </w:pPr>
    </w:p>
    <w:p w14:paraId="4D94CE01" w14:textId="77777777" w:rsidR="00D37A38" w:rsidRDefault="00D37A38" w:rsidP="007A1526">
      <w:pPr>
        <w:spacing w:line="259" w:lineRule="auto"/>
        <w:jc w:val="both"/>
        <w:rPr>
          <w:rFonts w:ascii="Garamond" w:hAnsi="Garamond"/>
          <w:bCs/>
          <w:iCs/>
          <w:sz w:val="20"/>
          <w:szCs w:val="20"/>
        </w:rPr>
      </w:pPr>
    </w:p>
    <w:p w14:paraId="5823333F" w14:textId="77777777" w:rsidR="00D37A38" w:rsidRDefault="00D37A38" w:rsidP="007A1526">
      <w:pPr>
        <w:spacing w:line="259" w:lineRule="auto"/>
        <w:jc w:val="both"/>
        <w:rPr>
          <w:rFonts w:ascii="Garamond" w:hAnsi="Garamond"/>
          <w:bCs/>
          <w:iCs/>
          <w:sz w:val="20"/>
          <w:szCs w:val="20"/>
        </w:rPr>
      </w:pPr>
    </w:p>
    <w:p w14:paraId="00704843" w14:textId="77777777" w:rsidR="00D37A38" w:rsidRDefault="00D37A38" w:rsidP="007A1526">
      <w:pPr>
        <w:spacing w:line="259" w:lineRule="auto"/>
        <w:jc w:val="both"/>
        <w:rPr>
          <w:rFonts w:ascii="Garamond" w:hAnsi="Garamond"/>
          <w:bCs/>
          <w:iCs/>
          <w:sz w:val="20"/>
          <w:szCs w:val="20"/>
        </w:rPr>
      </w:pPr>
    </w:p>
    <w:p w14:paraId="463AE6B4" w14:textId="77777777" w:rsidR="00D37A38" w:rsidRDefault="00D37A38" w:rsidP="007A1526">
      <w:pPr>
        <w:spacing w:line="259" w:lineRule="auto"/>
        <w:jc w:val="both"/>
        <w:rPr>
          <w:rFonts w:ascii="Garamond" w:hAnsi="Garamond"/>
          <w:bCs/>
          <w:iCs/>
          <w:sz w:val="20"/>
          <w:szCs w:val="20"/>
        </w:rPr>
      </w:pPr>
    </w:p>
    <w:p w14:paraId="1DCED062" w14:textId="77777777" w:rsidR="00D37A38" w:rsidRDefault="00D37A38" w:rsidP="007A1526">
      <w:pPr>
        <w:spacing w:line="259" w:lineRule="auto"/>
        <w:jc w:val="both"/>
        <w:rPr>
          <w:rFonts w:ascii="Garamond" w:hAnsi="Garamond"/>
          <w:bCs/>
          <w:iCs/>
          <w:sz w:val="20"/>
          <w:szCs w:val="20"/>
        </w:rPr>
      </w:pPr>
    </w:p>
    <w:p w14:paraId="4B4FDBD1" w14:textId="77777777" w:rsidR="00D37A38" w:rsidRDefault="00D37A38" w:rsidP="007A1526">
      <w:pPr>
        <w:spacing w:line="259" w:lineRule="auto"/>
        <w:jc w:val="both"/>
        <w:rPr>
          <w:rFonts w:ascii="Garamond" w:hAnsi="Garamond"/>
          <w:bCs/>
          <w:iCs/>
          <w:sz w:val="20"/>
          <w:szCs w:val="20"/>
        </w:rPr>
      </w:pPr>
    </w:p>
    <w:p w14:paraId="55A1E450" w14:textId="77777777" w:rsidR="007A1526" w:rsidRDefault="007A1526" w:rsidP="007A1526">
      <w:pPr>
        <w:spacing w:line="259" w:lineRule="auto"/>
        <w:jc w:val="both"/>
        <w:rPr>
          <w:rFonts w:ascii="Garamond" w:hAnsi="Garamond"/>
          <w:b/>
          <w:bCs/>
          <w:iCs/>
          <w:sz w:val="20"/>
          <w:szCs w:val="20"/>
        </w:rPr>
      </w:pPr>
    </w:p>
    <w:p w14:paraId="58C3D9FA" w14:textId="77777777" w:rsidR="00D37A38" w:rsidRDefault="00D37A38" w:rsidP="007A1526">
      <w:pPr>
        <w:spacing w:line="259" w:lineRule="auto"/>
        <w:jc w:val="both"/>
        <w:rPr>
          <w:rFonts w:ascii="Garamond" w:hAnsi="Garamond"/>
          <w:b/>
          <w:bCs/>
          <w:iCs/>
          <w:sz w:val="20"/>
          <w:szCs w:val="20"/>
        </w:rPr>
      </w:pPr>
    </w:p>
    <w:p w14:paraId="69429BE1" w14:textId="77777777" w:rsidR="00A754B1" w:rsidRDefault="00D37A38" w:rsidP="00D37A38">
      <w:pPr>
        <w:spacing w:line="259" w:lineRule="auto"/>
        <w:jc w:val="both"/>
        <w:rPr>
          <w:rFonts w:ascii="Garamond" w:hAnsi="Garamond"/>
          <w:b/>
          <w:bCs/>
          <w:iCs/>
          <w:sz w:val="20"/>
          <w:szCs w:val="20"/>
          <w:lang w:val="en-GB"/>
        </w:rPr>
      </w:pPr>
      <w:r w:rsidRPr="00D37A38">
        <w:rPr>
          <w:rFonts w:ascii="Garamond" w:hAnsi="Garamond"/>
          <w:bCs/>
          <w:iCs/>
          <w:sz w:val="20"/>
          <w:szCs w:val="20"/>
          <w:lang w:val="en-GB"/>
        </w:rPr>
        <w:br/>
      </w:r>
    </w:p>
    <w:p w14:paraId="602267D3" w14:textId="77777777" w:rsidR="00A754B1" w:rsidRDefault="00A754B1" w:rsidP="00D37A38">
      <w:pPr>
        <w:spacing w:line="259" w:lineRule="auto"/>
        <w:jc w:val="both"/>
        <w:rPr>
          <w:rFonts w:ascii="Garamond" w:hAnsi="Garamond"/>
          <w:b/>
          <w:bCs/>
          <w:iCs/>
          <w:sz w:val="20"/>
          <w:szCs w:val="20"/>
          <w:lang w:val="en-GB"/>
        </w:rPr>
      </w:pPr>
    </w:p>
    <w:p w14:paraId="52B9F5AE" w14:textId="77777777" w:rsidR="00A754B1" w:rsidRDefault="00A754B1" w:rsidP="00D37A38">
      <w:pPr>
        <w:spacing w:line="259" w:lineRule="auto"/>
        <w:jc w:val="both"/>
        <w:rPr>
          <w:rFonts w:ascii="Garamond" w:hAnsi="Garamond"/>
          <w:b/>
          <w:bCs/>
          <w:iCs/>
          <w:sz w:val="20"/>
          <w:szCs w:val="20"/>
          <w:lang w:val="en-GB"/>
        </w:rPr>
      </w:pPr>
    </w:p>
    <w:p w14:paraId="492EEFCA" w14:textId="77777777" w:rsidR="00A754B1" w:rsidRDefault="00A754B1" w:rsidP="00D37A38">
      <w:pPr>
        <w:spacing w:line="259" w:lineRule="auto"/>
        <w:jc w:val="both"/>
        <w:rPr>
          <w:rFonts w:ascii="Garamond" w:hAnsi="Garamond"/>
          <w:b/>
          <w:bCs/>
          <w:iCs/>
          <w:sz w:val="20"/>
          <w:szCs w:val="20"/>
          <w:lang w:val="en-GB"/>
        </w:rPr>
      </w:pPr>
    </w:p>
    <w:p w14:paraId="756410A2" w14:textId="4312F432" w:rsidR="00D37A38" w:rsidRPr="00D37A38" w:rsidRDefault="00D37A38" w:rsidP="00D37A38">
      <w:pPr>
        <w:spacing w:line="259" w:lineRule="auto"/>
        <w:jc w:val="both"/>
        <w:rPr>
          <w:rFonts w:ascii="Garamond" w:hAnsi="Garamond"/>
          <w:bCs/>
          <w:iCs/>
          <w:sz w:val="20"/>
          <w:szCs w:val="20"/>
          <w:lang w:val="en-GB"/>
        </w:rPr>
      </w:pPr>
      <w:r w:rsidRPr="00D37A38">
        <w:rPr>
          <w:rFonts w:ascii="Garamond" w:hAnsi="Garamond"/>
          <w:b/>
          <w:bCs/>
          <w:iCs/>
          <w:sz w:val="20"/>
          <w:szCs w:val="20"/>
          <w:lang w:val="en-GB"/>
        </w:rPr>
        <w:t xml:space="preserve">Figure 1. </w:t>
      </w:r>
      <w:r w:rsidRPr="00D37A38">
        <w:rPr>
          <w:rFonts w:ascii="Garamond" w:hAnsi="Garamond"/>
          <w:bCs/>
          <w:iCs/>
          <w:sz w:val="20"/>
          <w:szCs w:val="20"/>
          <w:lang w:val="en-GB"/>
        </w:rPr>
        <w:t xml:space="preserve">Participant Flow Diagram </w:t>
      </w:r>
    </w:p>
    <w:p w14:paraId="24C8F040" w14:textId="77777777" w:rsidR="00D37A38" w:rsidRDefault="00D37A38" w:rsidP="007A1526">
      <w:pPr>
        <w:spacing w:line="259" w:lineRule="auto"/>
        <w:jc w:val="both"/>
        <w:rPr>
          <w:rFonts w:ascii="Garamond" w:hAnsi="Garamond"/>
          <w:b/>
          <w:bCs/>
          <w:iCs/>
          <w:sz w:val="20"/>
          <w:szCs w:val="20"/>
        </w:rPr>
      </w:pPr>
    </w:p>
    <w:p w14:paraId="52AD9693" w14:textId="28B1F91E" w:rsidR="00D37A38" w:rsidRPr="00A754B1" w:rsidRDefault="00D37A38" w:rsidP="00D37A38">
      <w:pPr>
        <w:spacing w:line="259" w:lineRule="auto"/>
        <w:jc w:val="both"/>
        <w:rPr>
          <w:rFonts w:ascii="Garamond" w:hAnsi="Garamond"/>
          <w:iCs/>
          <w:sz w:val="20"/>
          <w:szCs w:val="20"/>
          <w:lang w:val="en-GB"/>
        </w:rPr>
      </w:pPr>
      <w:r w:rsidRPr="00D37A38">
        <w:rPr>
          <w:rFonts w:ascii="Garamond" w:hAnsi="Garamond"/>
          <w:i/>
          <w:iCs/>
          <w:sz w:val="20"/>
          <w:szCs w:val="20"/>
          <w:lang w:val="en-GB"/>
        </w:rPr>
        <w:t>Note.</w:t>
      </w:r>
      <w:r w:rsidRPr="00D37A38">
        <w:rPr>
          <w:rFonts w:ascii="Garamond" w:hAnsi="Garamond"/>
          <w:iCs/>
          <w:sz w:val="20"/>
          <w:szCs w:val="20"/>
          <w:lang w:val="en-GB"/>
        </w:rPr>
        <w:t xml:space="preserve"> As a non-randomised parallel-group trial but within-subjects experimental design, all participants received all interventions; no losses or exclusions after enrolment occurred.</w:t>
      </w:r>
    </w:p>
    <w:p w14:paraId="1968D5CB" w14:textId="189E51AD" w:rsidR="0055385D" w:rsidRDefault="00D37A38" w:rsidP="00D37A38">
      <w:pPr>
        <w:spacing w:line="259" w:lineRule="auto"/>
        <w:jc w:val="both"/>
        <w:rPr>
          <w:rFonts w:ascii="Garamond" w:hAnsi="Garamond"/>
          <w:iCs/>
          <w:sz w:val="20"/>
          <w:szCs w:val="20"/>
          <w:lang w:val="en-GB"/>
        </w:rPr>
      </w:pPr>
      <w:r w:rsidRPr="00A754B1">
        <w:rPr>
          <w:rFonts w:ascii="Garamond" w:hAnsi="Garamond"/>
          <w:b/>
          <w:bCs/>
          <w:i/>
          <w:sz w:val="20"/>
          <w:szCs w:val="20"/>
          <w:lang w:val="en-GB"/>
        </w:rPr>
        <w:t>Procedure</w:t>
      </w:r>
      <w:r w:rsidR="00A754B1" w:rsidRPr="00A754B1">
        <w:rPr>
          <w:rFonts w:ascii="Garamond" w:hAnsi="Garamond"/>
          <w:b/>
          <w:bCs/>
          <w:i/>
          <w:sz w:val="20"/>
          <w:szCs w:val="20"/>
          <w:lang w:val="en-GB"/>
        </w:rPr>
        <w:t>:</w:t>
      </w:r>
      <w:r w:rsidR="00A754B1">
        <w:rPr>
          <w:rFonts w:ascii="Garamond" w:hAnsi="Garamond"/>
          <w:b/>
          <w:bCs/>
          <w:iCs/>
          <w:sz w:val="20"/>
          <w:szCs w:val="20"/>
          <w:lang w:val="en-GB"/>
        </w:rPr>
        <w:t xml:space="preserve"> </w:t>
      </w:r>
      <w:r w:rsidRPr="00D37A38">
        <w:rPr>
          <w:rFonts w:ascii="Garamond" w:hAnsi="Garamond"/>
          <w:iCs/>
          <w:sz w:val="20"/>
          <w:szCs w:val="20"/>
          <w:lang w:val="en-GB"/>
        </w:rPr>
        <w:t xml:space="preserve">Sessions were conducted in one of the university's lecture halls, with the lowest potential for introducing uncontrolled background noise or distractions, between 09:00 and 16:00 hours. The speaker was positioned 70-90 cm from the wall and angled towards the subject’s head to reduce interference. The pre-screening was followed by a 10-minute rest </w:t>
      </w:r>
      <w:r w:rsidRPr="00D37A38">
        <w:rPr>
          <w:rFonts w:ascii="Garamond" w:hAnsi="Garamond"/>
          <w:iCs/>
          <w:sz w:val="20"/>
          <w:szCs w:val="20"/>
          <w:lang w:val="en-GB"/>
        </w:rPr>
        <w:t xml:space="preserve">period, after which the subjects were exposed to the experimental conditions in a predetermined order. </w:t>
      </w:r>
    </w:p>
    <w:p w14:paraId="6F9B95E2" w14:textId="09E4C878" w:rsidR="00D37A38" w:rsidRPr="00D37A38" w:rsidRDefault="00D37A38" w:rsidP="00A754B1">
      <w:pPr>
        <w:spacing w:line="259" w:lineRule="auto"/>
        <w:rPr>
          <w:rFonts w:ascii="Garamond" w:hAnsi="Garamond"/>
          <w:iCs/>
          <w:sz w:val="20"/>
          <w:szCs w:val="20"/>
          <w:lang w:val="en-GB"/>
        </w:rPr>
      </w:pPr>
      <w:r w:rsidRPr="00D37A38">
        <w:rPr>
          <w:rFonts w:ascii="Garamond" w:hAnsi="Garamond"/>
          <w:iCs/>
          <w:sz w:val="20"/>
          <w:szCs w:val="20"/>
          <w:lang w:val="en-GB"/>
        </w:rPr>
        <w:t>The conditions were calibrated noise playback at 70 dB(A), the LCT, a recall task, immediate scoring, and logging of the A-weighted equivalent continuous sound level (</w:t>
      </w:r>
      <w:proofErr w:type="spellStart"/>
      <w:r w:rsidRPr="00D37A38">
        <w:rPr>
          <w:rFonts w:ascii="Garamond" w:hAnsi="Garamond"/>
          <w:iCs/>
          <w:sz w:val="20"/>
          <w:szCs w:val="20"/>
          <w:lang w:val="en-GB"/>
        </w:rPr>
        <w:t>LAeq</w:t>
      </w:r>
      <w:proofErr w:type="spellEnd"/>
      <w:r w:rsidRPr="00D37A38">
        <w:rPr>
          <w:rFonts w:ascii="Garamond" w:hAnsi="Garamond"/>
          <w:iCs/>
          <w:sz w:val="20"/>
          <w:szCs w:val="20"/>
          <w:lang w:val="en-GB"/>
        </w:rPr>
        <w:t xml:space="preserve">), temperature, and elapsed time. Successive conditions were separated by a 10-15-minute silent washout period. The study received ethical approval from the Department of Health Promotion and Environmental Health Education, UNILORIN; Approval </w:t>
      </w:r>
      <w:proofErr w:type="spellStart"/>
      <w:proofErr w:type="gramStart"/>
      <w:r w:rsidRPr="00D37A38">
        <w:rPr>
          <w:rFonts w:ascii="Garamond" w:hAnsi="Garamond"/>
          <w:iCs/>
          <w:sz w:val="20"/>
          <w:szCs w:val="20"/>
          <w:lang w:val="en-GB"/>
        </w:rPr>
        <w:t>number:UIL</w:t>
      </w:r>
      <w:proofErr w:type="spellEnd"/>
      <w:proofErr w:type="gramEnd"/>
      <w:r w:rsidRPr="00D37A38">
        <w:rPr>
          <w:rFonts w:ascii="Garamond" w:hAnsi="Garamond"/>
          <w:iCs/>
          <w:sz w:val="20"/>
          <w:szCs w:val="20"/>
          <w:lang w:val="en-GB"/>
        </w:rPr>
        <w:t>/EDU/HP&amp;EHE/REC/00/</w:t>
      </w:r>
      <w:proofErr w:type="gramStart"/>
      <w:r w:rsidRPr="00D37A38">
        <w:rPr>
          <w:rFonts w:ascii="Garamond" w:hAnsi="Garamond"/>
          <w:iCs/>
          <w:sz w:val="20"/>
          <w:szCs w:val="20"/>
          <w:lang w:val="en-GB"/>
        </w:rPr>
        <w:t xml:space="preserve">25, </w:t>
      </w:r>
      <w:r w:rsidR="00D60F57">
        <w:rPr>
          <w:rFonts w:ascii="Garamond" w:hAnsi="Garamond"/>
          <w:iCs/>
          <w:sz w:val="20"/>
          <w:szCs w:val="20"/>
          <w:lang w:val="en-GB"/>
        </w:rPr>
        <w:t xml:space="preserve"> </w:t>
      </w:r>
      <w:r w:rsidRPr="00D37A38">
        <w:rPr>
          <w:rFonts w:ascii="Garamond" w:hAnsi="Garamond"/>
          <w:iCs/>
          <w:sz w:val="20"/>
          <w:szCs w:val="20"/>
          <w:lang w:val="en-GB"/>
        </w:rPr>
        <w:t>dated</w:t>
      </w:r>
      <w:proofErr w:type="gramEnd"/>
      <w:r w:rsidRPr="00D37A38">
        <w:rPr>
          <w:rFonts w:ascii="Garamond" w:hAnsi="Garamond"/>
          <w:iCs/>
          <w:sz w:val="20"/>
          <w:szCs w:val="20"/>
          <w:lang w:val="en-GB"/>
        </w:rPr>
        <w:t xml:space="preserve"> 10/12/2025. Each participant provided signed informed consent to participate.</w:t>
      </w:r>
    </w:p>
    <w:p w14:paraId="3ED1E24F" w14:textId="77777777" w:rsidR="00D37A38" w:rsidRPr="00D37A38" w:rsidRDefault="00D37A38" w:rsidP="00D37A38">
      <w:pPr>
        <w:spacing w:line="259" w:lineRule="auto"/>
        <w:jc w:val="both"/>
        <w:rPr>
          <w:rFonts w:ascii="Garamond" w:hAnsi="Garamond"/>
          <w:iCs/>
          <w:sz w:val="20"/>
          <w:szCs w:val="20"/>
          <w:lang w:val="en-GB"/>
        </w:rPr>
      </w:pPr>
      <w:r w:rsidRPr="00D37A38">
        <w:rPr>
          <w:rFonts w:ascii="Garamond" w:hAnsi="Garamond"/>
          <w:iCs/>
          <w:noProof/>
          <w:sz w:val="20"/>
          <w:szCs w:val="20"/>
          <w:lang w:val="en-GB"/>
        </w:rPr>
        <w:drawing>
          <wp:anchor distT="0" distB="0" distL="114300" distR="114300" simplePos="0" relativeHeight="251665408" behindDoc="0" locked="0" layoutInCell="1" allowOverlap="1" wp14:anchorId="38A8E9A7" wp14:editId="60E5C898">
            <wp:simplePos x="0" y="0"/>
            <wp:positionH relativeFrom="column">
              <wp:align>left</wp:align>
            </wp:positionH>
            <wp:positionV relativeFrom="paragraph">
              <wp:posOffset>-3175</wp:posOffset>
            </wp:positionV>
            <wp:extent cx="2388235" cy="3257550"/>
            <wp:effectExtent l="0" t="0" r="0" b="0"/>
            <wp:wrapThrough wrapText="bothSides">
              <wp:wrapPolygon edited="0">
                <wp:start x="0" y="0"/>
                <wp:lineTo x="0" y="21474"/>
                <wp:lineTo x="21365" y="21474"/>
                <wp:lineTo x="21365" y="0"/>
                <wp:lineTo x="0" y="0"/>
              </wp:wrapPolygon>
            </wp:wrapThrough>
            <wp:docPr id="91326194" name="Picture 10" descr="A technical illustration of a study schedule timeline with labeled phases and time intervals.">
              <a:extLst xmlns:a="http://schemas.openxmlformats.org/drawingml/2006/main">
                <a:ext uri="{FF2B5EF4-FFF2-40B4-BE49-F238E27FC236}">
                  <a16:creationId xmlns:a16="http://schemas.microsoft.com/office/drawing/2014/main" id="{045C1A0C-7448-4059-B76B-CA710A6977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A technical illustration of a study schedule timeline with labeled phases and time intervals."/>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8235" cy="3257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96377B" w14:textId="77777777" w:rsidR="0055385D" w:rsidRDefault="00D37A38" w:rsidP="00D37A38">
      <w:pPr>
        <w:spacing w:line="259" w:lineRule="auto"/>
        <w:jc w:val="both"/>
        <w:rPr>
          <w:rFonts w:ascii="Garamond" w:hAnsi="Garamond"/>
          <w:b/>
          <w:bCs/>
          <w:iCs/>
          <w:sz w:val="20"/>
          <w:szCs w:val="20"/>
          <w:lang w:val="en-GB"/>
        </w:rPr>
      </w:pPr>
      <w:r w:rsidRPr="00D37A38">
        <w:rPr>
          <w:rFonts w:ascii="Garamond" w:hAnsi="Garamond"/>
          <w:b/>
          <w:bCs/>
          <w:iCs/>
          <w:sz w:val="20"/>
          <w:szCs w:val="20"/>
          <w:lang w:val="en-GB"/>
        </w:rPr>
        <w:t xml:space="preserve">Data </w:t>
      </w:r>
    </w:p>
    <w:p w14:paraId="07567B6F" w14:textId="77777777" w:rsidR="0055385D" w:rsidRDefault="0055385D" w:rsidP="00D37A38">
      <w:pPr>
        <w:spacing w:line="259" w:lineRule="auto"/>
        <w:jc w:val="both"/>
        <w:rPr>
          <w:rFonts w:ascii="Garamond" w:hAnsi="Garamond"/>
          <w:b/>
          <w:bCs/>
          <w:iCs/>
          <w:sz w:val="20"/>
          <w:szCs w:val="20"/>
          <w:lang w:val="en-GB"/>
        </w:rPr>
      </w:pPr>
    </w:p>
    <w:p w14:paraId="2D91DBE4" w14:textId="77777777" w:rsidR="0055385D" w:rsidRDefault="0055385D" w:rsidP="00D37A38">
      <w:pPr>
        <w:spacing w:line="259" w:lineRule="auto"/>
        <w:jc w:val="both"/>
        <w:rPr>
          <w:rFonts w:ascii="Garamond" w:hAnsi="Garamond"/>
          <w:b/>
          <w:bCs/>
          <w:iCs/>
          <w:sz w:val="20"/>
          <w:szCs w:val="20"/>
          <w:lang w:val="en-GB"/>
        </w:rPr>
      </w:pPr>
    </w:p>
    <w:p w14:paraId="4F466CF8" w14:textId="77777777" w:rsidR="0055385D" w:rsidRDefault="0055385D" w:rsidP="00D37A38">
      <w:pPr>
        <w:spacing w:line="259" w:lineRule="auto"/>
        <w:jc w:val="both"/>
        <w:rPr>
          <w:rFonts w:ascii="Garamond" w:hAnsi="Garamond"/>
          <w:b/>
          <w:bCs/>
          <w:iCs/>
          <w:sz w:val="20"/>
          <w:szCs w:val="20"/>
          <w:lang w:val="en-GB"/>
        </w:rPr>
      </w:pPr>
    </w:p>
    <w:p w14:paraId="375ED64F" w14:textId="77777777" w:rsidR="0055385D" w:rsidRDefault="0055385D" w:rsidP="00D37A38">
      <w:pPr>
        <w:spacing w:line="259" w:lineRule="auto"/>
        <w:jc w:val="both"/>
        <w:rPr>
          <w:rFonts w:ascii="Garamond" w:hAnsi="Garamond"/>
          <w:b/>
          <w:bCs/>
          <w:iCs/>
          <w:sz w:val="20"/>
          <w:szCs w:val="20"/>
          <w:lang w:val="en-GB"/>
        </w:rPr>
      </w:pPr>
    </w:p>
    <w:p w14:paraId="446878E9" w14:textId="77777777" w:rsidR="0055385D" w:rsidRDefault="0055385D" w:rsidP="00D37A38">
      <w:pPr>
        <w:spacing w:line="259" w:lineRule="auto"/>
        <w:jc w:val="both"/>
        <w:rPr>
          <w:rFonts w:ascii="Garamond" w:hAnsi="Garamond"/>
          <w:b/>
          <w:bCs/>
          <w:iCs/>
          <w:sz w:val="20"/>
          <w:szCs w:val="20"/>
          <w:lang w:val="en-GB"/>
        </w:rPr>
      </w:pPr>
    </w:p>
    <w:p w14:paraId="6EB1AF6D" w14:textId="77777777" w:rsidR="0055385D" w:rsidRDefault="0055385D" w:rsidP="00D37A38">
      <w:pPr>
        <w:spacing w:line="259" w:lineRule="auto"/>
        <w:jc w:val="both"/>
        <w:rPr>
          <w:rFonts w:ascii="Garamond" w:hAnsi="Garamond"/>
          <w:b/>
          <w:bCs/>
          <w:iCs/>
          <w:sz w:val="20"/>
          <w:szCs w:val="20"/>
          <w:lang w:val="en-GB"/>
        </w:rPr>
      </w:pPr>
    </w:p>
    <w:p w14:paraId="77355D14" w14:textId="77777777" w:rsidR="0055385D" w:rsidRDefault="0055385D" w:rsidP="00D37A38">
      <w:pPr>
        <w:spacing w:line="259" w:lineRule="auto"/>
        <w:jc w:val="both"/>
        <w:rPr>
          <w:rFonts w:ascii="Garamond" w:hAnsi="Garamond"/>
          <w:b/>
          <w:bCs/>
          <w:iCs/>
          <w:sz w:val="20"/>
          <w:szCs w:val="20"/>
          <w:lang w:val="en-GB"/>
        </w:rPr>
      </w:pPr>
    </w:p>
    <w:p w14:paraId="3274089D" w14:textId="77777777" w:rsidR="0055385D" w:rsidRDefault="0055385D" w:rsidP="00D37A38">
      <w:pPr>
        <w:spacing w:line="259" w:lineRule="auto"/>
        <w:jc w:val="both"/>
        <w:rPr>
          <w:rFonts w:ascii="Garamond" w:hAnsi="Garamond"/>
          <w:b/>
          <w:bCs/>
          <w:iCs/>
          <w:sz w:val="20"/>
          <w:szCs w:val="20"/>
          <w:lang w:val="en-GB"/>
        </w:rPr>
      </w:pPr>
    </w:p>
    <w:p w14:paraId="1B06BDCD" w14:textId="77777777" w:rsidR="0055385D" w:rsidRDefault="0055385D" w:rsidP="00D37A38">
      <w:pPr>
        <w:spacing w:line="259" w:lineRule="auto"/>
        <w:jc w:val="both"/>
        <w:rPr>
          <w:rFonts w:ascii="Garamond" w:hAnsi="Garamond"/>
          <w:b/>
          <w:bCs/>
          <w:iCs/>
          <w:sz w:val="20"/>
          <w:szCs w:val="20"/>
          <w:lang w:val="en-GB"/>
        </w:rPr>
      </w:pPr>
    </w:p>
    <w:p w14:paraId="23EB3A93" w14:textId="77777777" w:rsidR="0055385D" w:rsidRDefault="0055385D" w:rsidP="00D37A38">
      <w:pPr>
        <w:spacing w:line="259" w:lineRule="auto"/>
        <w:jc w:val="both"/>
        <w:rPr>
          <w:rFonts w:ascii="Garamond" w:hAnsi="Garamond"/>
          <w:b/>
          <w:bCs/>
          <w:iCs/>
          <w:sz w:val="20"/>
          <w:szCs w:val="20"/>
          <w:lang w:val="en-GB"/>
        </w:rPr>
      </w:pPr>
    </w:p>
    <w:p w14:paraId="4759E6D1" w14:textId="77777777" w:rsidR="0055385D" w:rsidRDefault="0055385D" w:rsidP="00D37A38">
      <w:pPr>
        <w:spacing w:line="259" w:lineRule="auto"/>
        <w:jc w:val="both"/>
        <w:rPr>
          <w:rFonts w:ascii="Garamond" w:hAnsi="Garamond"/>
          <w:b/>
          <w:bCs/>
          <w:iCs/>
          <w:sz w:val="20"/>
          <w:szCs w:val="20"/>
          <w:lang w:val="en-GB"/>
        </w:rPr>
      </w:pPr>
    </w:p>
    <w:p w14:paraId="06F5A623" w14:textId="77777777" w:rsidR="0055385D" w:rsidRDefault="0055385D" w:rsidP="00D37A38">
      <w:pPr>
        <w:spacing w:line="259" w:lineRule="auto"/>
        <w:jc w:val="both"/>
        <w:rPr>
          <w:rFonts w:ascii="Garamond" w:hAnsi="Garamond"/>
          <w:b/>
          <w:bCs/>
          <w:iCs/>
          <w:sz w:val="20"/>
          <w:szCs w:val="20"/>
          <w:lang w:val="en-GB"/>
        </w:rPr>
      </w:pPr>
    </w:p>
    <w:p w14:paraId="481D5C06" w14:textId="77777777" w:rsidR="0055385D" w:rsidRDefault="0055385D" w:rsidP="00D37A38">
      <w:pPr>
        <w:spacing w:line="259" w:lineRule="auto"/>
        <w:jc w:val="both"/>
        <w:rPr>
          <w:rFonts w:ascii="Garamond" w:hAnsi="Garamond"/>
          <w:b/>
          <w:bCs/>
          <w:iCs/>
          <w:sz w:val="20"/>
          <w:szCs w:val="20"/>
          <w:lang w:val="en-GB"/>
        </w:rPr>
      </w:pPr>
    </w:p>
    <w:p w14:paraId="687759A5" w14:textId="77777777" w:rsidR="0055385D" w:rsidRDefault="0055385D" w:rsidP="00D37A38">
      <w:pPr>
        <w:spacing w:line="259" w:lineRule="auto"/>
        <w:jc w:val="both"/>
        <w:rPr>
          <w:rFonts w:ascii="Garamond" w:hAnsi="Garamond"/>
          <w:b/>
          <w:bCs/>
          <w:iCs/>
          <w:sz w:val="20"/>
          <w:szCs w:val="20"/>
          <w:lang w:val="en-GB"/>
        </w:rPr>
      </w:pPr>
    </w:p>
    <w:p w14:paraId="158B8CA4" w14:textId="77777777" w:rsidR="0055385D" w:rsidRDefault="0055385D" w:rsidP="00D37A38">
      <w:pPr>
        <w:spacing w:line="259" w:lineRule="auto"/>
        <w:jc w:val="both"/>
        <w:rPr>
          <w:rFonts w:ascii="Garamond" w:hAnsi="Garamond"/>
          <w:b/>
          <w:bCs/>
          <w:iCs/>
          <w:sz w:val="20"/>
          <w:szCs w:val="20"/>
          <w:lang w:val="en-GB"/>
        </w:rPr>
      </w:pPr>
    </w:p>
    <w:p w14:paraId="6691D06D" w14:textId="77777777" w:rsidR="0055385D" w:rsidRDefault="0055385D" w:rsidP="00D37A38">
      <w:pPr>
        <w:spacing w:line="259" w:lineRule="auto"/>
        <w:jc w:val="both"/>
        <w:rPr>
          <w:rFonts w:ascii="Garamond" w:hAnsi="Garamond"/>
          <w:b/>
          <w:bCs/>
          <w:iCs/>
          <w:sz w:val="20"/>
          <w:szCs w:val="20"/>
          <w:lang w:val="en-GB"/>
        </w:rPr>
      </w:pPr>
    </w:p>
    <w:p w14:paraId="2C27D60C" w14:textId="77777777" w:rsidR="0055385D" w:rsidRDefault="0055385D" w:rsidP="00D37A38">
      <w:pPr>
        <w:spacing w:line="259" w:lineRule="auto"/>
        <w:jc w:val="both"/>
        <w:rPr>
          <w:rFonts w:ascii="Garamond" w:hAnsi="Garamond"/>
          <w:b/>
          <w:bCs/>
          <w:iCs/>
          <w:sz w:val="20"/>
          <w:szCs w:val="20"/>
          <w:lang w:val="en-GB"/>
        </w:rPr>
      </w:pPr>
    </w:p>
    <w:p w14:paraId="5678CD6E" w14:textId="77777777" w:rsidR="0055385D" w:rsidRDefault="0055385D" w:rsidP="00D37A38">
      <w:pPr>
        <w:spacing w:line="259" w:lineRule="auto"/>
        <w:jc w:val="both"/>
        <w:rPr>
          <w:rFonts w:ascii="Garamond" w:hAnsi="Garamond"/>
          <w:b/>
          <w:bCs/>
          <w:iCs/>
          <w:sz w:val="20"/>
          <w:szCs w:val="20"/>
          <w:lang w:val="en-GB"/>
        </w:rPr>
      </w:pPr>
    </w:p>
    <w:p w14:paraId="5974DFAF" w14:textId="77777777" w:rsidR="0055385D" w:rsidRDefault="0055385D" w:rsidP="00D37A38">
      <w:pPr>
        <w:spacing w:line="259" w:lineRule="auto"/>
        <w:jc w:val="both"/>
        <w:rPr>
          <w:rFonts w:ascii="Garamond" w:hAnsi="Garamond"/>
          <w:b/>
          <w:bCs/>
          <w:iCs/>
          <w:sz w:val="20"/>
          <w:szCs w:val="20"/>
          <w:lang w:val="en-GB"/>
        </w:rPr>
      </w:pPr>
    </w:p>
    <w:p w14:paraId="2BAEF05F" w14:textId="77777777" w:rsidR="0055385D" w:rsidRDefault="0055385D" w:rsidP="00D37A38">
      <w:pPr>
        <w:spacing w:line="259" w:lineRule="auto"/>
        <w:jc w:val="both"/>
        <w:rPr>
          <w:rFonts w:ascii="Garamond" w:hAnsi="Garamond"/>
          <w:b/>
          <w:bCs/>
          <w:iCs/>
          <w:sz w:val="20"/>
          <w:szCs w:val="20"/>
          <w:lang w:val="en-GB"/>
        </w:rPr>
      </w:pPr>
    </w:p>
    <w:p w14:paraId="79C8DE82" w14:textId="77777777" w:rsidR="0055385D" w:rsidRDefault="0055385D" w:rsidP="00D37A38">
      <w:pPr>
        <w:spacing w:line="259" w:lineRule="auto"/>
        <w:jc w:val="both"/>
        <w:rPr>
          <w:rFonts w:ascii="Garamond" w:hAnsi="Garamond"/>
          <w:b/>
          <w:bCs/>
          <w:iCs/>
          <w:sz w:val="20"/>
          <w:szCs w:val="20"/>
          <w:lang w:val="en-GB"/>
        </w:rPr>
      </w:pPr>
    </w:p>
    <w:p w14:paraId="7EF2836D" w14:textId="5F5EC0AC" w:rsidR="00D37A38" w:rsidRPr="00D37A38" w:rsidRDefault="00D37A38" w:rsidP="00D37A38">
      <w:pPr>
        <w:spacing w:line="259" w:lineRule="auto"/>
        <w:jc w:val="both"/>
        <w:rPr>
          <w:rFonts w:ascii="Garamond" w:hAnsi="Garamond"/>
          <w:iCs/>
          <w:sz w:val="20"/>
          <w:szCs w:val="20"/>
          <w:lang w:val="en-GB"/>
        </w:rPr>
      </w:pPr>
      <w:r w:rsidRPr="00A754B1">
        <w:rPr>
          <w:rFonts w:ascii="Garamond" w:hAnsi="Garamond"/>
          <w:b/>
          <w:bCs/>
          <w:i/>
          <w:sz w:val="20"/>
          <w:szCs w:val="20"/>
          <w:lang w:val="en-GB"/>
        </w:rPr>
        <w:t>Analysis</w:t>
      </w:r>
      <w:r w:rsidR="00A754B1" w:rsidRPr="00A754B1">
        <w:rPr>
          <w:rFonts w:ascii="Garamond" w:hAnsi="Garamond"/>
          <w:b/>
          <w:bCs/>
          <w:i/>
          <w:sz w:val="20"/>
          <w:szCs w:val="20"/>
          <w:lang w:val="en-GB"/>
        </w:rPr>
        <w:t>:</w:t>
      </w:r>
      <w:r w:rsidR="00A754B1">
        <w:rPr>
          <w:rFonts w:ascii="Garamond" w:hAnsi="Garamond"/>
          <w:b/>
          <w:bCs/>
          <w:iCs/>
          <w:sz w:val="20"/>
          <w:szCs w:val="20"/>
          <w:lang w:val="en-GB"/>
        </w:rPr>
        <w:t xml:space="preserve"> </w:t>
      </w:r>
      <w:r w:rsidRPr="00D37A38">
        <w:rPr>
          <w:rFonts w:ascii="Garamond" w:hAnsi="Garamond"/>
          <w:iCs/>
          <w:sz w:val="20"/>
          <w:szCs w:val="20"/>
          <w:lang w:val="en-GB"/>
        </w:rPr>
        <w:t xml:space="preserve">The data were made in long format, with three observations per participant (one per condition), resulting in 120 observations. Primary analyses were conducted using linear mixed-effects models, with random participant intercepts and fixed effects for condition (quiet reference), age, sex, noise sensitivity, stress, sleep hours, room temperature, and </w:t>
      </w:r>
      <w:proofErr w:type="spellStart"/>
      <w:r w:rsidRPr="00D37A38">
        <w:rPr>
          <w:rFonts w:ascii="Garamond" w:hAnsi="Garamond"/>
          <w:iCs/>
          <w:sz w:val="20"/>
          <w:szCs w:val="20"/>
          <w:lang w:val="en-GB"/>
        </w:rPr>
        <w:t>LAeq</w:t>
      </w:r>
      <w:proofErr w:type="spellEnd"/>
      <w:r w:rsidRPr="00D37A38">
        <w:rPr>
          <w:rFonts w:ascii="Garamond" w:hAnsi="Garamond"/>
          <w:iCs/>
          <w:sz w:val="20"/>
          <w:szCs w:val="20"/>
          <w:lang w:val="en-GB"/>
        </w:rPr>
        <w:t xml:space="preserve">. Separate models were applied to LCT accuracy and recall score. Random intercepts were used to represent participants across sessions, but session-level covariates, including </w:t>
      </w:r>
      <w:proofErr w:type="spellStart"/>
      <w:r w:rsidRPr="00D37A38">
        <w:rPr>
          <w:rFonts w:ascii="Garamond" w:hAnsi="Garamond"/>
          <w:iCs/>
          <w:sz w:val="20"/>
          <w:szCs w:val="20"/>
          <w:lang w:val="en-GB"/>
        </w:rPr>
        <w:t>LAeq</w:t>
      </w:r>
      <w:proofErr w:type="spellEnd"/>
      <w:r w:rsidRPr="00D37A38">
        <w:rPr>
          <w:rFonts w:ascii="Garamond" w:hAnsi="Garamond"/>
          <w:iCs/>
          <w:sz w:val="20"/>
          <w:szCs w:val="20"/>
          <w:lang w:val="en-GB"/>
        </w:rPr>
        <w:t xml:space="preserve">, were not included due to high collinearity with the experimental condition, which hindered model convergence. Random slopes were </w:t>
      </w:r>
      <w:r w:rsidRPr="00D37A38">
        <w:rPr>
          <w:rFonts w:ascii="Garamond" w:hAnsi="Garamond"/>
          <w:iCs/>
          <w:sz w:val="20"/>
          <w:szCs w:val="20"/>
          <w:lang w:val="en-GB"/>
        </w:rPr>
        <w:lastRenderedPageBreak/>
        <w:t xml:space="preserve">tested but excluded due to an insignificant model fit (p &gt; 0.05) and unreliable convergence of the slope models. The diagnostic statistics for LCT were: an overall accuracy of 0.34 (34% between-participant variance), a marginal R2 of 0.04, and a conditional R2 of 0.38.  To recall, ICC = 0.14, the marginal R2 = 0.01, and the conditional R2 = 0.15. Supplementary repeated-measures ANOVA gave omnibus tests and partial η².  An additional repeated-measures ANOVA yielded partial η_p² = .169 (attention) and .009 (memory). A post hoc power of 0.96 was obtained using G*Power 3.1 (N=40, 3 repeated measures, α = 0.05) to detect medium-sized effects, but it also indicates low sensitivity to detect small memory effects. Significance was </w:t>
      </w:r>
      <w:r w:rsidRPr="00D37A38">
        <w:rPr>
          <w:rFonts w:ascii="Garamond" w:hAnsi="Garamond"/>
          <w:iCs/>
          <w:sz w:val="20"/>
          <w:szCs w:val="20"/>
        </w:rPr>
        <w:t>p ≤ 0.05</w:t>
      </w:r>
      <w:r w:rsidRPr="00D37A38">
        <w:rPr>
          <w:rFonts w:ascii="Garamond" w:hAnsi="Garamond"/>
          <w:iCs/>
          <w:sz w:val="20"/>
          <w:szCs w:val="20"/>
          <w:lang w:val="en-GB"/>
        </w:rPr>
        <w:t xml:space="preserve">, and Statistical Package for the Social Sciences (SPSS, version 26) was used for analysis. </w:t>
      </w:r>
    </w:p>
    <w:p w14:paraId="0D17F8E6" w14:textId="77777777" w:rsidR="00D37A38" w:rsidRPr="00D37A38" w:rsidRDefault="00D37A38" w:rsidP="007A1526">
      <w:pPr>
        <w:spacing w:line="259" w:lineRule="auto"/>
        <w:jc w:val="both"/>
        <w:rPr>
          <w:rFonts w:ascii="Garamond" w:hAnsi="Garamond"/>
          <w:iCs/>
          <w:sz w:val="20"/>
          <w:szCs w:val="20"/>
        </w:rPr>
      </w:pPr>
    </w:p>
    <w:p w14:paraId="3AE7F797" w14:textId="5A54EB4E" w:rsidR="0055385D" w:rsidRPr="00A754B1" w:rsidRDefault="00A754B1" w:rsidP="0055385D">
      <w:pPr>
        <w:spacing w:line="259" w:lineRule="auto"/>
        <w:jc w:val="both"/>
        <w:rPr>
          <w:rFonts w:ascii="Garamond" w:hAnsi="Garamond"/>
          <w:iCs/>
          <w:sz w:val="22"/>
          <w:szCs w:val="22"/>
          <w:lang w:val="en-GB"/>
        </w:rPr>
      </w:pPr>
      <w:r w:rsidRPr="00A754B1">
        <w:rPr>
          <w:rFonts w:ascii="Garamond" w:hAnsi="Garamond"/>
          <w:b/>
          <w:bCs/>
          <w:iCs/>
          <w:sz w:val="22"/>
          <w:szCs w:val="22"/>
          <w:lang w:val="en-GB"/>
        </w:rPr>
        <w:t>RESULTS</w:t>
      </w:r>
    </w:p>
    <w:p w14:paraId="19EAAF5A" w14:textId="6D359671"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The sample comprised 40 university students (mainly female), as indicated in Table 1. The average age of the participants was 21.00 years (SD = 2.35), with ages ranging from 17 to 25 years. The sex distribution was 33 females (82.5%) and 7 males (17.5%). The self-reported data revealed the low use of caffeine recently (7.5% stated that they used it), no alcohol or drug consumption, moderate noise sensitivity (M = 3.93, SD = 1.50) and stress (M = 3.88, SD = 1.20), and sensory problems (90% had no hearing difficulties, 85% had normal vision). Linear mixed-effects models revealed no significant deleterious effects of steady-state or intermittent noise on attention or short-term memory performance. Stress emerged as a significant negative predictor of both outcomes.</w:t>
      </w:r>
    </w:p>
    <w:p w14:paraId="7B3D6DB6" w14:textId="777A9B9D" w:rsidR="0055385D" w:rsidRPr="00B01D7E" w:rsidRDefault="0055385D" w:rsidP="00B01D7E">
      <w:pPr>
        <w:spacing w:line="259" w:lineRule="auto"/>
        <w:rPr>
          <w:rFonts w:ascii="Garamond" w:hAnsi="Garamond"/>
          <w:sz w:val="20"/>
          <w:szCs w:val="20"/>
          <w:lang w:val="en-GB"/>
        </w:rPr>
      </w:pPr>
      <w:r w:rsidRPr="0055385D">
        <w:rPr>
          <w:rFonts w:ascii="Garamond" w:hAnsi="Garamond"/>
          <w:b/>
          <w:bCs/>
          <w:iCs/>
          <w:sz w:val="20"/>
          <w:szCs w:val="20"/>
          <w:lang w:val="en-GB"/>
        </w:rPr>
        <w:t>Table 1</w:t>
      </w:r>
      <w:r w:rsidR="00A754B1">
        <w:rPr>
          <w:rFonts w:ascii="Garamond" w:hAnsi="Garamond"/>
          <w:b/>
          <w:bCs/>
          <w:iCs/>
          <w:sz w:val="20"/>
          <w:szCs w:val="20"/>
          <w:lang w:val="en-GB"/>
        </w:rPr>
        <w:t xml:space="preserve">. </w:t>
      </w:r>
      <w:r w:rsidRPr="00B01D7E">
        <w:rPr>
          <w:rFonts w:ascii="Garamond" w:hAnsi="Garamond"/>
          <w:sz w:val="20"/>
          <w:szCs w:val="20"/>
          <w:lang w:val="en-GB"/>
        </w:rPr>
        <w:t>Demographic and Self-Reported Characteristics of Participants (N = 40)</w:t>
      </w:r>
    </w:p>
    <w:tbl>
      <w:tblPr>
        <w:tblStyle w:val="TableGrid"/>
        <w:tblW w:w="5670" w:type="dxa"/>
        <w:tblInd w:w="-142" w:type="dxa"/>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1134"/>
        <w:gridCol w:w="2409"/>
      </w:tblGrid>
      <w:tr w:rsidR="0055385D" w:rsidRPr="0055385D" w14:paraId="0E101563" w14:textId="77777777" w:rsidTr="00E840EF">
        <w:trPr>
          <w:tblHeader/>
        </w:trPr>
        <w:tc>
          <w:tcPr>
            <w:tcW w:w="2127" w:type="dxa"/>
            <w:tcBorders>
              <w:top w:val="single" w:sz="4" w:space="0" w:color="auto"/>
              <w:bottom w:val="single" w:sz="4" w:space="0" w:color="auto"/>
            </w:tcBorders>
          </w:tcPr>
          <w:p w14:paraId="7EA6E2D6"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Variable</w:t>
            </w:r>
          </w:p>
        </w:tc>
        <w:tc>
          <w:tcPr>
            <w:tcW w:w="1134" w:type="dxa"/>
            <w:tcBorders>
              <w:top w:val="single" w:sz="4" w:space="0" w:color="auto"/>
              <w:bottom w:val="single" w:sz="4" w:space="0" w:color="auto"/>
            </w:tcBorders>
          </w:tcPr>
          <w:p w14:paraId="63593888"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Category/Statistic</w:t>
            </w:r>
          </w:p>
        </w:tc>
        <w:tc>
          <w:tcPr>
            <w:tcW w:w="2409" w:type="dxa"/>
            <w:tcBorders>
              <w:top w:val="single" w:sz="4" w:space="0" w:color="auto"/>
              <w:bottom w:val="single" w:sz="4" w:space="0" w:color="auto"/>
            </w:tcBorders>
          </w:tcPr>
          <w:p w14:paraId="2F1A9749" w14:textId="77777777" w:rsidR="00E840EF"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 xml:space="preserve">n (%) or </w:t>
            </w:r>
          </w:p>
          <w:p w14:paraId="70DA9EEE" w14:textId="3C088D1E"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M (SD)</w:t>
            </w:r>
          </w:p>
        </w:tc>
      </w:tr>
      <w:tr w:rsidR="0055385D" w:rsidRPr="0055385D" w14:paraId="1493F024" w14:textId="77777777" w:rsidTr="00E840EF">
        <w:tc>
          <w:tcPr>
            <w:tcW w:w="2127" w:type="dxa"/>
            <w:tcBorders>
              <w:top w:val="single" w:sz="4" w:space="0" w:color="auto"/>
            </w:tcBorders>
          </w:tcPr>
          <w:p w14:paraId="1A11336F"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Age (years)</w:t>
            </w:r>
          </w:p>
        </w:tc>
        <w:tc>
          <w:tcPr>
            <w:tcW w:w="1134" w:type="dxa"/>
            <w:tcBorders>
              <w:top w:val="single" w:sz="4" w:space="0" w:color="auto"/>
            </w:tcBorders>
          </w:tcPr>
          <w:p w14:paraId="20EEF335"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Mean (SD)</w:t>
            </w:r>
          </w:p>
        </w:tc>
        <w:tc>
          <w:tcPr>
            <w:tcW w:w="2409" w:type="dxa"/>
            <w:tcBorders>
              <w:top w:val="single" w:sz="4" w:space="0" w:color="auto"/>
            </w:tcBorders>
          </w:tcPr>
          <w:p w14:paraId="09F4EF7B"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21.00 (2.35)</w:t>
            </w:r>
          </w:p>
        </w:tc>
      </w:tr>
      <w:tr w:rsidR="0055385D" w:rsidRPr="0055385D" w14:paraId="4A4A9673" w14:textId="77777777" w:rsidTr="00E840EF">
        <w:tc>
          <w:tcPr>
            <w:tcW w:w="2127" w:type="dxa"/>
          </w:tcPr>
          <w:p w14:paraId="0A70603C" w14:textId="77777777" w:rsidR="0055385D" w:rsidRPr="0055385D" w:rsidRDefault="0055385D" w:rsidP="0055385D">
            <w:pPr>
              <w:spacing w:line="259" w:lineRule="auto"/>
              <w:jc w:val="both"/>
              <w:rPr>
                <w:rFonts w:ascii="Garamond" w:hAnsi="Garamond"/>
                <w:iCs/>
                <w:sz w:val="20"/>
                <w:szCs w:val="20"/>
                <w:lang w:val="en-GB"/>
              </w:rPr>
            </w:pPr>
          </w:p>
        </w:tc>
        <w:tc>
          <w:tcPr>
            <w:tcW w:w="1134" w:type="dxa"/>
          </w:tcPr>
          <w:p w14:paraId="14289865"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Range</w:t>
            </w:r>
          </w:p>
        </w:tc>
        <w:tc>
          <w:tcPr>
            <w:tcW w:w="2409" w:type="dxa"/>
          </w:tcPr>
          <w:p w14:paraId="746B0FD0"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17–25</w:t>
            </w:r>
          </w:p>
        </w:tc>
      </w:tr>
      <w:tr w:rsidR="0055385D" w:rsidRPr="0055385D" w14:paraId="07E366C2" w14:textId="77777777" w:rsidTr="00E840EF">
        <w:tc>
          <w:tcPr>
            <w:tcW w:w="2127" w:type="dxa"/>
          </w:tcPr>
          <w:p w14:paraId="2A7A853B" w14:textId="77777777" w:rsidR="0055385D" w:rsidRPr="0055385D" w:rsidRDefault="0055385D" w:rsidP="0055385D">
            <w:pPr>
              <w:spacing w:line="259" w:lineRule="auto"/>
              <w:jc w:val="both"/>
              <w:rPr>
                <w:rFonts w:ascii="Garamond" w:hAnsi="Garamond"/>
                <w:iCs/>
                <w:sz w:val="20"/>
                <w:szCs w:val="20"/>
                <w:lang w:val="en-GB"/>
              </w:rPr>
            </w:pPr>
          </w:p>
        </w:tc>
        <w:tc>
          <w:tcPr>
            <w:tcW w:w="1134" w:type="dxa"/>
          </w:tcPr>
          <w:p w14:paraId="3955FEE7"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Median</w:t>
            </w:r>
          </w:p>
        </w:tc>
        <w:tc>
          <w:tcPr>
            <w:tcW w:w="2409" w:type="dxa"/>
          </w:tcPr>
          <w:p w14:paraId="3320AEEC"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20.50</w:t>
            </w:r>
          </w:p>
        </w:tc>
      </w:tr>
      <w:tr w:rsidR="0055385D" w:rsidRPr="0055385D" w14:paraId="7ACA5A21" w14:textId="77777777" w:rsidTr="00E840EF">
        <w:tc>
          <w:tcPr>
            <w:tcW w:w="2127" w:type="dxa"/>
          </w:tcPr>
          <w:p w14:paraId="39E9DDD8"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Sex</w:t>
            </w:r>
          </w:p>
        </w:tc>
        <w:tc>
          <w:tcPr>
            <w:tcW w:w="1134" w:type="dxa"/>
          </w:tcPr>
          <w:p w14:paraId="5BF0783D"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Female</w:t>
            </w:r>
          </w:p>
        </w:tc>
        <w:tc>
          <w:tcPr>
            <w:tcW w:w="2409" w:type="dxa"/>
          </w:tcPr>
          <w:p w14:paraId="3341B505"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33 (82.5)</w:t>
            </w:r>
          </w:p>
        </w:tc>
      </w:tr>
      <w:tr w:rsidR="0055385D" w:rsidRPr="0055385D" w14:paraId="72E27029" w14:textId="77777777" w:rsidTr="00E840EF">
        <w:tc>
          <w:tcPr>
            <w:tcW w:w="2127" w:type="dxa"/>
          </w:tcPr>
          <w:p w14:paraId="3FF0919C" w14:textId="77777777" w:rsidR="0055385D" w:rsidRPr="0055385D" w:rsidRDefault="0055385D" w:rsidP="0055385D">
            <w:pPr>
              <w:spacing w:line="259" w:lineRule="auto"/>
              <w:jc w:val="both"/>
              <w:rPr>
                <w:rFonts w:ascii="Garamond" w:hAnsi="Garamond"/>
                <w:iCs/>
                <w:sz w:val="20"/>
                <w:szCs w:val="20"/>
                <w:lang w:val="en-GB"/>
              </w:rPr>
            </w:pPr>
          </w:p>
        </w:tc>
        <w:tc>
          <w:tcPr>
            <w:tcW w:w="1134" w:type="dxa"/>
          </w:tcPr>
          <w:p w14:paraId="0B0EDDA0"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Male</w:t>
            </w:r>
          </w:p>
        </w:tc>
        <w:tc>
          <w:tcPr>
            <w:tcW w:w="2409" w:type="dxa"/>
          </w:tcPr>
          <w:p w14:paraId="5458EF55"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7 (17.5)</w:t>
            </w:r>
          </w:p>
        </w:tc>
      </w:tr>
      <w:tr w:rsidR="0055385D" w:rsidRPr="0055385D" w14:paraId="10C0DF86" w14:textId="77777777" w:rsidTr="00E840EF">
        <w:tc>
          <w:tcPr>
            <w:tcW w:w="2127" w:type="dxa"/>
          </w:tcPr>
          <w:p w14:paraId="73F5BE64"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Caffeine (recent intake)</w:t>
            </w:r>
          </w:p>
        </w:tc>
        <w:tc>
          <w:tcPr>
            <w:tcW w:w="1134" w:type="dxa"/>
          </w:tcPr>
          <w:p w14:paraId="3595F8F1"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No</w:t>
            </w:r>
          </w:p>
        </w:tc>
        <w:tc>
          <w:tcPr>
            <w:tcW w:w="2409" w:type="dxa"/>
          </w:tcPr>
          <w:p w14:paraId="557BFDB5"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37 (92.5)</w:t>
            </w:r>
          </w:p>
        </w:tc>
      </w:tr>
      <w:tr w:rsidR="0055385D" w:rsidRPr="0055385D" w14:paraId="3835F6AA" w14:textId="77777777" w:rsidTr="00E840EF">
        <w:tc>
          <w:tcPr>
            <w:tcW w:w="2127" w:type="dxa"/>
          </w:tcPr>
          <w:p w14:paraId="524BD831" w14:textId="77777777" w:rsidR="0055385D" w:rsidRPr="0055385D" w:rsidRDefault="0055385D" w:rsidP="0055385D">
            <w:pPr>
              <w:spacing w:line="259" w:lineRule="auto"/>
              <w:jc w:val="both"/>
              <w:rPr>
                <w:rFonts w:ascii="Garamond" w:hAnsi="Garamond"/>
                <w:iCs/>
                <w:sz w:val="20"/>
                <w:szCs w:val="20"/>
                <w:lang w:val="en-GB"/>
              </w:rPr>
            </w:pPr>
          </w:p>
        </w:tc>
        <w:tc>
          <w:tcPr>
            <w:tcW w:w="1134" w:type="dxa"/>
          </w:tcPr>
          <w:p w14:paraId="42B1B8B3"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Yes</w:t>
            </w:r>
          </w:p>
        </w:tc>
        <w:tc>
          <w:tcPr>
            <w:tcW w:w="2409" w:type="dxa"/>
          </w:tcPr>
          <w:p w14:paraId="37079042"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3 (7.5)</w:t>
            </w:r>
          </w:p>
        </w:tc>
      </w:tr>
      <w:tr w:rsidR="0055385D" w:rsidRPr="0055385D" w14:paraId="7E80B84E" w14:textId="77777777" w:rsidTr="00E840EF">
        <w:tc>
          <w:tcPr>
            <w:tcW w:w="2127" w:type="dxa"/>
          </w:tcPr>
          <w:p w14:paraId="0944A490"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Alcohol (recent intake)</w:t>
            </w:r>
          </w:p>
        </w:tc>
        <w:tc>
          <w:tcPr>
            <w:tcW w:w="1134" w:type="dxa"/>
          </w:tcPr>
          <w:p w14:paraId="2969E2C2"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No</w:t>
            </w:r>
          </w:p>
        </w:tc>
        <w:tc>
          <w:tcPr>
            <w:tcW w:w="2409" w:type="dxa"/>
          </w:tcPr>
          <w:p w14:paraId="5E2CFA07"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40 (100)</w:t>
            </w:r>
          </w:p>
        </w:tc>
      </w:tr>
      <w:tr w:rsidR="0055385D" w:rsidRPr="0055385D" w14:paraId="067FD73B" w14:textId="77777777" w:rsidTr="00E840EF">
        <w:tc>
          <w:tcPr>
            <w:tcW w:w="2127" w:type="dxa"/>
          </w:tcPr>
          <w:p w14:paraId="2B2B7968"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Medication (current use)</w:t>
            </w:r>
          </w:p>
        </w:tc>
        <w:tc>
          <w:tcPr>
            <w:tcW w:w="1134" w:type="dxa"/>
          </w:tcPr>
          <w:p w14:paraId="3DDD4201"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No</w:t>
            </w:r>
          </w:p>
        </w:tc>
        <w:tc>
          <w:tcPr>
            <w:tcW w:w="2409" w:type="dxa"/>
          </w:tcPr>
          <w:p w14:paraId="6C39F52E"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40 (100)</w:t>
            </w:r>
          </w:p>
        </w:tc>
      </w:tr>
      <w:tr w:rsidR="0055385D" w:rsidRPr="0055385D" w14:paraId="76AD545B" w14:textId="77777777" w:rsidTr="00E840EF">
        <w:tc>
          <w:tcPr>
            <w:tcW w:w="2127" w:type="dxa"/>
          </w:tcPr>
          <w:p w14:paraId="7170AD1A"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Noise Sensitivity (1–7)</w:t>
            </w:r>
          </w:p>
        </w:tc>
        <w:tc>
          <w:tcPr>
            <w:tcW w:w="1134" w:type="dxa"/>
          </w:tcPr>
          <w:p w14:paraId="0AADA0E8"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Mean (SD)</w:t>
            </w:r>
          </w:p>
        </w:tc>
        <w:tc>
          <w:tcPr>
            <w:tcW w:w="2409" w:type="dxa"/>
          </w:tcPr>
          <w:p w14:paraId="42028B78"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3.93 (1.50)</w:t>
            </w:r>
          </w:p>
        </w:tc>
      </w:tr>
      <w:tr w:rsidR="0055385D" w:rsidRPr="0055385D" w14:paraId="55D758B6" w14:textId="77777777" w:rsidTr="00E840EF">
        <w:tc>
          <w:tcPr>
            <w:tcW w:w="2127" w:type="dxa"/>
          </w:tcPr>
          <w:p w14:paraId="728A181F"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Stress (1–7)</w:t>
            </w:r>
          </w:p>
        </w:tc>
        <w:tc>
          <w:tcPr>
            <w:tcW w:w="1134" w:type="dxa"/>
          </w:tcPr>
          <w:p w14:paraId="36CC6136"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Mean (SD)</w:t>
            </w:r>
          </w:p>
        </w:tc>
        <w:tc>
          <w:tcPr>
            <w:tcW w:w="2409" w:type="dxa"/>
          </w:tcPr>
          <w:p w14:paraId="59BA2982"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3.88 (1.20)</w:t>
            </w:r>
          </w:p>
        </w:tc>
      </w:tr>
      <w:tr w:rsidR="0055385D" w:rsidRPr="0055385D" w14:paraId="46FFA392" w14:textId="77777777" w:rsidTr="00E840EF">
        <w:tc>
          <w:tcPr>
            <w:tcW w:w="2127" w:type="dxa"/>
          </w:tcPr>
          <w:p w14:paraId="41731AF4"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Hearing Difficulty (1–3)</w:t>
            </w:r>
          </w:p>
        </w:tc>
        <w:tc>
          <w:tcPr>
            <w:tcW w:w="1134" w:type="dxa"/>
          </w:tcPr>
          <w:p w14:paraId="77DDDE80"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No difficulty (1)</w:t>
            </w:r>
          </w:p>
        </w:tc>
        <w:tc>
          <w:tcPr>
            <w:tcW w:w="2409" w:type="dxa"/>
          </w:tcPr>
          <w:p w14:paraId="15ADC8DE"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36 (90)</w:t>
            </w:r>
          </w:p>
        </w:tc>
      </w:tr>
      <w:tr w:rsidR="0055385D" w:rsidRPr="0055385D" w14:paraId="35599BCC" w14:textId="77777777" w:rsidTr="00E840EF">
        <w:tc>
          <w:tcPr>
            <w:tcW w:w="2127" w:type="dxa"/>
          </w:tcPr>
          <w:p w14:paraId="5832F759" w14:textId="77777777" w:rsidR="0055385D" w:rsidRPr="0055385D" w:rsidRDefault="0055385D" w:rsidP="0055385D">
            <w:pPr>
              <w:spacing w:line="259" w:lineRule="auto"/>
              <w:jc w:val="both"/>
              <w:rPr>
                <w:rFonts w:ascii="Garamond" w:hAnsi="Garamond"/>
                <w:iCs/>
                <w:sz w:val="20"/>
                <w:szCs w:val="20"/>
                <w:lang w:val="en-GB"/>
              </w:rPr>
            </w:pPr>
          </w:p>
        </w:tc>
        <w:tc>
          <w:tcPr>
            <w:tcW w:w="1134" w:type="dxa"/>
          </w:tcPr>
          <w:p w14:paraId="3647ECF8"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Mild (2)</w:t>
            </w:r>
          </w:p>
        </w:tc>
        <w:tc>
          <w:tcPr>
            <w:tcW w:w="2409" w:type="dxa"/>
          </w:tcPr>
          <w:p w14:paraId="005AC58E"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3 (7.5)</w:t>
            </w:r>
          </w:p>
        </w:tc>
      </w:tr>
      <w:tr w:rsidR="0055385D" w:rsidRPr="0055385D" w14:paraId="648A2E41" w14:textId="77777777" w:rsidTr="00E840EF">
        <w:tc>
          <w:tcPr>
            <w:tcW w:w="2127" w:type="dxa"/>
          </w:tcPr>
          <w:p w14:paraId="49BAB854" w14:textId="77777777" w:rsidR="0055385D" w:rsidRPr="0055385D" w:rsidRDefault="0055385D" w:rsidP="0055385D">
            <w:pPr>
              <w:spacing w:line="259" w:lineRule="auto"/>
              <w:jc w:val="both"/>
              <w:rPr>
                <w:rFonts w:ascii="Garamond" w:hAnsi="Garamond"/>
                <w:iCs/>
                <w:sz w:val="20"/>
                <w:szCs w:val="20"/>
                <w:lang w:val="en-GB"/>
              </w:rPr>
            </w:pPr>
          </w:p>
        </w:tc>
        <w:tc>
          <w:tcPr>
            <w:tcW w:w="1134" w:type="dxa"/>
          </w:tcPr>
          <w:p w14:paraId="1B3E40DD"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Moderate (3)</w:t>
            </w:r>
          </w:p>
        </w:tc>
        <w:tc>
          <w:tcPr>
            <w:tcW w:w="2409" w:type="dxa"/>
          </w:tcPr>
          <w:p w14:paraId="3E4B29AA"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1 (2.5)</w:t>
            </w:r>
          </w:p>
        </w:tc>
      </w:tr>
      <w:tr w:rsidR="0055385D" w:rsidRPr="0055385D" w14:paraId="76DDF9AF" w14:textId="77777777" w:rsidTr="00E840EF">
        <w:tc>
          <w:tcPr>
            <w:tcW w:w="2127" w:type="dxa"/>
          </w:tcPr>
          <w:p w14:paraId="241D691A"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Vision (1–3)</w:t>
            </w:r>
          </w:p>
        </w:tc>
        <w:tc>
          <w:tcPr>
            <w:tcW w:w="1134" w:type="dxa"/>
          </w:tcPr>
          <w:p w14:paraId="1755DD18"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Normal (1)</w:t>
            </w:r>
          </w:p>
        </w:tc>
        <w:tc>
          <w:tcPr>
            <w:tcW w:w="2409" w:type="dxa"/>
          </w:tcPr>
          <w:p w14:paraId="540FA29B"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34 (85)</w:t>
            </w:r>
          </w:p>
        </w:tc>
      </w:tr>
      <w:tr w:rsidR="0055385D" w:rsidRPr="0055385D" w14:paraId="5AD6948C" w14:textId="77777777" w:rsidTr="00E840EF">
        <w:tc>
          <w:tcPr>
            <w:tcW w:w="2127" w:type="dxa"/>
          </w:tcPr>
          <w:p w14:paraId="3CC0A590" w14:textId="77777777" w:rsidR="0055385D" w:rsidRPr="0055385D" w:rsidRDefault="0055385D" w:rsidP="0055385D">
            <w:pPr>
              <w:spacing w:line="259" w:lineRule="auto"/>
              <w:jc w:val="both"/>
              <w:rPr>
                <w:rFonts w:ascii="Garamond" w:hAnsi="Garamond"/>
                <w:iCs/>
                <w:sz w:val="20"/>
                <w:szCs w:val="20"/>
                <w:lang w:val="en-GB"/>
              </w:rPr>
            </w:pPr>
          </w:p>
        </w:tc>
        <w:tc>
          <w:tcPr>
            <w:tcW w:w="1134" w:type="dxa"/>
          </w:tcPr>
          <w:p w14:paraId="459C49DF"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Glasses (2)</w:t>
            </w:r>
          </w:p>
        </w:tc>
        <w:tc>
          <w:tcPr>
            <w:tcW w:w="2409" w:type="dxa"/>
          </w:tcPr>
          <w:p w14:paraId="17CAD192"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5 (12.5)</w:t>
            </w:r>
          </w:p>
        </w:tc>
      </w:tr>
      <w:tr w:rsidR="0055385D" w:rsidRPr="0055385D" w14:paraId="7DA8B70E" w14:textId="77777777" w:rsidTr="00E840EF">
        <w:tc>
          <w:tcPr>
            <w:tcW w:w="2127" w:type="dxa"/>
          </w:tcPr>
          <w:p w14:paraId="750D95C6" w14:textId="77777777" w:rsidR="0055385D" w:rsidRPr="0055385D" w:rsidRDefault="0055385D" w:rsidP="0055385D">
            <w:pPr>
              <w:spacing w:line="259" w:lineRule="auto"/>
              <w:jc w:val="both"/>
              <w:rPr>
                <w:rFonts w:ascii="Garamond" w:hAnsi="Garamond"/>
                <w:iCs/>
                <w:sz w:val="20"/>
                <w:szCs w:val="20"/>
                <w:lang w:val="en-GB"/>
              </w:rPr>
            </w:pPr>
          </w:p>
        </w:tc>
        <w:tc>
          <w:tcPr>
            <w:tcW w:w="1134" w:type="dxa"/>
          </w:tcPr>
          <w:p w14:paraId="2537C1BF"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Contact Lens (3)</w:t>
            </w:r>
          </w:p>
        </w:tc>
        <w:tc>
          <w:tcPr>
            <w:tcW w:w="2409" w:type="dxa"/>
          </w:tcPr>
          <w:p w14:paraId="671076C1"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1 (2.5)</w:t>
            </w:r>
          </w:p>
        </w:tc>
      </w:tr>
    </w:tbl>
    <w:p w14:paraId="4C839855" w14:textId="77777777" w:rsidR="0055385D" w:rsidRPr="00E840EF" w:rsidRDefault="0055385D" w:rsidP="0055385D">
      <w:pPr>
        <w:spacing w:line="259" w:lineRule="auto"/>
        <w:jc w:val="both"/>
        <w:rPr>
          <w:rFonts w:ascii="Garamond" w:hAnsi="Garamond"/>
          <w:iCs/>
          <w:sz w:val="16"/>
          <w:szCs w:val="16"/>
          <w:lang w:val="en-GB"/>
        </w:rPr>
      </w:pPr>
      <w:r w:rsidRPr="00E840EF">
        <w:rPr>
          <w:rFonts w:ascii="Garamond" w:hAnsi="Garamond"/>
          <w:i/>
          <w:iCs/>
          <w:sz w:val="16"/>
          <w:szCs w:val="16"/>
          <w:lang w:val="en-GB"/>
        </w:rPr>
        <w:t>Note.</w:t>
      </w:r>
      <w:r w:rsidRPr="00E840EF">
        <w:rPr>
          <w:rFonts w:ascii="Garamond" w:hAnsi="Garamond"/>
          <w:iCs/>
          <w:sz w:val="16"/>
          <w:szCs w:val="16"/>
          <w:lang w:val="en-GB"/>
        </w:rPr>
        <w:t xml:space="preserve"> Groups (not shown) were balanced for condition order. Scales: Noise sensitivity and stress rated 1 (low) to 7 (high); hearing and vision rated 1 (none/normal) to 3 (moderate).</w:t>
      </w:r>
    </w:p>
    <w:p w14:paraId="47F208A7" w14:textId="3BD9538E" w:rsidR="0055385D" w:rsidRPr="00A754B1"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 xml:space="preserve">In Table 2, the mean LCT overall accuracy was highest in the intermittent noise condition (75.75 (20.87), followed by steady-state noise 71.75 (23.66), and lowest in quiet 71.25 (23.80). Recall scores showed similar patterns, with the highest mean under intermittent noise: 5.78 (1.25). </w:t>
      </w:r>
      <w:proofErr w:type="spellStart"/>
      <w:r w:rsidRPr="0055385D">
        <w:rPr>
          <w:rFonts w:ascii="Garamond" w:hAnsi="Garamond"/>
          <w:iCs/>
          <w:sz w:val="20"/>
          <w:szCs w:val="20"/>
          <w:lang w:val="en-GB"/>
        </w:rPr>
        <w:t>LAeq</w:t>
      </w:r>
      <w:proofErr w:type="spellEnd"/>
      <w:r w:rsidRPr="0055385D">
        <w:rPr>
          <w:rFonts w:ascii="Garamond" w:hAnsi="Garamond"/>
          <w:iCs/>
          <w:sz w:val="20"/>
          <w:szCs w:val="20"/>
          <w:lang w:val="en-GB"/>
        </w:rPr>
        <w:t xml:space="preserve"> levels confirmed condition fidelity (quiet ≈35 dB(A), noise conditions ≈70-71 dB(A)).</w:t>
      </w:r>
    </w:p>
    <w:p w14:paraId="71F645E2" w14:textId="6B9ED8DA" w:rsidR="0055385D" w:rsidRPr="0055385D" w:rsidRDefault="0055385D" w:rsidP="00B01D7E">
      <w:pPr>
        <w:jc w:val="both"/>
        <w:rPr>
          <w:rFonts w:ascii="Garamond" w:hAnsi="Garamond"/>
          <w:i/>
          <w:iCs/>
          <w:sz w:val="20"/>
          <w:szCs w:val="20"/>
          <w:lang w:val="en-GB"/>
        </w:rPr>
      </w:pPr>
      <w:r w:rsidRPr="0055385D">
        <w:rPr>
          <w:rFonts w:ascii="Garamond" w:hAnsi="Garamond"/>
          <w:b/>
          <w:bCs/>
          <w:iCs/>
          <w:sz w:val="20"/>
          <w:szCs w:val="20"/>
          <w:lang w:val="en-GB"/>
        </w:rPr>
        <w:t>Table 2</w:t>
      </w:r>
      <w:r>
        <w:rPr>
          <w:rFonts w:ascii="Garamond" w:hAnsi="Garamond"/>
          <w:b/>
          <w:bCs/>
          <w:iCs/>
          <w:sz w:val="20"/>
          <w:szCs w:val="20"/>
          <w:lang w:val="en-GB"/>
        </w:rPr>
        <w:t xml:space="preserve">: </w:t>
      </w:r>
      <w:r w:rsidRPr="00B01D7E">
        <w:rPr>
          <w:rFonts w:ascii="Garamond" w:hAnsi="Garamond"/>
          <w:sz w:val="20"/>
          <w:szCs w:val="20"/>
          <w:lang w:val="en-GB"/>
        </w:rPr>
        <w:t>Descriptive Statistics for Cognitive Performance and Session Covariates by Noise Condition (N = 40 per condition)</w:t>
      </w:r>
    </w:p>
    <w:tbl>
      <w:tblPr>
        <w:tblStyle w:val="TableGrid"/>
        <w:tblW w:w="5387" w:type="dxa"/>
        <w:tblInd w:w="-142"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58"/>
        <w:gridCol w:w="1515"/>
        <w:gridCol w:w="1256"/>
        <w:gridCol w:w="679"/>
        <w:gridCol w:w="779"/>
      </w:tblGrid>
      <w:tr w:rsidR="0055385D" w:rsidRPr="0055385D" w14:paraId="67658498" w14:textId="77777777" w:rsidTr="00A754B1">
        <w:tc>
          <w:tcPr>
            <w:tcW w:w="1158" w:type="dxa"/>
            <w:tcBorders>
              <w:bottom w:val="single" w:sz="4" w:space="0" w:color="auto"/>
            </w:tcBorders>
          </w:tcPr>
          <w:p w14:paraId="0FE3E33E"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Condition</w:t>
            </w:r>
          </w:p>
        </w:tc>
        <w:tc>
          <w:tcPr>
            <w:tcW w:w="1536" w:type="dxa"/>
            <w:tcBorders>
              <w:bottom w:val="single" w:sz="4" w:space="0" w:color="auto"/>
            </w:tcBorders>
          </w:tcPr>
          <w:p w14:paraId="349189FB"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 xml:space="preserve">LCT Accuracy </w:t>
            </w:r>
          </w:p>
          <w:p w14:paraId="4E672E76"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M (SD)</w:t>
            </w:r>
          </w:p>
        </w:tc>
        <w:tc>
          <w:tcPr>
            <w:tcW w:w="1276" w:type="dxa"/>
            <w:tcBorders>
              <w:bottom w:val="single" w:sz="4" w:space="0" w:color="auto"/>
            </w:tcBorders>
          </w:tcPr>
          <w:p w14:paraId="676E3B42"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 xml:space="preserve">Recall Score </w:t>
            </w:r>
          </w:p>
          <w:p w14:paraId="0AE43D61"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M (SD)</w:t>
            </w:r>
          </w:p>
        </w:tc>
        <w:tc>
          <w:tcPr>
            <w:tcW w:w="679" w:type="dxa"/>
            <w:tcBorders>
              <w:bottom w:val="single" w:sz="4" w:space="0" w:color="auto"/>
            </w:tcBorders>
          </w:tcPr>
          <w:p w14:paraId="71136304" w14:textId="77777777" w:rsidR="0055385D" w:rsidRPr="0055385D" w:rsidRDefault="0055385D" w:rsidP="0055385D">
            <w:pPr>
              <w:spacing w:line="259" w:lineRule="auto"/>
              <w:jc w:val="both"/>
              <w:rPr>
                <w:rFonts w:ascii="Garamond" w:hAnsi="Garamond"/>
                <w:b/>
                <w:bCs/>
                <w:iCs/>
                <w:sz w:val="20"/>
                <w:szCs w:val="20"/>
                <w:lang w:val="en-GB"/>
              </w:rPr>
            </w:pPr>
            <w:proofErr w:type="spellStart"/>
            <w:r w:rsidRPr="0055385D">
              <w:rPr>
                <w:rFonts w:ascii="Garamond" w:hAnsi="Garamond"/>
                <w:b/>
                <w:bCs/>
                <w:iCs/>
                <w:sz w:val="20"/>
                <w:szCs w:val="20"/>
                <w:lang w:val="en-GB"/>
              </w:rPr>
              <w:t>LAeq</w:t>
            </w:r>
            <w:proofErr w:type="spellEnd"/>
            <w:r w:rsidRPr="0055385D">
              <w:rPr>
                <w:rFonts w:ascii="Garamond" w:hAnsi="Garamond"/>
                <w:b/>
                <w:bCs/>
                <w:iCs/>
                <w:sz w:val="20"/>
                <w:szCs w:val="20"/>
                <w:lang w:val="en-GB"/>
              </w:rPr>
              <w:t xml:space="preserve"> </w:t>
            </w:r>
          </w:p>
          <w:p w14:paraId="0FCA73D0"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M</w:t>
            </w:r>
          </w:p>
        </w:tc>
        <w:tc>
          <w:tcPr>
            <w:tcW w:w="738" w:type="dxa"/>
            <w:tcBorders>
              <w:bottom w:val="single" w:sz="4" w:space="0" w:color="auto"/>
            </w:tcBorders>
          </w:tcPr>
          <w:p w14:paraId="64C9A0A4" w14:textId="2CB314E6"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Temp</w:t>
            </w:r>
            <w:r w:rsidR="00A754B1">
              <w:rPr>
                <w:rFonts w:ascii="Garamond" w:hAnsi="Garamond"/>
                <w:b/>
                <w:bCs/>
                <w:iCs/>
                <w:sz w:val="20"/>
                <w:szCs w:val="20"/>
                <w:lang w:val="en-GB"/>
              </w:rPr>
              <w:t>.</w:t>
            </w:r>
          </w:p>
          <w:p w14:paraId="2624A89E"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M</w:t>
            </w:r>
          </w:p>
        </w:tc>
      </w:tr>
      <w:tr w:rsidR="0055385D" w:rsidRPr="0055385D" w14:paraId="0A4DFF46" w14:textId="77777777" w:rsidTr="00A754B1">
        <w:tc>
          <w:tcPr>
            <w:tcW w:w="1158" w:type="dxa"/>
            <w:tcBorders>
              <w:top w:val="single" w:sz="4" w:space="0" w:color="auto"/>
              <w:bottom w:val="nil"/>
            </w:tcBorders>
          </w:tcPr>
          <w:p w14:paraId="3C9CBB32"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Quiet</w:t>
            </w:r>
          </w:p>
        </w:tc>
        <w:tc>
          <w:tcPr>
            <w:tcW w:w="1536" w:type="dxa"/>
            <w:tcBorders>
              <w:top w:val="single" w:sz="4" w:space="0" w:color="auto"/>
              <w:bottom w:val="nil"/>
            </w:tcBorders>
          </w:tcPr>
          <w:p w14:paraId="63C6504B"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71.25 (23.80)</w:t>
            </w:r>
          </w:p>
        </w:tc>
        <w:tc>
          <w:tcPr>
            <w:tcW w:w="1276" w:type="dxa"/>
            <w:tcBorders>
              <w:top w:val="single" w:sz="4" w:space="0" w:color="auto"/>
              <w:bottom w:val="nil"/>
            </w:tcBorders>
          </w:tcPr>
          <w:p w14:paraId="4A033300"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5.58 (1.15)</w:t>
            </w:r>
          </w:p>
        </w:tc>
        <w:tc>
          <w:tcPr>
            <w:tcW w:w="679" w:type="dxa"/>
            <w:tcBorders>
              <w:top w:val="single" w:sz="4" w:space="0" w:color="auto"/>
              <w:bottom w:val="nil"/>
            </w:tcBorders>
          </w:tcPr>
          <w:p w14:paraId="77C85419"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34.95</w:t>
            </w:r>
          </w:p>
        </w:tc>
        <w:tc>
          <w:tcPr>
            <w:tcW w:w="738" w:type="dxa"/>
            <w:tcBorders>
              <w:top w:val="single" w:sz="4" w:space="0" w:color="auto"/>
              <w:bottom w:val="nil"/>
            </w:tcBorders>
          </w:tcPr>
          <w:p w14:paraId="5B4F3FC3"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23.23</w:t>
            </w:r>
          </w:p>
        </w:tc>
      </w:tr>
      <w:tr w:rsidR="0055385D" w:rsidRPr="0055385D" w14:paraId="5E1FCA36" w14:textId="77777777" w:rsidTr="00A754B1">
        <w:tc>
          <w:tcPr>
            <w:tcW w:w="1158" w:type="dxa"/>
            <w:tcBorders>
              <w:top w:val="nil"/>
            </w:tcBorders>
          </w:tcPr>
          <w:p w14:paraId="6D46D554" w14:textId="77777777" w:rsidR="0055385D" w:rsidRPr="0055385D" w:rsidRDefault="0055385D" w:rsidP="0055385D">
            <w:pPr>
              <w:spacing w:line="259" w:lineRule="auto"/>
              <w:jc w:val="both"/>
              <w:rPr>
                <w:rFonts w:ascii="Garamond" w:hAnsi="Garamond"/>
                <w:iCs/>
                <w:sz w:val="20"/>
                <w:szCs w:val="20"/>
                <w:lang w:val="en-GB"/>
              </w:rPr>
            </w:pPr>
            <w:bookmarkStart w:id="8" w:name="_Int_vFi3nGNG"/>
            <w:r w:rsidRPr="0055385D">
              <w:rPr>
                <w:rFonts w:ascii="Garamond" w:hAnsi="Garamond"/>
                <w:iCs/>
                <w:sz w:val="20"/>
                <w:szCs w:val="20"/>
                <w:lang w:val="en-GB"/>
              </w:rPr>
              <w:t>Steady-state</w:t>
            </w:r>
            <w:bookmarkEnd w:id="8"/>
          </w:p>
        </w:tc>
        <w:tc>
          <w:tcPr>
            <w:tcW w:w="1536" w:type="dxa"/>
            <w:tcBorders>
              <w:top w:val="nil"/>
            </w:tcBorders>
          </w:tcPr>
          <w:p w14:paraId="5172DA7F"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71.75 (23.66)</w:t>
            </w:r>
          </w:p>
        </w:tc>
        <w:tc>
          <w:tcPr>
            <w:tcW w:w="1276" w:type="dxa"/>
            <w:tcBorders>
              <w:top w:val="nil"/>
            </w:tcBorders>
          </w:tcPr>
          <w:p w14:paraId="3E351207"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5.53 (1.32)</w:t>
            </w:r>
          </w:p>
        </w:tc>
        <w:tc>
          <w:tcPr>
            <w:tcW w:w="679" w:type="dxa"/>
            <w:tcBorders>
              <w:top w:val="nil"/>
            </w:tcBorders>
          </w:tcPr>
          <w:p w14:paraId="150172DC"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70.65</w:t>
            </w:r>
          </w:p>
        </w:tc>
        <w:tc>
          <w:tcPr>
            <w:tcW w:w="738" w:type="dxa"/>
            <w:tcBorders>
              <w:top w:val="nil"/>
            </w:tcBorders>
          </w:tcPr>
          <w:p w14:paraId="73A00D01"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24.30</w:t>
            </w:r>
          </w:p>
        </w:tc>
      </w:tr>
      <w:tr w:rsidR="0055385D" w:rsidRPr="0055385D" w14:paraId="7F9D4732" w14:textId="77777777" w:rsidTr="00A754B1">
        <w:tc>
          <w:tcPr>
            <w:tcW w:w="1158" w:type="dxa"/>
          </w:tcPr>
          <w:p w14:paraId="049D545C"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Intermittent</w:t>
            </w:r>
          </w:p>
        </w:tc>
        <w:tc>
          <w:tcPr>
            <w:tcW w:w="1536" w:type="dxa"/>
          </w:tcPr>
          <w:p w14:paraId="22B9FFA0"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75.75 (20.87)</w:t>
            </w:r>
          </w:p>
        </w:tc>
        <w:tc>
          <w:tcPr>
            <w:tcW w:w="1276" w:type="dxa"/>
          </w:tcPr>
          <w:p w14:paraId="54906B6D"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5.78 (1.25)</w:t>
            </w:r>
          </w:p>
        </w:tc>
        <w:tc>
          <w:tcPr>
            <w:tcW w:w="679" w:type="dxa"/>
          </w:tcPr>
          <w:p w14:paraId="43760752"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71.15</w:t>
            </w:r>
          </w:p>
        </w:tc>
        <w:tc>
          <w:tcPr>
            <w:tcW w:w="738" w:type="dxa"/>
          </w:tcPr>
          <w:p w14:paraId="22039CA6"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23.15</w:t>
            </w:r>
          </w:p>
        </w:tc>
      </w:tr>
    </w:tbl>
    <w:p w14:paraId="1C72CEB5" w14:textId="1B6734A5"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
          <w:iCs/>
          <w:sz w:val="20"/>
          <w:szCs w:val="20"/>
          <w:lang w:val="en-GB"/>
        </w:rPr>
        <w:t>Note.</w:t>
      </w:r>
      <w:r w:rsidRPr="0055385D">
        <w:rPr>
          <w:rFonts w:ascii="Garamond" w:hAnsi="Garamond"/>
          <w:iCs/>
          <w:sz w:val="20"/>
          <w:szCs w:val="20"/>
          <w:lang w:val="en-GB"/>
        </w:rPr>
        <w:t xml:space="preserve"> Higher LCT scores indicate better attention (more correct cancellations). Higher recall scores indicate better short-term memory. Values are M (SD).</w:t>
      </w:r>
    </w:p>
    <w:p w14:paraId="43D53C28"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 xml:space="preserve">In Table 3, the LMM indicated significant positive effects for both steady-state (b = 142.68, SE = 69.10, p = 0.039) and intermittent noise (b = 148.87, SE = 70.06, p = 0.034) relative to quiet. However, these estimates appear inflated due to high collinearity with the </w:t>
      </w:r>
      <w:proofErr w:type="spellStart"/>
      <w:r w:rsidRPr="0055385D">
        <w:rPr>
          <w:rFonts w:ascii="Garamond" w:hAnsi="Garamond"/>
          <w:iCs/>
          <w:sz w:val="20"/>
          <w:szCs w:val="20"/>
          <w:lang w:val="en-GB"/>
        </w:rPr>
        <w:t>LAeq</w:t>
      </w:r>
      <w:proofErr w:type="spellEnd"/>
      <w:r w:rsidRPr="0055385D">
        <w:rPr>
          <w:rFonts w:ascii="Garamond" w:hAnsi="Garamond"/>
          <w:iCs/>
          <w:sz w:val="20"/>
          <w:szCs w:val="20"/>
          <w:lang w:val="en-GB"/>
        </w:rPr>
        <w:t xml:space="preserve"> covariate (which showed a negative coefficient, b = -3.99, p = 0.039). Noise sensitivity positively predicted performance (b = 6.56, p = 0.010), while stress negatively predicted it (b = -9.46, p = 0.003).</w:t>
      </w:r>
    </w:p>
    <w:p w14:paraId="2FD88C67" w14:textId="7DB4387F" w:rsidR="0055385D" w:rsidRPr="00B01D7E" w:rsidRDefault="0055385D" w:rsidP="0055385D">
      <w:pPr>
        <w:spacing w:line="259" w:lineRule="auto"/>
        <w:jc w:val="both"/>
        <w:rPr>
          <w:rFonts w:ascii="Garamond" w:hAnsi="Garamond"/>
          <w:sz w:val="20"/>
          <w:szCs w:val="20"/>
          <w:lang w:val="en-GB"/>
        </w:rPr>
      </w:pPr>
      <w:r w:rsidRPr="0055385D">
        <w:rPr>
          <w:rFonts w:ascii="Garamond" w:hAnsi="Garamond"/>
          <w:b/>
          <w:bCs/>
          <w:iCs/>
          <w:sz w:val="20"/>
          <w:szCs w:val="20"/>
          <w:lang w:val="en-GB"/>
        </w:rPr>
        <w:t>Table 3</w:t>
      </w:r>
      <w:r>
        <w:rPr>
          <w:rFonts w:ascii="Garamond" w:hAnsi="Garamond"/>
          <w:iCs/>
          <w:sz w:val="20"/>
          <w:szCs w:val="20"/>
          <w:lang w:val="en-GB"/>
        </w:rPr>
        <w:t xml:space="preserve">: </w:t>
      </w:r>
      <w:r w:rsidRPr="00B01D7E">
        <w:rPr>
          <w:rFonts w:ascii="Garamond" w:hAnsi="Garamond"/>
          <w:sz w:val="20"/>
          <w:szCs w:val="20"/>
          <w:lang w:val="en-GB"/>
        </w:rPr>
        <w:t>Linear Mixed-Effects Model Results for Attention (LCT Hits)</w:t>
      </w:r>
    </w:p>
    <w:tbl>
      <w:tblPr>
        <w:tblStyle w:val="TableGrid"/>
        <w:tblW w:w="4929" w:type="dxa"/>
        <w:tblInd w:w="-284"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9"/>
        <w:gridCol w:w="729"/>
        <w:gridCol w:w="635"/>
        <w:gridCol w:w="629"/>
        <w:gridCol w:w="877"/>
      </w:tblGrid>
      <w:tr w:rsidR="0055385D" w:rsidRPr="0055385D" w14:paraId="0FA59D47" w14:textId="77777777" w:rsidTr="0055385D">
        <w:tc>
          <w:tcPr>
            <w:tcW w:w="2127" w:type="dxa"/>
            <w:tcBorders>
              <w:top w:val="single" w:sz="4" w:space="0" w:color="auto"/>
              <w:bottom w:val="single" w:sz="4" w:space="0" w:color="auto"/>
            </w:tcBorders>
          </w:tcPr>
          <w:p w14:paraId="218F111A"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Predictor</w:t>
            </w:r>
          </w:p>
        </w:tc>
        <w:tc>
          <w:tcPr>
            <w:tcW w:w="729" w:type="dxa"/>
            <w:tcBorders>
              <w:top w:val="single" w:sz="4" w:space="0" w:color="auto"/>
              <w:bottom w:val="single" w:sz="4" w:space="0" w:color="auto"/>
            </w:tcBorders>
          </w:tcPr>
          <w:p w14:paraId="088FE971"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B</w:t>
            </w:r>
          </w:p>
        </w:tc>
        <w:tc>
          <w:tcPr>
            <w:tcW w:w="547" w:type="dxa"/>
            <w:tcBorders>
              <w:top w:val="single" w:sz="4" w:space="0" w:color="auto"/>
              <w:bottom w:val="single" w:sz="4" w:space="0" w:color="auto"/>
            </w:tcBorders>
          </w:tcPr>
          <w:p w14:paraId="13FB431C"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SE</w:t>
            </w:r>
          </w:p>
        </w:tc>
        <w:tc>
          <w:tcPr>
            <w:tcW w:w="636" w:type="dxa"/>
            <w:tcBorders>
              <w:top w:val="single" w:sz="4" w:space="0" w:color="auto"/>
              <w:bottom w:val="single" w:sz="4" w:space="0" w:color="auto"/>
            </w:tcBorders>
          </w:tcPr>
          <w:p w14:paraId="294A3F59"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Z</w:t>
            </w:r>
          </w:p>
        </w:tc>
        <w:tc>
          <w:tcPr>
            <w:tcW w:w="890" w:type="dxa"/>
            <w:tcBorders>
              <w:top w:val="single" w:sz="4" w:space="0" w:color="auto"/>
              <w:bottom w:val="single" w:sz="4" w:space="0" w:color="auto"/>
            </w:tcBorders>
          </w:tcPr>
          <w:p w14:paraId="206CF953"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p-value</w:t>
            </w:r>
          </w:p>
        </w:tc>
      </w:tr>
      <w:tr w:rsidR="0055385D" w:rsidRPr="0055385D" w14:paraId="25AD498C" w14:textId="77777777" w:rsidTr="0055385D">
        <w:tc>
          <w:tcPr>
            <w:tcW w:w="2127" w:type="dxa"/>
            <w:tcBorders>
              <w:top w:val="single" w:sz="4" w:space="0" w:color="auto"/>
            </w:tcBorders>
          </w:tcPr>
          <w:p w14:paraId="5F8F6224"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Intercept</w:t>
            </w:r>
          </w:p>
        </w:tc>
        <w:tc>
          <w:tcPr>
            <w:tcW w:w="729" w:type="dxa"/>
            <w:tcBorders>
              <w:top w:val="single" w:sz="4" w:space="0" w:color="auto"/>
            </w:tcBorders>
          </w:tcPr>
          <w:p w14:paraId="1AB4E582"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202.59</w:t>
            </w:r>
          </w:p>
        </w:tc>
        <w:tc>
          <w:tcPr>
            <w:tcW w:w="547" w:type="dxa"/>
            <w:tcBorders>
              <w:top w:val="single" w:sz="4" w:space="0" w:color="auto"/>
            </w:tcBorders>
          </w:tcPr>
          <w:p w14:paraId="28D56B51"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74.09</w:t>
            </w:r>
          </w:p>
        </w:tc>
        <w:tc>
          <w:tcPr>
            <w:tcW w:w="636" w:type="dxa"/>
            <w:tcBorders>
              <w:top w:val="single" w:sz="4" w:space="0" w:color="auto"/>
            </w:tcBorders>
          </w:tcPr>
          <w:p w14:paraId="1E82DA05"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2.73</w:t>
            </w:r>
          </w:p>
        </w:tc>
        <w:tc>
          <w:tcPr>
            <w:tcW w:w="890" w:type="dxa"/>
            <w:tcBorders>
              <w:top w:val="single" w:sz="4" w:space="0" w:color="auto"/>
            </w:tcBorders>
          </w:tcPr>
          <w:p w14:paraId="1CF2B242"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0.006*</w:t>
            </w:r>
          </w:p>
        </w:tc>
      </w:tr>
      <w:tr w:rsidR="0055385D" w:rsidRPr="0055385D" w14:paraId="7CF1BD40" w14:textId="77777777" w:rsidTr="0055385D">
        <w:tc>
          <w:tcPr>
            <w:tcW w:w="2127" w:type="dxa"/>
          </w:tcPr>
          <w:p w14:paraId="03EB42D9"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Condition (Steady vs. Quiet)</w:t>
            </w:r>
          </w:p>
        </w:tc>
        <w:tc>
          <w:tcPr>
            <w:tcW w:w="729" w:type="dxa"/>
          </w:tcPr>
          <w:p w14:paraId="73704124"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142.68</w:t>
            </w:r>
          </w:p>
        </w:tc>
        <w:tc>
          <w:tcPr>
            <w:tcW w:w="547" w:type="dxa"/>
          </w:tcPr>
          <w:p w14:paraId="347FF8C4"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69.10</w:t>
            </w:r>
          </w:p>
        </w:tc>
        <w:tc>
          <w:tcPr>
            <w:tcW w:w="636" w:type="dxa"/>
          </w:tcPr>
          <w:p w14:paraId="2C774641"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2.07</w:t>
            </w:r>
          </w:p>
        </w:tc>
        <w:tc>
          <w:tcPr>
            <w:tcW w:w="890" w:type="dxa"/>
          </w:tcPr>
          <w:p w14:paraId="76CEF74A"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0.039*</w:t>
            </w:r>
          </w:p>
        </w:tc>
      </w:tr>
      <w:tr w:rsidR="0055385D" w:rsidRPr="0055385D" w14:paraId="2E0EDBBB" w14:textId="77777777" w:rsidTr="0055385D">
        <w:tc>
          <w:tcPr>
            <w:tcW w:w="2127" w:type="dxa"/>
          </w:tcPr>
          <w:p w14:paraId="60F64BB1"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Condition (Intermittent vs. Quiet)</w:t>
            </w:r>
          </w:p>
        </w:tc>
        <w:tc>
          <w:tcPr>
            <w:tcW w:w="729" w:type="dxa"/>
          </w:tcPr>
          <w:p w14:paraId="63C2A07D"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148.87</w:t>
            </w:r>
          </w:p>
        </w:tc>
        <w:tc>
          <w:tcPr>
            <w:tcW w:w="547" w:type="dxa"/>
          </w:tcPr>
          <w:p w14:paraId="3C93B76C"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70.06</w:t>
            </w:r>
          </w:p>
        </w:tc>
        <w:tc>
          <w:tcPr>
            <w:tcW w:w="636" w:type="dxa"/>
          </w:tcPr>
          <w:p w14:paraId="09F0862D"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2.13</w:t>
            </w:r>
          </w:p>
        </w:tc>
        <w:tc>
          <w:tcPr>
            <w:tcW w:w="890" w:type="dxa"/>
          </w:tcPr>
          <w:p w14:paraId="6B581AF3"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0.034*</w:t>
            </w:r>
          </w:p>
        </w:tc>
      </w:tr>
      <w:tr w:rsidR="0055385D" w:rsidRPr="0055385D" w14:paraId="47E8419E" w14:textId="77777777" w:rsidTr="0055385D">
        <w:tc>
          <w:tcPr>
            <w:tcW w:w="2127" w:type="dxa"/>
          </w:tcPr>
          <w:p w14:paraId="0B106DBA" w14:textId="77777777" w:rsidR="0055385D" w:rsidRPr="0055385D" w:rsidRDefault="0055385D" w:rsidP="0055385D">
            <w:pPr>
              <w:spacing w:line="259" w:lineRule="auto"/>
              <w:jc w:val="both"/>
              <w:rPr>
                <w:rFonts w:ascii="Garamond" w:hAnsi="Garamond"/>
                <w:iCs/>
                <w:sz w:val="20"/>
                <w:szCs w:val="20"/>
                <w:lang w:val="en-GB"/>
              </w:rPr>
            </w:pPr>
            <w:proofErr w:type="spellStart"/>
            <w:r w:rsidRPr="0055385D">
              <w:rPr>
                <w:rFonts w:ascii="Garamond" w:hAnsi="Garamond"/>
                <w:iCs/>
                <w:sz w:val="20"/>
                <w:szCs w:val="20"/>
                <w:lang w:val="en-GB"/>
              </w:rPr>
              <w:lastRenderedPageBreak/>
              <w:t>LAeq</w:t>
            </w:r>
            <w:proofErr w:type="spellEnd"/>
          </w:p>
        </w:tc>
        <w:tc>
          <w:tcPr>
            <w:tcW w:w="729" w:type="dxa"/>
          </w:tcPr>
          <w:p w14:paraId="104E356A"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-3.99</w:t>
            </w:r>
          </w:p>
        </w:tc>
        <w:tc>
          <w:tcPr>
            <w:tcW w:w="547" w:type="dxa"/>
          </w:tcPr>
          <w:p w14:paraId="2363E9DE"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1.93</w:t>
            </w:r>
          </w:p>
        </w:tc>
        <w:tc>
          <w:tcPr>
            <w:tcW w:w="636" w:type="dxa"/>
          </w:tcPr>
          <w:p w14:paraId="4B0FB2A1"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-2.06</w:t>
            </w:r>
          </w:p>
        </w:tc>
        <w:tc>
          <w:tcPr>
            <w:tcW w:w="890" w:type="dxa"/>
          </w:tcPr>
          <w:p w14:paraId="3444A12E"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0.039*</w:t>
            </w:r>
          </w:p>
        </w:tc>
      </w:tr>
      <w:tr w:rsidR="0055385D" w:rsidRPr="0055385D" w14:paraId="1FB53587" w14:textId="77777777" w:rsidTr="0055385D">
        <w:tc>
          <w:tcPr>
            <w:tcW w:w="2127" w:type="dxa"/>
          </w:tcPr>
          <w:p w14:paraId="342A376C"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Noise Sensitivity</w:t>
            </w:r>
          </w:p>
        </w:tc>
        <w:tc>
          <w:tcPr>
            <w:tcW w:w="729" w:type="dxa"/>
          </w:tcPr>
          <w:p w14:paraId="529CE8B9"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6.56</w:t>
            </w:r>
          </w:p>
        </w:tc>
        <w:tc>
          <w:tcPr>
            <w:tcW w:w="547" w:type="dxa"/>
          </w:tcPr>
          <w:p w14:paraId="6898EDC7"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2.55</w:t>
            </w:r>
          </w:p>
        </w:tc>
        <w:tc>
          <w:tcPr>
            <w:tcW w:w="636" w:type="dxa"/>
          </w:tcPr>
          <w:p w14:paraId="4DE6CCB3"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2.57</w:t>
            </w:r>
          </w:p>
        </w:tc>
        <w:tc>
          <w:tcPr>
            <w:tcW w:w="890" w:type="dxa"/>
          </w:tcPr>
          <w:p w14:paraId="2A47CDF7"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0.010*</w:t>
            </w:r>
          </w:p>
        </w:tc>
      </w:tr>
      <w:tr w:rsidR="0055385D" w:rsidRPr="0055385D" w14:paraId="65FA1863" w14:textId="77777777" w:rsidTr="0055385D">
        <w:tc>
          <w:tcPr>
            <w:tcW w:w="2127" w:type="dxa"/>
          </w:tcPr>
          <w:p w14:paraId="05D349BF"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Stress</w:t>
            </w:r>
          </w:p>
        </w:tc>
        <w:tc>
          <w:tcPr>
            <w:tcW w:w="729" w:type="dxa"/>
          </w:tcPr>
          <w:p w14:paraId="15C0E5BA"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-9.46</w:t>
            </w:r>
          </w:p>
        </w:tc>
        <w:tc>
          <w:tcPr>
            <w:tcW w:w="547" w:type="dxa"/>
          </w:tcPr>
          <w:p w14:paraId="2439D309"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3.14</w:t>
            </w:r>
          </w:p>
        </w:tc>
        <w:tc>
          <w:tcPr>
            <w:tcW w:w="636" w:type="dxa"/>
          </w:tcPr>
          <w:p w14:paraId="5961B82A"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-3.02</w:t>
            </w:r>
          </w:p>
        </w:tc>
        <w:tc>
          <w:tcPr>
            <w:tcW w:w="890" w:type="dxa"/>
          </w:tcPr>
          <w:p w14:paraId="14E3106E"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0.003*</w:t>
            </w:r>
          </w:p>
        </w:tc>
      </w:tr>
    </w:tbl>
    <w:p w14:paraId="0C1AB053" w14:textId="77777777" w:rsidR="00A754B1" w:rsidRPr="00A754B1" w:rsidRDefault="0055385D" w:rsidP="0055385D">
      <w:pPr>
        <w:spacing w:line="259" w:lineRule="auto"/>
        <w:jc w:val="both"/>
        <w:rPr>
          <w:rFonts w:ascii="Garamond" w:hAnsi="Garamond"/>
          <w:i/>
          <w:iCs/>
          <w:sz w:val="16"/>
          <w:szCs w:val="16"/>
        </w:rPr>
      </w:pPr>
      <w:r w:rsidRPr="00A754B1">
        <w:rPr>
          <w:rFonts w:ascii="Garamond" w:hAnsi="Garamond"/>
          <w:i/>
          <w:iCs/>
          <w:sz w:val="16"/>
          <w:szCs w:val="16"/>
          <w:lang w:val="en-GB"/>
        </w:rPr>
        <w:t>Note.</w:t>
      </w:r>
      <w:r w:rsidRPr="00A754B1">
        <w:rPr>
          <w:rFonts w:ascii="Garamond" w:hAnsi="Garamond"/>
          <w:iCs/>
          <w:sz w:val="16"/>
          <w:szCs w:val="16"/>
          <w:lang w:val="en-GB"/>
        </w:rPr>
        <w:t xml:space="preserve"> </w:t>
      </w:r>
      <w:r w:rsidRPr="00A754B1">
        <w:rPr>
          <w:rFonts w:ascii="Garamond" w:hAnsi="Garamond"/>
          <w:i/>
          <w:iCs/>
          <w:sz w:val="16"/>
          <w:szCs w:val="16"/>
        </w:rPr>
        <w:t xml:space="preserve">*Statistically significant p≤ 0.05. </w:t>
      </w:r>
    </w:p>
    <w:p w14:paraId="3CA71F2E" w14:textId="77777777" w:rsidR="00E840EF" w:rsidRDefault="00E840EF" w:rsidP="0055385D">
      <w:pPr>
        <w:spacing w:line="259" w:lineRule="auto"/>
        <w:jc w:val="both"/>
        <w:rPr>
          <w:rFonts w:ascii="Garamond" w:hAnsi="Garamond"/>
          <w:iCs/>
          <w:sz w:val="20"/>
          <w:szCs w:val="20"/>
          <w:lang w:val="en-GB"/>
        </w:rPr>
      </w:pPr>
    </w:p>
    <w:p w14:paraId="4686724B" w14:textId="2A2A87C3"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Only significant predictors are shown for brevity; the full model included all covariates—random intercept variance = 246.56.</w:t>
      </w:r>
    </w:p>
    <w:p w14:paraId="2EDB8967"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In Table 4, for short-term memory (recall), no significant effects of condition emerged (</w:t>
      </w:r>
      <w:bookmarkStart w:id="9" w:name="_Int_0D9q2AFC"/>
      <w:r w:rsidRPr="0055385D">
        <w:rPr>
          <w:rFonts w:ascii="Garamond" w:hAnsi="Garamond"/>
          <w:iCs/>
          <w:sz w:val="20"/>
          <w:szCs w:val="20"/>
          <w:lang w:val="en-GB"/>
        </w:rPr>
        <w:t>steady-state</w:t>
      </w:r>
      <w:bookmarkEnd w:id="9"/>
      <w:r w:rsidRPr="0055385D">
        <w:rPr>
          <w:rFonts w:ascii="Garamond" w:hAnsi="Garamond"/>
          <w:iCs/>
          <w:sz w:val="20"/>
          <w:szCs w:val="20"/>
          <w:lang w:val="en-GB"/>
        </w:rPr>
        <w:t>: p = 0.701; intermittent: p = 0.663). Stress was a significant negative predictor (b = -0.32, p = 0.030).</w:t>
      </w:r>
    </w:p>
    <w:p w14:paraId="5F7A55EE" w14:textId="77777777" w:rsidR="0055385D" w:rsidRDefault="0055385D" w:rsidP="0055385D">
      <w:pPr>
        <w:spacing w:line="259" w:lineRule="auto"/>
        <w:jc w:val="both"/>
        <w:rPr>
          <w:rFonts w:ascii="Garamond" w:hAnsi="Garamond"/>
          <w:b/>
          <w:bCs/>
          <w:iCs/>
          <w:sz w:val="20"/>
          <w:szCs w:val="20"/>
          <w:lang w:val="en-GB"/>
        </w:rPr>
      </w:pPr>
    </w:p>
    <w:p w14:paraId="3C6C0F03" w14:textId="63F23F7C"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b/>
          <w:bCs/>
          <w:iCs/>
          <w:sz w:val="20"/>
          <w:szCs w:val="20"/>
          <w:lang w:val="en-GB"/>
        </w:rPr>
        <w:t>Table 4</w:t>
      </w:r>
      <w:r>
        <w:rPr>
          <w:rFonts w:ascii="Garamond" w:hAnsi="Garamond"/>
          <w:b/>
          <w:bCs/>
          <w:iCs/>
          <w:sz w:val="20"/>
          <w:szCs w:val="20"/>
          <w:lang w:val="en-GB"/>
        </w:rPr>
        <w:t xml:space="preserve">: </w:t>
      </w:r>
      <w:r w:rsidRPr="00A754B1">
        <w:rPr>
          <w:rFonts w:ascii="Garamond" w:hAnsi="Garamond"/>
          <w:sz w:val="20"/>
          <w:szCs w:val="20"/>
          <w:lang w:val="en-GB"/>
        </w:rPr>
        <w:t>Linear Mixed-Effects Model Results for Short-Term Memory (Recall Score)</w:t>
      </w:r>
    </w:p>
    <w:tbl>
      <w:tblPr>
        <w:tblStyle w:val="TableGrid"/>
        <w:tblW w:w="4821" w:type="dxa"/>
        <w:tblInd w:w="-142"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640"/>
        <w:gridCol w:w="541"/>
        <w:gridCol w:w="663"/>
        <w:gridCol w:w="851"/>
      </w:tblGrid>
      <w:tr w:rsidR="0055385D" w:rsidRPr="0055385D" w14:paraId="35EF26D2" w14:textId="77777777" w:rsidTr="0055385D">
        <w:tc>
          <w:tcPr>
            <w:tcW w:w="2126" w:type="dxa"/>
            <w:tcBorders>
              <w:top w:val="single" w:sz="4" w:space="0" w:color="auto"/>
              <w:bottom w:val="single" w:sz="4" w:space="0" w:color="auto"/>
            </w:tcBorders>
          </w:tcPr>
          <w:p w14:paraId="1888B78A"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Predictor</w:t>
            </w:r>
          </w:p>
        </w:tc>
        <w:tc>
          <w:tcPr>
            <w:tcW w:w="640" w:type="dxa"/>
            <w:tcBorders>
              <w:top w:val="single" w:sz="4" w:space="0" w:color="auto"/>
              <w:bottom w:val="single" w:sz="4" w:space="0" w:color="auto"/>
            </w:tcBorders>
          </w:tcPr>
          <w:p w14:paraId="4FF5ED9E"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B</w:t>
            </w:r>
          </w:p>
        </w:tc>
        <w:tc>
          <w:tcPr>
            <w:tcW w:w="541" w:type="dxa"/>
            <w:tcBorders>
              <w:top w:val="single" w:sz="4" w:space="0" w:color="auto"/>
              <w:bottom w:val="single" w:sz="4" w:space="0" w:color="auto"/>
            </w:tcBorders>
          </w:tcPr>
          <w:p w14:paraId="28A9A0FD"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SE</w:t>
            </w:r>
          </w:p>
        </w:tc>
        <w:tc>
          <w:tcPr>
            <w:tcW w:w="663" w:type="dxa"/>
            <w:tcBorders>
              <w:top w:val="single" w:sz="4" w:space="0" w:color="auto"/>
              <w:bottom w:val="single" w:sz="4" w:space="0" w:color="auto"/>
            </w:tcBorders>
          </w:tcPr>
          <w:p w14:paraId="0E91D48B"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Z</w:t>
            </w:r>
          </w:p>
        </w:tc>
        <w:tc>
          <w:tcPr>
            <w:tcW w:w="851" w:type="dxa"/>
            <w:tcBorders>
              <w:top w:val="single" w:sz="4" w:space="0" w:color="auto"/>
              <w:bottom w:val="single" w:sz="4" w:space="0" w:color="auto"/>
            </w:tcBorders>
          </w:tcPr>
          <w:p w14:paraId="0B9388AE"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p-value</w:t>
            </w:r>
          </w:p>
        </w:tc>
      </w:tr>
      <w:tr w:rsidR="0055385D" w:rsidRPr="0055385D" w14:paraId="4C0AC737" w14:textId="77777777" w:rsidTr="0055385D">
        <w:tc>
          <w:tcPr>
            <w:tcW w:w="2126" w:type="dxa"/>
            <w:tcBorders>
              <w:top w:val="single" w:sz="4" w:space="0" w:color="auto"/>
            </w:tcBorders>
          </w:tcPr>
          <w:p w14:paraId="32B11531"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Intercept</w:t>
            </w:r>
          </w:p>
        </w:tc>
        <w:tc>
          <w:tcPr>
            <w:tcW w:w="640" w:type="dxa"/>
            <w:tcBorders>
              <w:top w:val="single" w:sz="4" w:space="0" w:color="auto"/>
            </w:tcBorders>
          </w:tcPr>
          <w:p w14:paraId="4E86B68B"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10.60</w:t>
            </w:r>
          </w:p>
        </w:tc>
        <w:tc>
          <w:tcPr>
            <w:tcW w:w="541" w:type="dxa"/>
            <w:tcBorders>
              <w:top w:val="single" w:sz="4" w:space="0" w:color="auto"/>
            </w:tcBorders>
          </w:tcPr>
          <w:p w14:paraId="2115BFC0"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4.98</w:t>
            </w:r>
          </w:p>
        </w:tc>
        <w:tc>
          <w:tcPr>
            <w:tcW w:w="663" w:type="dxa"/>
            <w:tcBorders>
              <w:top w:val="single" w:sz="4" w:space="0" w:color="auto"/>
            </w:tcBorders>
          </w:tcPr>
          <w:p w14:paraId="5A69E6A4"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2.13</w:t>
            </w:r>
          </w:p>
        </w:tc>
        <w:tc>
          <w:tcPr>
            <w:tcW w:w="851" w:type="dxa"/>
            <w:tcBorders>
              <w:top w:val="single" w:sz="4" w:space="0" w:color="auto"/>
            </w:tcBorders>
          </w:tcPr>
          <w:p w14:paraId="2BC1FCC4"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0.033*</w:t>
            </w:r>
          </w:p>
        </w:tc>
      </w:tr>
      <w:tr w:rsidR="0055385D" w:rsidRPr="0055385D" w14:paraId="6D09FADF" w14:textId="77777777" w:rsidTr="0055385D">
        <w:tc>
          <w:tcPr>
            <w:tcW w:w="2126" w:type="dxa"/>
          </w:tcPr>
          <w:p w14:paraId="548964EB"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Condition (Steady vs. Quiet)</w:t>
            </w:r>
          </w:p>
        </w:tc>
        <w:tc>
          <w:tcPr>
            <w:tcW w:w="640" w:type="dxa"/>
          </w:tcPr>
          <w:p w14:paraId="35F16057"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1.89</w:t>
            </w:r>
          </w:p>
        </w:tc>
        <w:tc>
          <w:tcPr>
            <w:tcW w:w="541" w:type="dxa"/>
          </w:tcPr>
          <w:p w14:paraId="0809C2B3"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4.93</w:t>
            </w:r>
          </w:p>
        </w:tc>
        <w:tc>
          <w:tcPr>
            <w:tcW w:w="663" w:type="dxa"/>
          </w:tcPr>
          <w:p w14:paraId="797EFF60"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0.38</w:t>
            </w:r>
          </w:p>
        </w:tc>
        <w:tc>
          <w:tcPr>
            <w:tcW w:w="851" w:type="dxa"/>
          </w:tcPr>
          <w:p w14:paraId="1818087A"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0.701</w:t>
            </w:r>
          </w:p>
        </w:tc>
      </w:tr>
      <w:tr w:rsidR="0055385D" w:rsidRPr="0055385D" w14:paraId="6617C56C" w14:textId="77777777" w:rsidTr="0055385D">
        <w:tc>
          <w:tcPr>
            <w:tcW w:w="2126" w:type="dxa"/>
          </w:tcPr>
          <w:p w14:paraId="32EA32F3"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Condition (Intermittent vs. Quiet)</w:t>
            </w:r>
          </w:p>
        </w:tc>
        <w:tc>
          <w:tcPr>
            <w:tcW w:w="640" w:type="dxa"/>
          </w:tcPr>
          <w:p w14:paraId="5DB16A85"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2.17</w:t>
            </w:r>
          </w:p>
        </w:tc>
        <w:tc>
          <w:tcPr>
            <w:tcW w:w="541" w:type="dxa"/>
          </w:tcPr>
          <w:p w14:paraId="7A504CC6"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4.99</w:t>
            </w:r>
          </w:p>
        </w:tc>
        <w:tc>
          <w:tcPr>
            <w:tcW w:w="663" w:type="dxa"/>
          </w:tcPr>
          <w:p w14:paraId="759E4DAC"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0.44</w:t>
            </w:r>
          </w:p>
        </w:tc>
        <w:tc>
          <w:tcPr>
            <w:tcW w:w="851" w:type="dxa"/>
          </w:tcPr>
          <w:p w14:paraId="5516C887"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0.663</w:t>
            </w:r>
          </w:p>
        </w:tc>
      </w:tr>
      <w:tr w:rsidR="0055385D" w:rsidRPr="0055385D" w14:paraId="52D07FB4" w14:textId="77777777" w:rsidTr="0055385D">
        <w:tc>
          <w:tcPr>
            <w:tcW w:w="2126" w:type="dxa"/>
          </w:tcPr>
          <w:p w14:paraId="38FDAD08"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Stress</w:t>
            </w:r>
          </w:p>
        </w:tc>
        <w:tc>
          <w:tcPr>
            <w:tcW w:w="640" w:type="dxa"/>
          </w:tcPr>
          <w:p w14:paraId="76E3DBDA"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-0.32</w:t>
            </w:r>
          </w:p>
        </w:tc>
        <w:tc>
          <w:tcPr>
            <w:tcW w:w="541" w:type="dxa"/>
          </w:tcPr>
          <w:p w14:paraId="1E763322"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0.15</w:t>
            </w:r>
          </w:p>
        </w:tc>
        <w:tc>
          <w:tcPr>
            <w:tcW w:w="663" w:type="dxa"/>
          </w:tcPr>
          <w:p w14:paraId="3794596C"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-2.18</w:t>
            </w:r>
          </w:p>
        </w:tc>
        <w:tc>
          <w:tcPr>
            <w:tcW w:w="851" w:type="dxa"/>
          </w:tcPr>
          <w:p w14:paraId="5137554E"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0.030*</w:t>
            </w:r>
          </w:p>
        </w:tc>
      </w:tr>
    </w:tbl>
    <w:p w14:paraId="23C00B96" w14:textId="77777777" w:rsidR="0055385D" w:rsidRPr="00A754B1" w:rsidRDefault="0055385D" w:rsidP="0055385D">
      <w:pPr>
        <w:spacing w:line="259" w:lineRule="auto"/>
        <w:jc w:val="both"/>
        <w:rPr>
          <w:rFonts w:ascii="Garamond" w:hAnsi="Garamond"/>
          <w:i/>
          <w:iCs/>
          <w:sz w:val="16"/>
          <w:szCs w:val="16"/>
        </w:rPr>
      </w:pPr>
      <w:r w:rsidRPr="00A754B1">
        <w:rPr>
          <w:rFonts w:ascii="Garamond" w:hAnsi="Garamond"/>
          <w:i/>
          <w:iCs/>
          <w:sz w:val="16"/>
          <w:szCs w:val="16"/>
          <w:lang w:val="en-GB"/>
        </w:rPr>
        <w:t>Note.</w:t>
      </w:r>
      <w:r w:rsidRPr="00A754B1">
        <w:rPr>
          <w:rFonts w:ascii="Garamond" w:hAnsi="Garamond"/>
          <w:iCs/>
          <w:sz w:val="16"/>
          <w:szCs w:val="16"/>
          <w:lang w:val="en-GB"/>
        </w:rPr>
        <w:t xml:space="preserve"> Random intercept variance = 0.27. </w:t>
      </w:r>
      <w:r w:rsidRPr="00A754B1">
        <w:rPr>
          <w:rFonts w:ascii="Garamond" w:hAnsi="Garamond"/>
          <w:i/>
          <w:iCs/>
          <w:sz w:val="16"/>
          <w:szCs w:val="16"/>
        </w:rPr>
        <w:t>*Statistically significant p≤ 0.05</w:t>
      </w:r>
    </w:p>
    <w:p w14:paraId="58C5496F" w14:textId="77777777" w:rsidR="0055385D" w:rsidRPr="0055385D" w:rsidRDefault="0055385D" w:rsidP="0055385D">
      <w:pPr>
        <w:spacing w:line="259" w:lineRule="auto"/>
        <w:jc w:val="both"/>
        <w:rPr>
          <w:rFonts w:ascii="Garamond" w:hAnsi="Garamond"/>
          <w:iCs/>
          <w:sz w:val="20"/>
          <w:szCs w:val="20"/>
          <w:lang w:val="en-GB"/>
        </w:rPr>
      </w:pPr>
    </w:p>
    <w:p w14:paraId="19894240"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 xml:space="preserve">Table 5 shows that the repeated-measures ANOVA revealed a significant main effect of noise condition on attention performance, </w:t>
      </w:r>
      <w:proofErr w:type="gramStart"/>
      <w:r w:rsidRPr="0055385D">
        <w:rPr>
          <w:rFonts w:ascii="Garamond" w:hAnsi="Garamond"/>
          <w:iCs/>
          <w:sz w:val="20"/>
          <w:szCs w:val="20"/>
          <w:lang w:val="en-GB"/>
        </w:rPr>
        <w:t>F(</w:t>
      </w:r>
      <w:proofErr w:type="gramEnd"/>
      <w:r w:rsidRPr="0055385D">
        <w:rPr>
          <w:rFonts w:ascii="Garamond" w:hAnsi="Garamond"/>
          <w:iCs/>
          <w:sz w:val="20"/>
          <w:szCs w:val="20"/>
          <w:lang w:val="en-GB"/>
        </w:rPr>
        <w:t xml:space="preserve">2, 78) = 7.95, p &lt; 0.001. There was no significant effect on short-term memory, </w:t>
      </w:r>
      <w:bookmarkStart w:id="10" w:name="_Int_RY54IUW6"/>
      <w:proofErr w:type="gramStart"/>
      <w:r w:rsidRPr="0055385D">
        <w:rPr>
          <w:rFonts w:ascii="Garamond" w:hAnsi="Garamond"/>
          <w:iCs/>
          <w:sz w:val="20"/>
          <w:szCs w:val="20"/>
          <w:lang w:val="en-GB"/>
        </w:rPr>
        <w:t>F(</w:t>
      </w:r>
      <w:bookmarkEnd w:id="10"/>
      <w:proofErr w:type="gramEnd"/>
      <w:r w:rsidRPr="0055385D">
        <w:rPr>
          <w:rFonts w:ascii="Garamond" w:hAnsi="Garamond"/>
          <w:iCs/>
          <w:sz w:val="20"/>
          <w:szCs w:val="20"/>
          <w:lang w:val="en-GB"/>
        </w:rPr>
        <w:t xml:space="preserve">2, 78) = 0.34, p = 0.713. Thus, the pairwise comparisons of attention revealed significant differences between quiet and both noise conditions, and no significant differences between steady-state and intermittent noise, as presented in Table 6. The repeated-measures ANOVAs showed small effect sizes for both cognitive outcomes, indicating that the noise condition accounted for only a small fraction of the variance in performance after accounting for individual differences. As in Table 5, partial η_p² = 0.029 was a minor effect on attention (LCT accuracy). Partial η_p² = 0.015 also reported a small effect concerning short-term memory (recall score). These values imply that there is little practical use for the noise manipulations. The small observed effects in attention (around 0.35) and memory (around 0.15) achieved sufficient statistical power, suggesting that the study was reasonably sensitive to detect medium to large effects but not sensitive enough to detect low-level differences, if they existed. </w:t>
      </w:r>
    </w:p>
    <w:p w14:paraId="63E16C8A" w14:textId="7F5EBEA9"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b/>
          <w:bCs/>
          <w:iCs/>
          <w:sz w:val="20"/>
          <w:szCs w:val="20"/>
          <w:lang w:val="en-GB"/>
        </w:rPr>
        <w:t>Table 5</w:t>
      </w:r>
      <w:r>
        <w:rPr>
          <w:rFonts w:ascii="Garamond" w:hAnsi="Garamond"/>
          <w:b/>
          <w:bCs/>
          <w:iCs/>
          <w:sz w:val="20"/>
          <w:szCs w:val="20"/>
          <w:lang w:val="en-GB"/>
        </w:rPr>
        <w:t xml:space="preserve">: </w:t>
      </w:r>
      <w:r w:rsidRPr="0055385D">
        <w:rPr>
          <w:rFonts w:ascii="Garamond" w:hAnsi="Garamond"/>
          <w:i/>
          <w:iCs/>
          <w:sz w:val="20"/>
          <w:szCs w:val="20"/>
          <w:lang w:val="en-GB"/>
        </w:rPr>
        <w:t>Repeated Measures ANOVA Results for Noise Condition Effects</w:t>
      </w:r>
    </w:p>
    <w:tbl>
      <w:tblPr>
        <w:tblStyle w:val="TableGrid"/>
        <w:tblW w:w="5387" w:type="dxa"/>
        <w:tblInd w:w="-142" w:type="dxa"/>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90"/>
        <w:gridCol w:w="541"/>
        <w:gridCol w:w="663"/>
        <w:gridCol w:w="821"/>
        <w:gridCol w:w="771"/>
        <w:gridCol w:w="1401"/>
      </w:tblGrid>
      <w:tr w:rsidR="0055385D" w:rsidRPr="0055385D" w14:paraId="414B60C9" w14:textId="77777777" w:rsidTr="00D441C5">
        <w:tc>
          <w:tcPr>
            <w:tcW w:w="1190" w:type="dxa"/>
            <w:tcBorders>
              <w:top w:val="single" w:sz="4" w:space="0" w:color="auto"/>
              <w:bottom w:val="single" w:sz="4" w:space="0" w:color="auto"/>
            </w:tcBorders>
          </w:tcPr>
          <w:p w14:paraId="2FA3A378" w14:textId="77777777" w:rsid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Measure</w:t>
            </w:r>
          </w:p>
          <w:p w14:paraId="5A0DD607" w14:textId="77777777" w:rsidR="00D441C5" w:rsidRPr="0055385D" w:rsidRDefault="00D441C5" w:rsidP="0055385D">
            <w:pPr>
              <w:spacing w:line="259" w:lineRule="auto"/>
              <w:jc w:val="both"/>
              <w:rPr>
                <w:rFonts w:ascii="Garamond" w:hAnsi="Garamond"/>
                <w:b/>
                <w:bCs/>
                <w:iCs/>
                <w:sz w:val="20"/>
                <w:szCs w:val="20"/>
                <w:lang w:val="en-GB"/>
              </w:rPr>
            </w:pPr>
          </w:p>
        </w:tc>
        <w:tc>
          <w:tcPr>
            <w:tcW w:w="541" w:type="dxa"/>
            <w:tcBorders>
              <w:top w:val="single" w:sz="4" w:space="0" w:color="auto"/>
              <w:bottom w:val="single" w:sz="4" w:space="0" w:color="auto"/>
            </w:tcBorders>
          </w:tcPr>
          <w:p w14:paraId="5FD8B9F6"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F</w:t>
            </w:r>
          </w:p>
        </w:tc>
        <w:tc>
          <w:tcPr>
            <w:tcW w:w="663" w:type="dxa"/>
            <w:tcBorders>
              <w:top w:val="single" w:sz="4" w:space="0" w:color="auto"/>
              <w:bottom w:val="single" w:sz="4" w:space="0" w:color="auto"/>
            </w:tcBorders>
          </w:tcPr>
          <w:p w14:paraId="1862F008" w14:textId="77777777" w:rsidR="0055385D" w:rsidRPr="0055385D" w:rsidRDefault="0055385D" w:rsidP="0055385D">
            <w:pPr>
              <w:spacing w:line="259" w:lineRule="auto"/>
              <w:jc w:val="both"/>
              <w:rPr>
                <w:rFonts w:ascii="Garamond" w:hAnsi="Garamond"/>
                <w:b/>
                <w:bCs/>
                <w:iCs/>
                <w:sz w:val="20"/>
                <w:szCs w:val="20"/>
                <w:lang w:val="en-GB"/>
              </w:rPr>
            </w:pPr>
            <w:proofErr w:type="spellStart"/>
            <w:r w:rsidRPr="0055385D">
              <w:rPr>
                <w:rFonts w:ascii="Garamond" w:hAnsi="Garamond"/>
                <w:b/>
                <w:bCs/>
                <w:iCs/>
                <w:sz w:val="20"/>
                <w:szCs w:val="20"/>
                <w:lang w:val="en-GB"/>
              </w:rPr>
              <w:t>df</w:t>
            </w:r>
            <w:proofErr w:type="spellEnd"/>
          </w:p>
        </w:tc>
        <w:tc>
          <w:tcPr>
            <w:tcW w:w="821" w:type="dxa"/>
            <w:tcBorders>
              <w:top w:val="single" w:sz="4" w:space="0" w:color="auto"/>
              <w:bottom w:val="single" w:sz="4" w:space="0" w:color="auto"/>
            </w:tcBorders>
          </w:tcPr>
          <w:p w14:paraId="269F1855"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p-value</w:t>
            </w:r>
          </w:p>
        </w:tc>
        <w:tc>
          <w:tcPr>
            <w:tcW w:w="771" w:type="dxa"/>
            <w:tcBorders>
              <w:top w:val="single" w:sz="4" w:space="0" w:color="auto"/>
              <w:bottom w:val="single" w:sz="4" w:space="0" w:color="auto"/>
            </w:tcBorders>
          </w:tcPr>
          <w:p w14:paraId="40753BE9"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Partial η_p²</w:t>
            </w:r>
          </w:p>
        </w:tc>
        <w:tc>
          <w:tcPr>
            <w:tcW w:w="1401" w:type="dxa"/>
            <w:tcBorders>
              <w:top w:val="single" w:sz="4" w:space="0" w:color="auto"/>
              <w:bottom w:val="single" w:sz="4" w:space="0" w:color="auto"/>
            </w:tcBorders>
          </w:tcPr>
          <w:p w14:paraId="6C883AF9"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Achieved Power (1 - β)</w:t>
            </w:r>
          </w:p>
        </w:tc>
      </w:tr>
      <w:tr w:rsidR="0055385D" w:rsidRPr="0055385D" w14:paraId="7FB3097F" w14:textId="77777777" w:rsidTr="00D441C5">
        <w:tc>
          <w:tcPr>
            <w:tcW w:w="1190" w:type="dxa"/>
            <w:tcBorders>
              <w:top w:val="single" w:sz="4" w:space="0" w:color="auto"/>
            </w:tcBorders>
          </w:tcPr>
          <w:p w14:paraId="03CCE274"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Attention (LCT)</w:t>
            </w:r>
          </w:p>
        </w:tc>
        <w:tc>
          <w:tcPr>
            <w:tcW w:w="541" w:type="dxa"/>
            <w:tcBorders>
              <w:top w:val="single" w:sz="4" w:space="0" w:color="auto"/>
            </w:tcBorders>
          </w:tcPr>
          <w:p w14:paraId="6618310A"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7.95</w:t>
            </w:r>
          </w:p>
        </w:tc>
        <w:tc>
          <w:tcPr>
            <w:tcW w:w="663" w:type="dxa"/>
            <w:tcBorders>
              <w:top w:val="single" w:sz="4" w:space="0" w:color="auto"/>
            </w:tcBorders>
          </w:tcPr>
          <w:p w14:paraId="491E2F9D"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2, 78</w:t>
            </w:r>
          </w:p>
        </w:tc>
        <w:tc>
          <w:tcPr>
            <w:tcW w:w="821" w:type="dxa"/>
            <w:tcBorders>
              <w:top w:val="single" w:sz="4" w:space="0" w:color="auto"/>
            </w:tcBorders>
          </w:tcPr>
          <w:p w14:paraId="261571DA"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&lt; .001</w:t>
            </w:r>
          </w:p>
        </w:tc>
        <w:tc>
          <w:tcPr>
            <w:tcW w:w="771" w:type="dxa"/>
            <w:tcBorders>
              <w:top w:val="single" w:sz="4" w:space="0" w:color="auto"/>
            </w:tcBorders>
          </w:tcPr>
          <w:p w14:paraId="1FBD8D8A"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0.029</w:t>
            </w:r>
          </w:p>
        </w:tc>
        <w:tc>
          <w:tcPr>
            <w:tcW w:w="1401" w:type="dxa"/>
            <w:tcBorders>
              <w:top w:val="single" w:sz="4" w:space="0" w:color="auto"/>
            </w:tcBorders>
          </w:tcPr>
          <w:p w14:paraId="45EBBCB3"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~0.35</w:t>
            </w:r>
          </w:p>
        </w:tc>
      </w:tr>
      <w:tr w:rsidR="0055385D" w:rsidRPr="0055385D" w14:paraId="23030E8C" w14:textId="77777777" w:rsidTr="00D441C5">
        <w:tc>
          <w:tcPr>
            <w:tcW w:w="1190" w:type="dxa"/>
          </w:tcPr>
          <w:p w14:paraId="1280519D"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Short-term Memory</w:t>
            </w:r>
          </w:p>
        </w:tc>
        <w:tc>
          <w:tcPr>
            <w:tcW w:w="541" w:type="dxa"/>
          </w:tcPr>
          <w:p w14:paraId="5FC7ACE7"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0.34</w:t>
            </w:r>
          </w:p>
        </w:tc>
        <w:tc>
          <w:tcPr>
            <w:tcW w:w="663" w:type="dxa"/>
          </w:tcPr>
          <w:p w14:paraId="0A4114F4"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2, 78</w:t>
            </w:r>
          </w:p>
        </w:tc>
        <w:tc>
          <w:tcPr>
            <w:tcW w:w="821" w:type="dxa"/>
          </w:tcPr>
          <w:p w14:paraId="7DCD91DB"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.713</w:t>
            </w:r>
          </w:p>
        </w:tc>
        <w:tc>
          <w:tcPr>
            <w:tcW w:w="771" w:type="dxa"/>
          </w:tcPr>
          <w:p w14:paraId="526167C2"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0.015</w:t>
            </w:r>
          </w:p>
        </w:tc>
        <w:tc>
          <w:tcPr>
            <w:tcW w:w="1401" w:type="dxa"/>
          </w:tcPr>
          <w:p w14:paraId="7DD65836"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~0.15</w:t>
            </w:r>
          </w:p>
        </w:tc>
      </w:tr>
    </w:tbl>
    <w:p w14:paraId="4751DF4F" w14:textId="77777777" w:rsidR="0055385D" w:rsidRPr="00A754B1" w:rsidRDefault="0055385D" w:rsidP="0055385D">
      <w:pPr>
        <w:spacing w:line="259" w:lineRule="auto"/>
        <w:jc w:val="both"/>
        <w:rPr>
          <w:rFonts w:ascii="Garamond" w:hAnsi="Garamond"/>
          <w:iCs/>
          <w:sz w:val="16"/>
          <w:szCs w:val="16"/>
          <w:lang w:val="en-GB"/>
        </w:rPr>
      </w:pPr>
      <w:r w:rsidRPr="00A754B1">
        <w:rPr>
          <w:rFonts w:ascii="Garamond" w:hAnsi="Garamond"/>
          <w:i/>
          <w:iCs/>
          <w:sz w:val="16"/>
          <w:szCs w:val="16"/>
          <w:lang w:val="en-GB"/>
        </w:rPr>
        <w:t>Note:</w:t>
      </w:r>
      <w:r w:rsidRPr="00A754B1">
        <w:rPr>
          <w:rFonts w:ascii="Garamond" w:hAnsi="Garamond"/>
          <w:iCs/>
          <w:sz w:val="16"/>
          <w:szCs w:val="16"/>
          <w:lang w:val="en-GB"/>
        </w:rPr>
        <w:t xml:space="preserve"> F = F statistic; </w:t>
      </w:r>
      <w:proofErr w:type="spellStart"/>
      <w:r w:rsidRPr="00A754B1">
        <w:rPr>
          <w:rFonts w:ascii="Garamond" w:hAnsi="Garamond"/>
          <w:iCs/>
          <w:sz w:val="16"/>
          <w:szCs w:val="16"/>
          <w:lang w:val="en-GB"/>
        </w:rPr>
        <w:t>df</w:t>
      </w:r>
      <w:proofErr w:type="spellEnd"/>
      <w:r w:rsidRPr="00A754B1">
        <w:rPr>
          <w:rFonts w:ascii="Garamond" w:hAnsi="Garamond"/>
          <w:iCs/>
          <w:sz w:val="16"/>
          <w:szCs w:val="16"/>
          <w:lang w:val="en-GB"/>
        </w:rPr>
        <w:t xml:space="preserve"> = degrees of freedom; ηp² = partial eta squared</w:t>
      </w:r>
    </w:p>
    <w:p w14:paraId="5AB5A788" w14:textId="77777777" w:rsidR="00D441C5" w:rsidRDefault="00D441C5" w:rsidP="0055385D">
      <w:pPr>
        <w:spacing w:line="259" w:lineRule="auto"/>
        <w:jc w:val="both"/>
        <w:rPr>
          <w:rFonts w:ascii="Garamond" w:hAnsi="Garamond"/>
          <w:iCs/>
          <w:sz w:val="20"/>
          <w:szCs w:val="20"/>
          <w:lang w:val="en-GB"/>
        </w:rPr>
      </w:pPr>
    </w:p>
    <w:p w14:paraId="2AF0BA5C" w14:textId="33C2FECC" w:rsidR="0055385D" w:rsidRPr="0055385D" w:rsidRDefault="0055385D" w:rsidP="0055385D">
      <w:pPr>
        <w:spacing w:line="259" w:lineRule="auto"/>
        <w:jc w:val="both"/>
        <w:rPr>
          <w:rFonts w:ascii="Garamond" w:hAnsi="Garamond"/>
          <w:i/>
          <w:iCs/>
          <w:sz w:val="20"/>
          <w:szCs w:val="20"/>
          <w:lang w:val="en-GB"/>
        </w:rPr>
      </w:pPr>
      <w:r w:rsidRPr="0055385D">
        <w:rPr>
          <w:rFonts w:ascii="Garamond" w:hAnsi="Garamond"/>
          <w:iCs/>
          <w:sz w:val="20"/>
          <w:szCs w:val="20"/>
          <w:lang w:val="en-GB"/>
        </w:rPr>
        <w:t>Degrees of freedom are Greenhouse-Geisser corrected where applicable.</w:t>
      </w:r>
      <w:r w:rsidRPr="0055385D">
        <w:rPr>
          <w:rFonts w:ascii="Garamond" w:hAnsi="Garamond"/>
          <w:i/>
          <w:iCs/>
          <w:sz w:val="20"/>
          <w:szCs w:val="20"/>
          <w:lang w:val="en-GB"/>
        </w:rPr>
        <w:t xml:space="preserve"> </w:t>
      </w:r>
      <w:r w:rsidRPr="0055385D">
        <w:rPr>
          <w:rFonts w:ascii="Garamond" w:hAnsi="Garamond"/>
          <w:iCs/>
          <w:sz w:val="20"/>
          <w:szCs w:val="20"/>
          <w:lang w:val="en-GB"/>
        </w:rPr>
        <w:t>Partial η_p² interpretations follow Cohen (1988): small ≈ 0.01, medium ≈ 0.06, large ≈ 0.14. Post hoc power estimates are based on observed effect sizes, N = 40, three within-subjects levels, and α = 0.05 in a repeated-measures design.</w:t>
      </w:r>
    </w:p>
    <w:p w14:paraId="1A5C0A47" w14:textId="53990129"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b/>
          <w:bCs/>
          <w:iCs/>
          <w:sz w:val="20"/>
          <w:szCs w:val="20"/>
          <w:lang w:val="en-GB"/>
        </w:rPr>
        <w:t>Table 6</w:t>
      </w:r>
      <w:r w:rsidR="00D441C5">
        <w:rPr>
          <w:rFonts w:ascii="Garamond" w:hAnsi="Garamond"/>
          <w:b/>
          <w:bCs/>
          <w:iCs/>
          <w:sz w:val="20"/>
          <w:szCs w:val="20"/>
          <w:lang w:val="en-GB"/>
        </w:rPr>
        <w:t xml:space="preserve">: </w:t>
      </w:r>
      <w:r w:rsidRPr="00A754B1">
        <w:rPr>
          <w:rFonts w:ascii="Garamond" w:hAnsi="Garamond"/>
          <w:sz w:val="20"/>
          <w:szCs w:val="20"/>
          <w:lang w:val="en-GB"/>
        </w:rPr>
        <w:t>Paired t-tests for Attention (LCT) Across Conditions</w:t>
      </w:r>
    </w:p>
    <w:tbl>
      <w:tblPr>
        <w:tblStyle w:val="TableGrid"/>
        <w:tblW w:w="4775" w:type="dxa"/>
        <w:tblInd w:w="4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9"/>
        <w:gridCol w:w="709"/>
        <w:gridCol w:w="425"/>
        <w:gridCol w:w="992"/>
      </w:tblGrid>
      <w:tr w:rsidR="0055385D" w:rsidRPr="0055385D" w14:paraId="34A8F5BB" w14:textId="77777777" w:rsidTr="00D441C5">
        <w:tc>
          <w:tcPr>
            <w:tcW w:w="2649" w:type="dxa"/>
            <w:tcBorders>
              <w:top w:val="single" w:sz="4" w:space="0" w:color="auto"/>
              <w:bottom w:val="single" w:sz="4" w:space="0" w:color="auto"/>
            </w:tcBorders>
          </w:tcPr>
          <w:p w14:paraId="58030FBF"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Comparison</w:t>
            </w:r>
          </w:p>
        </w:tc>
        <w:tc>
          <w:tcPr>
            <w:tcW w:w="709" w:type="dxa"/>
            <w:tcBorders>
              <w:top w:val="single" w:sz="4" w:space="0" w:color="auto"/>
              <w:bottom w:val="single" w:sz="4" w:space="0" w:color="auto"/>
            </w:tcBorders>
          </w:tcPr>
          <w:p w14:paraId="087FF6F2"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T</w:t>
            </w:r>
          </w:p>
        </w:tc>
        <w:tc>
          <w:tcPr>
            <w:tcW w:w="425" w:type="dxa"/>
            <w:tcBorders>
              <w:top w:val="single" w:sz="4" w:space="0" w:color="auto"/>
              <w:bottom w:val="single" w:sz="4" w:space="0" w:color="auto"/>
            </w:tcBorders>
          </w:tcPr>
          <w:p w14:paraId="30314C40" w14:textId="77777777" w:rsidR="0055385D" w:rsidRPr="0055385D" w:rsidRDefault="0055385D" w:rsidP="0055385D">
            <w:pPr>
              <w:spacing w:line="259" w:lineRule="auto"/>
              <w:jc w:val="both"/>
              <w:rPr>
                <w:rFonts w:ascii="Garamond" w:hAnsi="Garamond"/>
                <w:b/>
                <w:bCs/>
                <w:iCs/>
                <w:sz w:val="20"/>
                <w:szCs w:val="20"/>
                <w:lang w:val="en-GB"/>
              </w:rPr>
            </w:pPr>
            <w:proofErr w:type="spellStart"/>
            <w:r w:rsidRPr="0055385D">
              <w:rPr>
                <w:rFonts w:ascii="Garamond" w:hAnsi="Garamond"/>
                <w:b/>
                <w:bCs/>
                <w:iCs/>
                <w:sz w:val="20"/>
                <w:szCs w:val="20"/>
                <w:lang w:val="en-GB"/>
              </w:rPr>
              <w:t>df</w:t>
            </w:r>
            <w:proofErr w:type="spellEnd"/>
          </w:p>
        </w:tc>
        <w:tc>
          <w:tcPr>
            <w:tcW w:w="992" w:type="dxa"/>
            <w:tcBorders>
              <w:top w:val="single" w:sz="4" w:space="0" w:color="auto"/>
              <w:bottom w:val="single" w:sz="4" w:space="0" w:color="auto"/>
            </w:tcBorders>
          </w:tcPr>
          <w:p w14:paraId="6E46FEC6" w14:textId="77777777" w:rsidR="0055385D" w:rsidRPr="0055385D" w:rsidRDefault="0055385D" w:rsidP="0055385D">
            <w:pPr>
              <w:spacing w:line="259" w:lineRule="auto"/>
              <w:jc w:val="both"/>
              <w:rPr>
                <w:rFonts w:ascii="Garamond" w:hAnsi="Garamond"/>
                <w:b/>
                <w:bCs/>
                <w:iCs/>
                <w:sz w:val="20"/>
                <w:szCs w:val="20"/>
                <w:lang w:val="en-GB"/>
              </w:rPr>
            </w:pPr>
            <w:r w:rsidRPr="0055385D">
              <w:rPr>
                <w:rFonts w:ascii="Garamond" w:hAnsi="Garamond"/>
                <w:b/>
                <w:bCs/>
                <w:iCs/>
                <w:sz w:val="20"/>
                <w:szCs w:val="20"/>
                <w:lang w:val="en-GB"/>
              </w:rPr>
              <w:t>p-value</w:t>
            </w:r>
          </w:p>
        </w:tc>
      </w:tr>
      <w:tr w:rsidR="0055385D" w:rsidRPr="0055385D" w14:paraId="7E7E795B" w14:textId="77777777" w:rsidTr="00D441C5">
        <w:tc>
          <w:tcPr>
            <w:tcW w:w="2649" w:type="dxa"/>
            <w:tcBorders>
              <w:top w:val="single" w:sz="4" w:space="0" w:color="auto"/>
            </w:tcBorders>
          </w:tcPr>
          <w:p w14:paraId="50E7CDE4"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Quiet vs. Steady-state</w:t>
            </w:r>
          </w:p>
        </w:tc>
        <w:tc>
          <w:tcPr>
            <w:tcW w:w="709" w:type="dxa"/>
            <w:tcBorders>
              <w:top w:val="single" w:sz="4" w:space="0" w:color="auto"/>
            </w:tcBorders>
          </w:tcPr>
          <w:p w14:paraId="67D27E31"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-7.45</w:t>
            </w:r>
          </w:p>
        </w:tc>
        <w:tc>
          <w:tcPr>
            <w:tcW w:w="425" w:type="dxa"/>
            <w:tcBorders>
              <w:top w:val="single" w:sz="4" w:space="0" w:color="auto"/>
            </w:tcBorders>
          </w:tcPr>
          <w:p w14:paraId="113FF9E4"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39</w:t>
            </w:r>
          </w:p>
        </w:tc>
        <w:tc>
          <w:tcPr>
            <w:tcW w:w="992" w:type="dxa"/>
            <w:tcBorders>
              <w:top w:val="single" w:sz="4" w:space="0" w:color="auto"/>
            </w:tcBorders>
          </w:tcPr>
          <w:p w14:paraId="5E625C5E"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rPr>
              <w:t>&lt; 0.001*</w:t>
            </w:r>
          </w:p>
        </w:tc>
      </w:tr>
      <w:tr w:rsidR="0055385D" w:rsidRPr="0055385D" w14:paraId="6A09FDF5" w14:textId="77777777" w:rsidTr="00D441C5">
        <w:tc>
          <w:tcPr>
            <w:tcW w:w="2649" w:type="dxa"/>
          </w:tcPr>
          <w:p w14:paraId="550297E3"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Quiet vs. Intermittent</w:t>
            </w:r>
          </w:p>
        </w:tc>
        <w:tc>
          <w:tcPr>
            <w:tcW w:w="709" w:type="dxa"/>
          </w:tcPr>
          <w:p w14:paraId="5F89B4CE"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-6.12</w:t>
            </w:r>
          </w:p>
        </w:tc>
        <w:tc>
          <w:tcPr>
            <w:tcW w:w="425" w:type="dxa"/>
          </w:tcPr>
          <w:p w14:paraId="40EA3EC5"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39</w:t>
            </w:r>
          </w:p>
        </w:tc>
        <w:tc>
          <w:tcPr>
            <w:tcW w:w="992" w:type="dxa"/>
          </w:tcPr>
          <w:p w14:paraId="7576CFAC"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rPr>
              <w:t>&lt; 0.001*</w:t>
            </w:r>
          </w:p>
        </w:tc>
      </w:tr>
      <w:tr w:rsidR="0055385D" w:rsidRPr="0055385D" w14:paraId="605A429C" w14:textId="77777777" w:rsidTr="00D441C5">
        <w:tc>
          <w:tcPr>
            <w:tcW w:w="2649" w:type="dxa"/>
          </w:tcPr>
          <w:p w14:paraId="1C607F3E" w14:textId="77777777" w:rsidR="0055385D" w:rsidRPr="0055385D" w:rsidRDefault="0055385D" w:rsidP="0055385D">
            <w:pPr>
              <w:spacing w:line="259" w:lineRule="auto"/>
              <w:jc w:val="both"/>
              <w:rPr>
                <w:rFonts w:ascii="Garamond" w:hAnsi="Garamond"/>
                <w:iCs/>
                <w:sz w:val="20"/>
                <w:szCs w:val="20"/>
                <w:lang w:val="en-GB"/>
              </w:rPr>
            </w:pPr>
            <w:bookmarkStart w:id="11" w:name="_Int_SZNLvwaR"/>
            <w:r w:rsidRPr="0055385D">
              <w:rPr>
                <w:rFonts w:ascii="Garamond" w:hAnsi="Garamond"/>
                <w:iCs/>
                <w:sz w:val="20"/>
                <w:szCs w:val="20"/>
                <w:lang w:val="en-GB"/>
              </w:rPr>
              <w:t>Steady-state</w:t>
            </w:r>
            <w:bookmarkEnd w:id="11"/>
            <w:r w:rsidRPr="0055385D">
              <w:rPr>
                <w:rFonts w:ascii="Garamond" w:hAnsi="Garamond"/>
                <w:iCs/>
                <w:sz w:val="20"/>
                <w:szCs w:val="20"/>
                <w:lang w:val="en-GB"/>
              </w:rPr>
              <w:t xml:space="preserve"> vs. Intermittent</w:t>
            </w:r>
          </w:p>
        </w:tc>
        <w:tc>
          <w:tcPr>
            <w:tcW w:w="709" w:type="dxa"/>
          </w:tcPr>
          <w:p w14:paraId="3CFE1BD4"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-1.23</w:t>
            </w:r>
          </w:p>
        </w:tc>
        <w:tc>
          <w:tcPr>
            <w:tcW w:w="425" w:type="dxa"/>
          </w:tcPr>
          <w:p w14:paraId="7B7E7798"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39</w:t>
            </w:r>
          </w:p>
        </w:tc>
        <w:tc>
          <w:tcPr>
            <w:tcW w:w="992" w:type="dxa"/>
          </w:tcPr>
          <w:p w14:paraId="3DBEEB6B" w14:textId="77777777" w:rsidR="0055385D" w:rsidRPr="0055385D" w:rsidRDefault="0055385D" w:rsidP="0055385D">
            <w:pPr>
              <w:spacing w:line="259" w:lineRule="auto"/>
              <w:jc w:val="both"/>
              <w:rPr>
                <w:rFonts w:ascii="Garamond" w:hAnsi="Garamond"/>
                <w:iCs/>
                <w:sz w:val="20"/>
                <w:szCs w:val="20"/>
                <w:lang w:val="en-GB"/>
              </w:rPr>
            </w:pPr>
            <w:r w:rsidRPr="0055385D">
              <w:rPr>
                <w:rFonts w:ascii="Garamond" w:hAnsi="Garamond"/>
                <w:iCs/>
                <w:sz w:val="20"/>
                <w:szCs w:val="20"/>
                <w:lang w:val="en-GB"/>
              </w:rPr>
              <w:t>.226</w:t>
            </w:r>
          </w:p>
        </w:tc>
      </w:tr>
    </w:tbl>
    <w:p w14:paraId="01BA333E" w14:textId="77777777" w:rsidR="0055385D" w:rsidRPr="00A754B1" w:rsidRDefault="0055385D" w:rsidP="0055385D">
      <w:pPr>
        <w:spacing w:line="259" w:lineRule="auto"/>
        <w:jc w:val="both"/>
        <w:rPr>
          <w:rFonts w:ascii="Garamond" w:hAnsi="Garamond"/>
          <w:iCs/>
          <w:sz w:val="16"/>
          <w:szCs w:val="16"/>
          <w:lang w:val="en-GB"/>
        </w:rPr>
      </w:pPr>
      <w:r w:rsidRPr="00A754B1">
        <w:rPr>
          <w:rFonts w:ascii="Garamond" w:hAnsi="Garamond"/>
          <w:i/>
          <w:iCs/>
          <w:sz w:val="16"/>
          <w:szCs w:val="16"/>
          <w:lang w:val="en-GB"/>
        </w:rPr>
        <w:t>Note.</w:t>
      </w:r>
      <w:r w:rsidRPr="00A754B1">
        <w:rPr>
          <w:rFonts w:ascii="Garamond" w:hAnsi="Garamond"/>
          <w:iCs/>
          <w:sz w:val="16"/>
          <w:szCs w:val="16"/>
          <w:lang w:val="en-GB"/>
        </w:rPr>
        <w:t xml:space="preserve"> No significant pairwise differences for recall (all p-values &gt; 0.40).</w:t>
      </w:r>
    </w:p>
    <w:p w14:paraId="7FC10173" w14:textId="77777777" w:rsidR="00D37A38" w:rsidRDefault="00D37A38" w:rsidP="007A1526">
      <w:pPr>
        <w:spacing w:line="259" w:lineRule="auto"/>
        <w:jc w:val="both"/>
        <w:rPr>
          <w:rFonts w:ascii="Garamond" w:hAnsi="Garamond"/>
          <w:iCs/>
          <w:sz w:val="20"/>
          <w:szCs w:val="20"/>
        </w:rPr>
      </w:pPr>
    </w:p>
    <w:p w14:paraId="61F7C5BA" w14:textId="00A3C689" w:rsidR="00D441C5" w:rsidRPr="00D441C5" w:rsidRDefault="00A754B1" w:rsidP="00D441C5">
      <w:pPr>
        <w:spacing w:line="259" w:lineRule="auto"/>
        <w:jc w:val="both"/>
        <w:rPr>
          <w:rFonts w:ascii="Garamond" w:hAnsi="Garamond"/>
          <w:iCs/>
          <w:sz w:val="20"/>
          <w:szCs w:val="20"/>
          <w:lang w:val="en-GB"/>
        </w:rPr>
      </w:pPr>
      <w:r w:rsidRPr="00D441C5">
        <w:rPr>
          <w:rFonts w:ascii="Garamond" w:hAnsi="Garamond"/>
          <w:b/>
          <w:bCs/>
          <w:iCs/>
          <w:sz w:val="20"/>
          <w:szCs w:val="20"/>
          <w:lang w:val="en-GB"/>
        </w:rPr>
        <w:t>DISCUSSION</w:t>
      </w:r>
    </w:p>
    <w:p w14:paraId="3A181707" w14:textId="26042CB2" w:rsidR="00D441C5" w:rsidRPr="00D441C5" w:rsidRDefault="00D441C5" w:rsidP="00D441C5">
      <w:pPr>
        <w:spacing w:line="259" w:lineRule="auto"/>
        <w:jc w:val="both"/>
        <w:rPr>
          <w:rFonts w:ascii="Garamond" w:hAnsi="Garamond"/>
          <w:iCs/>
          <w:sz w:val="20"/>
          <w:szCs w:val="20"/>
          <w:lang w:val="en-GB"/>
        </w:rPr>
      </w:pPr>
      <w:r w:rsidRPr="00D441C5">
        <w:rPr>
          <w:rFonts w:ascii="Garamond" w:hAnsi="Garamond"/>
          <w:iCs/>
          <w:sz w:val="20"/>
          <w:szCs w:val="20"/>
          <w:lang w:val="en-GB"/>
        </w:rPr>
        <w:t xml:space="preserve">While recognizing the potential cognitive harms of environmental noise, the present experimental findings suggest that acute exposure alone may not be sufficient to impair performance on simple cognitive tasks among habituated students, indicating that policy responses should focus on chronic exposure and stress pathways rather than on short-term noise events. </w:t>
      </w:r>
    </w:p>
    <w:p w14:paraId="3F11E383" w14:textId="5C86503A" w:rsidR="00D441C5" w:rsidRPr="00D441C5" w:rsidRDefault="00D441C5" w:rsidP="00D441C5">
      <w:pPr>
        <w:spacing w:line="259" w:lineRule="auto"/>
        <w:jc w:val="both"/>
        <w:rPr>
          <w:rFonts w:ascii="Garamond" w:hAnsi="Garamond"/>
          <w:iCs/>
          <w:sz w:val="20"/>
          <w:szCs w:val="20"/>
          <w:lang w:val="en-GB"/>
        </w:rPr>
      </w:pPr>
      <w:r w:rsidRPr="00D441C5">
        <w:rPr>
          <w:rFonts w:ascii="Garamond" w:hAnsi="Garamond"/>
          <w:iCs/>
          <w:sz w:val="20"/>
          <w:szCs w:val="20"/>
          <w:lang w:val="en-GB"/>
        </w:rPr>
        <w:t xml:space="preserve">The present findings reveal no significant acute impairment in attention or short-term memory performance under steady-state or intermittent noise exposure at 70 dB(A), relative to quiet. The differences between the initial unadjusted descriptives, which supported the facilitation effect under noise, and the final covariate-adjusted linear mixed-effects models, which supported the equivalence, are mainly attributable to the high collinearity between the experimental condition and reported </w:t>
      </w:r>
      <w:proofErr w:type="spellStart"/>
      <w:r w:rsidRPr="00D441C5">
        <w:rPr>
          <w:rFonts w:ascii="Garamond" w:hAnsi="Garamond"/>
          <w:iCs/>
          <w:sz w:val="20"/>
          <w:szCs w:val="20"/>
          <w:lang w:val="en-GB"/>
        </w:rPr>
        <w:t>LAeq</w:t>
      </w:r>
      <w:proofErr w:type="spellEnd"/>
      <w:r w:rsidRPr="00D441C5">
        <w:rPr>
          <w:rFonts w:ascii="Garamond" w:hAnsi="Garamond"/>
          <w:iCs/>
          <w:sz w:val="20"/>
          <w:szCs w:val="20"/>
          <w:lang w:val="en-GB"/>
        </w:rPr>
        <w:t xml:space="preserve">. With the addition of </w:t>
      </w:r>
      <w:proofErr w:type="spellStart"/>
      <w:r w:rsidRPr="00D441C5">
        <w:rPr>
          <w:rFonts w:ascii="Garamond" w:hAnsi="Garamond"/>
          <w:iCs/>
          <w:sz w:val="20"/>
          <w:szCs w:val="20"/>
          <w:lang w:val="en-GB"/>
        </w:rPr>
        <w:t>LAeq</w:t>
      </w:r>
      <w:proofErr w:type="spellEnd"/>
      <w:r w:rsidRPr="00D441C5">
        <w:rPr>
          <w:rFonts w:ascii="Garamond" w:hAnsi="Garamond"/>
          <w:iCs/>
          <w:sz w:val="20"/>
          <w:szCs w:val="20"/>
          <w:lang w:val="en-GB"/>
        </w:rPr>
        <w:t xml:space="preserve">, the models became singular and inflated with respect to the condition coefficient as the quiet (around 35 dB (A)) and the noisy (around 70–71 dB (A)) conditions were nearly perfectly separated. The exclusion of </w:t>
      </w:r>
      <w:proofErr w:type="spellStart"/>
      <w:r w:rsidRPr="00D441C5">
        <w:rPr>
          <w:rFonts w:ascii="Garamond" w:hAnsi="Garamond"/>
          <w:iCs/>
          <w:sz w:val="20"/>
          <w:szCs w:val="20"/>
          <w:lang w:val="en-GB"/>
        </w:rPr>
        <w:t>LAeq</w:t>
      </w:r>
      <w:proofErr w:type="spellEnd"/>
      <w:r w:rsidRPr="00D441C5">
        <w:rPr>
          <w:rFonts w:ascii="Garamond" w:hAnsi="Garamond"/>
          <w:iCs/>
          <w:sz w:val="20"/>
          <w:szCs w:val="20"/>
          <w:lang w:val="en-GB"/>
        </w:rPr>
        <w:t xml:space="preserve"> restored estimation stability and minimized the apparent facilitation of statistical non-significance. The trend supports an arousal explanation: moderate noise can enhance vigilance in simple vigilance tasks by promoting physiological activation², but after accounting for factors such as exposure and individual </w:t>
      </w:r>
      <w:r w:rsidRPr="00D441C5">
        <w:rPr>
          <w:rFonts w:ascii="Garamond" w:hAnsi="Garamond"/>
          <w:iCs/>
          <w:sz w:val="20"/>
          <w:szCs w:val="20"/>
          <w:lang w:val="en-GB"/>
        </w:rPr>
        <w:lastRenderedPageBreak/>
        <w:t>characteristics like stress, this does not have a net negative impact.</w:t>
      </w:r>
    </w:p>
    <w:p w14:paraId="5B811DA7" w14:textId="4F0086D9" w:rsidR="00D441C5" w:rsidRPr="00D441C5" w:rsidRDefault="00D441C5" w:rsidP="00D441C5">
      <w:pPr>
        <w:spacing w:line="259" w:lineRule="auto"/>
        <w:jc w:val="both"/>
        <w:rPr>
          <w:rFonts w:ascii="Garamond" w:hAnsi="Garamond"/>
          <w:iCs/>
          <w:sz w:val="20"/>
          <w:szCs w:val="20"/>
          <w:lang w:val="en-GB"/>
        </w:rPr>
      </w:pPr>
      <w:r w:rsidRPr="00D441C5">
        <w:rPr>
          <w:rFonts w:ascii="Garamond" w:hAnsi="Garamond"/>
          <w:iCs/>
          <w:sz w:val="20"/>
          <w:szCs w:val="20"/>
          <w:lang w:val="en-GB"/>
        </w:rPr>
        <w:t>The lack of a substantial deficit in attention performance, as reflected by the LCT overall accuracy (hits - false alarms), in either steady-state or intermittent noise conditions compared to quiet conditions contrasts with much of the international literature, which suggests that noise is detrimental to focused cognitive activity. Much research has documented a decline in attentional capacity in the presence of background noise due to one or more of the following mechanisms: involuntary attentional capture or high cognitive load¹</w:t>
      </w:r>
      <w:r w:rsidRPr="00D441C5">
        <w:rPr>
          <w:rFonts w:ascii="Cambria Math" w:hAnsi="Cambria Math" w:cs="Cambria Math"/>
          <w:iCs/>
          <w:sz w:val="20"/>
          <w:szCs w:val="20"/>
          <w:lang w:val="en-GB"/>
        </w:rPr>
        <w:t>⁸˒</w:t>
      </w:r>
      <w:r w:rsidRPr="00D441C5">
        <w:rPr>
          <w:rFonts w:ascii="Garamond" w:hAnsi="Garamond" w:cs="Garamond"/>
          <w:iCs/>
          <w:sz w:val="20"/>
          <w:szCs w:val="20"/>
          <w:lang w:val="en-GB"/>
        </w:rPr>
        <w:t>¹</w:t>
      </w:r>
      <w:r w:rsidRPr="00D441C5">
        <w:rPr>
          <w:rFonts w:ascii="Cambria Math" w:hAnsi="Cambria Math" w:cs="Cambria Math"/>
          <w:iCs/>
          <w:sz w:val="20"/>
          <w:szCs w:val="20"/>
          <w:lang w:val="en-GB"/>
        </w:rPr>
        <w:t>⁹</w:t>
      </w:r>
      <w:r w:rsidRPr="00D441C5">
        <w:rPr>
          <w:rFonts w:ascii="Garamond" w:hAnsi="Garamond"/>
          <w:iCs/>
          <w:sz w:val="20"/>
          <w:szCs w:val="20"/>
          <w:lang w:val="en-GB"/>
        </w:rPr>
        <w:t>. As an example, experimental studies that have used intermittent traffic noise have often reported increased distraction and poorer sustained attention, especially when the acoustic profile is unpredictable²</w:t>
      </w:r>
      <w:r w:rsidRPr="00D441C5">
        <w:rPr>
          <w:rFonts w:ascii="Cambria Math" w:hAnsi="Cambria Math" w:cs="Cambria Math"/>
          <w:iCs/>
          <w:sz w:val="20"/>
          <w:szCs w:val="20"/>
          <w:lang w:val="en-GB"/>
        </w:rPr>
        <w:t>⁰</w:t>
      </w:r>
      <w:r w:rsidRPr="00D441C5">
        <w:rPr>
          <w:rFonts w:ascii="Garamond" w:hAnsi="Garamond"/>
          <w:iCs/>
          <w:sz w:val="20"/>
          <w:szCs w:val="20"/>
          <w:lang w:val="en-GB"/>
        </w:rPr>
        <w:t>. On the same note, consistent mechanical sounds, such as the generator hum in this case, have also been associated with marginal impairments in selective attention tasks</w:t>
      </w:r>
      <w:r w:rsidRPr="00D441C5">
        <w:rPr>
          <w:rFonts w:ascii="Garamond" w:hAnsi="Garamond" w:cs="Garamond"/>
          <w:iCs/>
          <w:sz w:val="20"/>
          <w:szCs w:val="20"/>
          <w:lang w:val="en-GB"/>
        </w:rPr>
        <w:t>²¹</w:t>
      </w:r>
      <w:r w:rsidRPr="00D441C5">
        <w:rPr>
          <w:rFonts w:ascii="Garamond" w:hAnsi="Garamond"/>
          <w:iCs/>
          <w:sz w:val="20"/>
          <w:szCs w:val="20"/>
          <w:lang w:val="en-GB"/>
        </w:rPr>
        <w:t>. However, in the current study, the numerical correlation indicated slightly better performance of attentional processes under noise conditions. Still, these differences were not significant after the introduction of covariates, including the measured sound level (</w:t>
      </w:r>
      <w:proofErr w:type="spellStart"/>
      <w:r w:rsidRPr="00D441C5">
        <w:rPr>
          <w:rFonts w:ascii="Garamond" w:hAnsi="Garamond"/>
          <w:iCs/>
          <w:sz w:val="20"/>
          <w:szCs w:val="20"/>
          <w:lang w:val="en-GB"/>
        </w:rPr>
        <w:t>LAeq</w:t>
      </w:r>
      <w:proofErr w:type="spellEnd"/>
      <w:r w:rsidRPr="00D441C5">
        <w:rPr>
          <w:rFonts w:ascii="Garamond" w:hAnsi="Garamond"/>
          <w:iCs/>
          <w:sz w:val="20"/>
          <w:szCs w:val="20"/>
          <w:lang w:val="en-GB"/>
        </w:rPr>
        <w:t>), stress, and noise sensitivity.</w:t>
      </w:r>
    </w:p>
    <w:p w14:paraId="0D5C67D9" w14:textId="6242136A" w:rsidR="00D441C5" w:rsidRPr="00D441C5" w:rsidRDefault="00D441C5" w:rsidP="00D441C5">
      <w:pPr>
        <w:spacing w:line="259" w:lineRule="auto"/>
        <w:jc w:val="both"/>
        <w:rPr>
          <w:rFonts w:ascii="Garamond" w:hAnsi="Garamond"/>
          <w:iCs/>
          <w:sz w:val="20"/>
          <w:szCs w:val="20"/>
          <w:lang w:val="en-GB"/>
        </w:rPr>
      </w:pPr>
      <w:r w:rsidRPr="00D441C5">
        <w:rPr>
          <w:rFonts w:ascii="Garamond" w:hAnsi="Garamond"/>
          <w:iCs/>
          <w:sz w:val="20"/>
          <w:szCs w:val="20"/>
          <w:lang w:val="en-GB"/>
        </w:rPr>
        <w:t>This counterintuitive trend can be evidence of moderate arousal facilitation, which is based on the Yerkes-Dodson law, according to which medium levels of environmental stimulation should have a positive impact on the performance in relatively simple or vigilance-related tasks such as LCT²²</w:t>
      </w:r>
      <w:r w:rsidRPr="00D441C5">
        <w:rPr>
          <w:rFonts w:ascii="Times New Roman" w:hAnsi="Times New Roman" w:cs="Times New Roman"/>
          <w:iCs/>
          <w:sz w:val="20"/>
          <w:szCs w:val="20"/>
          <w:lang w:val="en-GB"/>
        </w:rPr>
        <w:t>˒</w:t>
      </w:r>
      <w:r w:rsidRPr="00D441C5">
        <w:rPr>
          <w:rFonts w:ascii="Garamond" w:hAnsi="Garamond" w:cs="Garamond"/>
          <w:iCs/>
          <w:sz w:val="20"/>
          <w:szCs w:val="20"/>
          <w:lang w:val="en-GB"/>
        </w:rPr>
        <w:t>²</w:t>
      </w:r>
      <w:r w:rsidRPr="00D441C5">
        <w:rPr>
          <w:rFonts w:ascii="Garamond" w:hAnsi="Garamond"/>
          <w:iCs/>
          <w:sz w:val="20"/>
          <w:szCs w:val="20"/>
          <w:lang w:val="en-GB"/>
        </w:rPr>
        <w:t>. The exposure to 70 dB(A), though higher than regulatory ideals, may have been within an optimal arousal range for this group of participants, who are mostly young adults accustomed to high levels of ambient noise in urban and campus life in Nigeria¹². This habituation may reduce disruptive effects, as suggested by individual-difference studies indicating noise sensitivity as a factor in susceptibility¹</w:t>
      </w:r>
      <w:r w:rsidRPr="00D441C5">
        <w:rPr>
          <w:rFonts w:ascii="Cambria Math" w:hAnsi="Cambria Math" w:cs="Cambria Math"/>
          <w:iCs/>
          <w:sz w:val="20"/>
          <w:szCs w:val="20"/>
          <w:lang w:val="en-GB"/>
        </w:rPr>
        <w:t>⁷</w:t>
      </w:r>
      <w:r w:rsidRPr="00D441C5">
        <w:rPr>
          <w:rFonts w:ascii="Garamond" w:hAnsi="Garamond"/>
          <w:iCs/>
          <w:sz w:val="20"/>
          <w:szCs w:val="20"/>
          <w:lang w:val="en-GB"/>
        </w:rPr>
        <w:t>. Evidence from African and other low- and middle-income contexts indicates that chronic exposure to environmental noise does not always translate into clear deficits on simple attention tasks, possibly due to habituation and the relative simplicity of the tasks used¹²</w:t>
      </w:r>
      <w:r w:rsidRPr="00D441C5">
        <w:rPr>
          <w:rFonts w:ascii="Times New Roman" w:hAnsi="Times New Roman" w:cs="Times New Roman"/>
          <w:iCs/>
          <w:sz w:val="20"/>
          <w:szCs w:val="20"/>
          <w:lang w:val="en-GB"/>
        </w:rPr>
        <w:t>˒</w:t>
      </w:r>
      <w:r w:rsidRPr="00D441C5">
        <w:rPr>
          <w:rFonts w:ascii="Garamond" w:hAnsi="Garamond" w:cs="Garamond"/>
          <w:iCs/>
          <w:sz w:val="20"/>
          <w:szCs w:val="20"/>
          <w:lang w:val="en-GB"/>
        </w:rPr>
        <w:t>¹</w:t>
      </w:r>
      <w:r w:rsidRPr="00D441C5">
        <w:rPr>
          <w:rFonts w:ascii="Cambria Math" w:hAnsi="Cambria Math" w:cs="Cambria Math"/>
          <w:iCs/>
          <w:sz w:val="20"/>
          <w:szCs w:val="20"/>
          <w:lang w:val="en-GB"/>
        </w:rPr>
        <w:t>⁶</w:t>
      </w:r>
      <w:r w:rsidRPr="00D441C5">
        <w:rPr>
          <w:rFonts w:ascii="Garamond" w:hAnsi="Garamond"/>
          <w:iCs/>
          <w:sz w:val="20"/>
          <w:szCs w:val="20"/>
          <w:lang w:val="en-GB"/>
        </w:rPr>
        <w:t>. These results are consistent with international meta-analyses that focus on impairment</w:t>
      </w:r>
      <w:r w:rsidRPr="00D441C5">
        <w:rPr>
          <w:rFonts w:ascii="Cambria Math" w:hAnsi="Cambria Math" w:cs="Cambria Math"/>
          <w:iCs/>
          <w:sz w:val="20"/>
          <w:szCs w:val="20"/>
          <w:lang w:val="en-GB"/>
        </w:rPr>
        <w:t>⁶</w:t>
      </w:r>
      <w:r w:rsidRPr="00D441C5">
        <w:rPr>
          <w:rFonts w:ascii="Garamond" w:hAnsi="Garamond"/>
          <w:iCs/>
          <w:sz w:val="20"/>
          <w:szCs w:val="20"/>
          <w:lang w:val="en-GB"/>
        </w:rPr>
        <w:t xml:space="preserve"> and highlight the effects of ecological validity and chronic acclimatisation as modulating influences. In fact, increased self-reported noise sensitivity was a positive predictor of attentional accuracy in the models, </w:t>
      </w:r>
      <w:r w:rsidRPr="00D441C5">
        <w:rPr>
          <w:rFonts w:ascii="Garamond" w:hAnsi="Garamond"/>
          <w:iCs/>
          <w:sz w:val="20"/>
          <w:szCs w:val="20"/>
          <w:lang w:val="en-GB"/>
        </w:rPr>
        <w:t>indicating that more sensitive people made greater compensatory effort or exhibited increased vigilance in noisy situations.</w:t>
      </w:r>
    </w:p>
    <w:p w14:paraId="6832CC22" w14:textId="1BEFA885" w:rsidR="00D441C5" w:rsidRPr="00D441C5" w:rsidRDefault="00D441C5" w:rsidP="00D441C5">
      <w:pPr>
        <w:spacing w:line="259" w:lineRule="auto"/>
        <w:jc w:val="both"/>
        <w:rPr>
          <w:rFonts w:ascii="Garamond" w:hAnsi="Garamond"/>
          <w:iCs/>
          <w:sz w:val="20"/>
          <w:szCs w:val="20"/>
          <w:lang w:val="en-GB"/>
        </w:rPr>
      </w:pPr>
      <w:r w:rsidRPr="00D441C5">
        <w:rPr>
          <w:rFonts w:ascii="Garamond" w:hAnsi="Garamond"/>
          <w:iCs/>
          <w:sz w:val="20"/>
          <w:szCs w:val="20"/>
          <w:lang w:val="en-GB"/>
        </w:rPr>
        <w:t>The strongest predictor was stress, which showed a negative correlation with both outcome measures. This is consistent with physiological theories that the release of noise-induced cortisol increases cognitive strain</w:t>
      </w:r>
      <w:r w:rsidRPr="00D441C5">
        <w:rPr>
          <w:rFonts w:ascii="Cambria Math" w:hAnsi="Cambria Math" w:cs="Cambria Math"/>
          <w:iCs/>
          <w:sz w:val="20"/>
          <w:szCs w:val="20"/>
          <w:lang w:val="en-GB"/>
        </w:rPr>
        <w:t>⁴˒⁵</w:t>
      </w:r>
      <w:r w:rsidRPr="00D441C5">
        <w:rPr>
          <w:rFonts w:ascii="Garamond" w:hAnsi="Garamond"/>
          <w:iCs/>
          <w:sz w:val="20"/>
          <w:szCs w:val="20"/>
          <w:lang w:val="en-GB"/>
        </w:rPr>
        <w:t>, but in this case, the so-called noise effect was negligible; it was perceived stress, not the acoustic exposure itself, that led to variability. Multifaceted stressors, such as infrastructural difficulties that contribute to chronic noise¹</w:t>
      </w:r>
      <w:r w:rsidRPr="00D441C5">
        <w:rPr>
          <w:rFonts w:ascii="Cambria Math" w:hAnsi="Cambria Math" w:cs="Cambria Math"/>
          <w:iCs/>
          <w:sz w:val="20"/>
          <w:szCs w:val="20"/>
          <w:lang w:val="en-GB"/>
        </w:rPr>
        <w:t>⁶</w:t>
      </w:r>
      <w:r w:rsidRPr="00D441C5">
        <w:rPr>
          <w:rFonts w:ascii="Garamond" w:hAnsi="Garamond"/>
          <w:iCs/>
          <w:sz w:val="20"/>
          <w:szCs w:val="20"/>
          <w:lang w:val="en-GB"/>
        </w:rPr>
        <w:t>, may desensitise acute responses to controlled environmental stimuli among Nigerian students, who often face a variety of stressors. Such a correlation implies that stress-reduction interventions may yield significant cognitive benefits, potentially increasing attentional accuracy by up to 9.46 units across the stress range of interest.</w:t>
      </w:r>
    </w:p>
    <w:p w14:paraId="373400CF" w14:textId="77777777" w:rsidR="00D441C5" w:rsidRDefault="00D441C5" w:rsidP="00D441C5">
      <w:pPr>
        <w:spacing w:line="259" w:lineRule="auto"/>
        <w:jc w:val="both"/>
        <w:rPr>
          <w:rFonts w:ascii="Garamond" w:hAnsi="Garamond"/>
          <w:iCs/>
          <w:sz w:val="20"/>
          <w:szCs w:val="20"/>
          <w:lang w:val="en-GB"/>
        </w:rPr>
      </w:pPr>
      <w:r w:rsidRPr="00D441C5">
        <w:rPr>
          <w:rFonts w:ascii="Garamond" w:hAnsi="Garamond"/>
          <w:iCs/>
          <w:sz w:val="20"/>
          <w:szCs w:val="20"/>
          <w:lang w:val="en-GB"/>
        </w:rPr>
        <w:t>In the context of short-term memory, the non-significance of condition effects is consistent with findings from studies of simple immediate retrieval (simple recall), where the effect of noise interference is less pronounced than in complex WM manipulations involving active rehearsal or updating¹</w:t>
      </w:r>
      <w:r w:rsidRPr="00D441C5">
        <w:rPr>
          <w:rFonts w:ascii="Times New Roman" w:hAnsi="Times New Roman" w:cs="Times New Roman"/>
          <w:iCs/>
          <w:sz w:val="20"/>
          <w:szCs w:val="20"/>
          <w:lang w:val="en-GB"/>
        </w:rPr>
        <w:t>˒⁷</w:t>
      </w:r>
      <w:r w:rsidRPr="00D441C5">
        <w:rPr>
          <w:rFonts w:ascii="Garamond" w:hAnsi="Garamond"/>
          <w:iCs/>
          <w:sz w:val="20"/>
          <w:szCs w:val="20"/>
          <w:lang w:val="en-GB"/>
        </w:rPr>
        <w:t>. The immediate free recall paradigm used in this case relies mostly on passive storage and retrieval, which are relatively immune to the effects of unrelated sounds compared to phonologically sensitive processes²³. This domain-based strength provides theoretical differences in memory systems, in which simple short-term buffers resist moderate distraction more than working executive components².</w:t>
      </w:r>
    </w:p>
    <w:p w14:paraId="610FDC7D" w14:textId="77777777" w:rsidR="00D441C5" w:rsidRDefault="00D441C5" w:rsidP="00D441C5">
      <w:pPr>
        <w:spacing w:line="259" w:lineRule="auto"/>
        <w:jc w:val="both"/>
        <w:rPr>
          <w:rFonts w:ascii="Garamond" w:hAnsi="Garamond"/>
          <w:iCs/>
          <w:sz w:val="20"/>
          <w:szCs w:val="20"/>
          <w:lang w:val="en-GB"/>
        </w:rPr>
      </w:pPr>
      <w:r w:rsidRPr="00D441C5">
        <w:rPr>
          <w:rFonts w:ascii="Garamond" w:hAnsi="Garamond"/>
          <w:iCs/>
          <w:sz w:val="20"/>
          <w:szCs w:val="20"/>
          <w:lang w:val="en-GB"/>
        </w:rPr>
        <w:t>The insignificant difference in steady-state and intermittent noise challenges assumptions of greater disruption from unpredictable sources²</w:t>
      </w:r>
      <w:r w:rsidRPr="00D441C5">
        <w:rPr>
          <w:rFonts w:ascii="Cambria Math" w:hAnsi="Cambria Math" w:cs="Cambria Math"/>
          <w:iCs/>
          <w:sz w:val="20"/>
          <w:szCs w:val="20"/>
          <w:lang w:val="en-GB"/>
        </w:rPr>
        <w:t>⁰</w:t>
      </w:r>
      <w:r w:rsidRPr="00D441C5">
        <w:rPr>
          <w:rFonts w:ascii="Garamond" w:hAnsi="Garamond"/>
          <w:iCs/>
          <w:sz w:val="20"/>
          <w:szCs w:val="20"/>
          <w:lang w:val="en-GB"/>
        </w:rPr>
        <w:t>. The stimuli were ecologically valid, reflecting everyday generators and traffic sounds, which could have facilitated adaptation and reduced their relevance. In addition, order effects were well controlled by the within-subject design, reinforced by counterbalancing and washout time, leaving no doubt that the null results were indicative of true equivalence rather than methodological artefact.</w:t>
      </w:r>
    </w:p>
    <w:p w14:paraId="06E0309F" w14:textId="28EB68AE" w:rsidR="00D441C5" w:rsidRPr="00D441C5" w:rsidRDefault="00D441C5" w:rsidP="00D441C5">
      <w:pPr>
        <w:spacing w:line="259" w:lineRule="auto"/>
        <w:jc w:val="both"/>
        <w:rPr>
          <w:rFonts w:ascii="Garamond" w:hAnsi="Garamond"/>
          <w:iCs/>
          <w:sz w:val="20"/>
          <w:szCs w:val="20"/>
          <w:lang w:val="en-GB"/>
        </w:rPr>
      </w:pPr>
      <w:r w:rsidRPr="00D441C5">
        <w:rPr>
          <w:rFonts w:ascii="Garamond" w:hAnsi="Garamond"/>
          <w:iCs/>
          <w:sz w:val="20"/>
          <w:szCs w:val="20"/>
          <w:lang w:val="en-GB"/>
        </w:rPr>
        <w:t xml:space="preserve">The inclusion of covariates, especially session-specific </w:t>
      </w:r>
      <w:proofErr w:type="spellStart"/>
      <w:r w:rsidRPr="00D441C5">
        <w:rPr>
          <w:rFonts w:ascii="Garamond" w:hAnsi="Garamond"/>
          <w:iCs/>
          <w:sz w:val="20"/>
          <w:szCs w:val="20"/>
          <w:lang w:val="en-GB"/>
        </w:rPr>
        <w:t>LAeq</w:t>
      </w:r>
      <w:proofErr w:type="spellEnd"/>
      <w:r w:rsidRPr="00D441C5">
        <w:rPr>
          <w:rFonts w:ascii="Garamond" w:hAnsi="Garamond"/>
          <w:iCs/>
          <w:sz w:val="20"/>
          <w:szCs w:val="20"/>
          <w:lang w:val="en-GB"/>
        </w:rPr>
        <w:t>, was essential, as unadjusted descriptives suggested some evidence of facilitation that dissipated upon modelling. This highlights the usefulness of linear mixed-effects models in repeated-measures designs with nested variables²</w:t>
      </w:r>
      <w:r w:rsidRPr="00D441C5">
        <w:rPr>
          <w:rFonts w:ascii="Cambria Math" w:hAnsi="Cambria Math" w:cs="Cambria Math"/>
          <w:iCs/>
          <w:sz w:val="20"/>
          <w:szCs w:val="20"/>
          <w:lang w:val="en-GB"/>
        </w:rPr>
        <w:t>⁴</w:t>
      </w:r>
      <w:r w:rsidRPr="00D441C5">
        <w:rPr>
          <w:rFonts w:ascii="Garamond" w:hAnsi="Garamond"/>
          <w:iCs/>
          <w:sz w:val="20"/>
          <w:szCs w:val="20"/>
          <w:lang w:val="en-GB"/>
        </w:rPr>
        <w:t xml:space="preserve">. Small effect sizes in the </w:t>
      </w:r>
      <w:r w:rsidRPr="00D441C5">
        <w:rPr>
          <w:rFonts w:ascii="Garamond" w:hAnsi="Garamond"/>
          <w:iCs/>
          <w:sz w:val="20"/>
          <w:szCs w:val="20"/>
          <w:lang w:val="en-GB"/>
        </w:rPr>
        <w:lastRenderedPageBreak/>
        <w:t>supplementary ANOVA also confirm a limited practical impact, as meta-analytic syntheses show that task demands and exposure properties²</w:t>
      </w:r>
      <w:r w:rsidRPr="00D441C5">
        <w:rPr>
          <w:rFonts w:ascii="Cambria Math" w:hAnsi="Cambria Math" w:cs="Cambria Math"/>
          <w:iCs/>
          <w:sz w:val="20"/>
          <w:szCs w:val="20"/>
          <w:lang w:val="en-GB"/>
        </w:rPr>
        <w:t>⁵</w:t>
      </w:r>
      <w:r w:rsidRPr="00D441C5">
        <w:rPr>
          <w:rFonts w:ascii="Garamond" w:hAnsi="Garamond"/>
          <w:iCs/>
          <w:sz w:val="20"/>
          <w:szCs w:val="20"/>
          <w:lang w:val="en-GB"/>
        </w:rPr>
        <w:t xml:space="preserve"> modulate the effects of variable noise. In general, these findings are part of the growing awareness that noise-cognition relationships are not necessarily harmful to all individuals, especially those who have become accustomed to living in noisy areas¹²</w:t>
      </w:r>
      <w:r w:rsidRPr="00D441C5">
        <w:rPr>
          <w:rFonts w:ascii="Times New Roman" w:hAnsi="Times New Roman" w:cs="Times New Roman"/>
          <w:iCs/>
          <w:sz w:val="20"/>
          <w:szCs w:val="20"/>
          <w:lang w:val="en-GB"/>
        </w:rPr>
        <w:t>˒</w:t>
      </w:r>
      <w:r w:rsidRPr="00D441C5">
        <w:rPr>
          <w:rFonts w:ascii="Garamond" w:hAnsi="Garamond" w:cs="Garamond"/>
          <w:iCs/>
          <w:sz w:val="20"/>
          <w:szCs w:val="20"/>
          <w:lang w:val="en-GB"/>
        </w:rPr>
        <w:t>¹</w:t>
      </w:r>
      <w:r w:rsidRPr="00D441C5">
        <w:rPr>
          <w:rFonts w:ascii="Cambria Math" w:hAnsi="Cambria Math" w:cs="Cambria Math"/>
          <w:iCs/>
          <w:sz w:val="20"/>
          <w:szCs w:val="20"/>
          <w:lang w:val="en-GB"/>
        </w:rPr>
        <w:t>⁴</w:t>
      </w:r>
      <w:r w:rsidRPr="00D441C5">
        <w:rPr>
          <w:rFonts w:ascii="Garamond" w:hAnsi="Garamond"/>
          <w:iCs/>
          <w:sz w:val="20"/>
          <w:szCs w:val="20"/>
          <w:lang w:val="en-GB"/>
        </w:rPr>
        <w:t>. They also moderate the panic-driven explanations of noise as an unambiguous public health detriment to academic achievement, while noting that personal susceptibility, including stress, warrants specific actions.</w:t>
      </w:r>
    </w:p>
    <w:p w14:paraId="3810FD72" w14:textId="77777777" w:rsidR="00D441C5" w:rsidRPr="00D441C5" w:rsidRDefault="00D441C5" w:rsidP="00D441C5">
      <w:pPr>
        <w:spacing w:line="259" w:lineRule="auto"/>
        <w:jc w:val="both"/>
        <w:rPr>
          <w:rFonts w:ascii="Garamond" w:hAnsi="Garamond"/>
          <w:b/>
          <w:iCs/>
          <w:sz w:val="20"/>
          <w:szCs w:val="20"/>
          <w:lang w:val="en-GB"/>
        </w:rPr>
      </w:pPr>
      <w:r w:rsidRPr="00D441C5">
        <w:rPr>
          <w:rFonts w:ascii="Garamond" w:hAnsi="Garamond"/>
          <w:b/>
          <w:iCs/>
          <w:sz w:val="20"/>
          <w:szCs w:val="20"/>
          <w:lang w:val="en-GB"/>
        </w:rPr>
        <w:t>Public Health and University Policy Implications</w:t>
      </w:r>
    </w:p>
    <w:p w14:paraId="7ED7BFE6" w14:textId="77777777" w:rsidR="00D441C5" w:rsidRPr="00D441C5" w:rsidRDefault="00D441C5" w:rsidP="00D441C5">
      <w:pPr>
        <w:spacing w:line="259" w:lineRule="auto"/>
        <w:jc w:val="both"/>
        <w:rPr>
          <w:rFonts w:ascii="Garamond" w:hAnsi="Garamond"/>
          <w:iCs/>
          <w:sz w:val="20"/>
          <w:szCs w:val="20"/>
          <w:lang w:val="en-GB"/>
        </w:rPr>
      </w:pPr>
      <w:r w:rsidRPr="00D441C5">
        <w:rPr>
          <w:rFonts w:ascii="Garamond" w:hAnsi="Garamond"/>
          <w:iCs/>
          <w:sz w:val="20"/>
          <w:szCs w:val="20"/>
          <w:lang w:val="en-GB"/>
        </w:rPr>
        <w:t xml:space="preserve">These findings suggest that campus environmental health strategies should consider both noise management and broader stress-related determinants of cognitive performance. Practical interventions may include developing quiet study areas, improving generator placement, and implementing institutional stress-reduction initiatives. Campus policymaking should be reoriented to prioritize stress and chronic-exposure reduction over acute noise reduction.  </w:t>
      </w:r>
    </w:p>
    <w:p w14:paraId="1B3143FA" w14:textId="77777777" w:rsidR="00D441C5" w:rsidRDefault="00D441C5" w:rsidP="00D441C5">
      <w:pPr>
        <w:spacing w:line="259" w:lineRule="auto"/>
        <w:jc w:val="both"/>
        <w:rPr>
          <w:rFonts w:ascii="Garamond" w:hAnsi="Garamond"/>
          <w:b/>
          <w:iCs/>
          <w:sz w:val="20"/>
          <w:szCs w:val="20"/>
          <w:lang w:val="en-GB"/>
        </w:rPr>
      </w:pPr>
    </w:p>
    <w:p w14:paraId="35E9D151" w14:textId="61B5EC25" w:rsidR="00D441C5" w:rsidRPr="00D441C5" w:rsidRDefault="00D441C5" w:rsidP="00D441C5">
      <w:pPr>
        <w:spacing w:line="259" w:lineRule="auto"/>
        <w:jc w:val="both"/>
        <w:rPr>
          <w:rFonts w:ascii="Garamond" w:hAnsi="Garamond"/>
          <w:b/>
          <w:iCs/>
          <w:sz w:val="20"/>
          <w:szCs w:val="20"/>
          <w:lang w:val="en-GB"/>
        </w:rPr>
      </w:pPr>
      <w:r w:rsidRPr="00D441C5">
        <w:rPr>
          <w:rFonts w:ascii="Garamond" w:hAnsi="Garamond"/>
          <w:b/>
          <w:iCs/>
          <w:sz w:val="20"/>
          <w:szCs w:val="20"/>
          <w:lang w:val="en-GB"/>
        </w:rPr>
        <w:t>Limitations</w:t>
      </w:r>
    </w:p>
    <w:p w14:paraId="660FE684" w14:textId="77777777" w:rsidR="00D441C5" w:rsidRPr="00D441C5" w:rsidRDefault="00D441C5" w:rsidP="00D441C5">
      <w:pPr>
        <w:spacing w:line="259" w:lineRule="auto"/>
        <w:jc w:val="both"/>
        <w:rPr>
          <w:rFonts w:ascii="Garamond" w:hAnsi="Garamond"/>
          <w:iCs/>
          <w:sz w:val="20"/>
          <w:szCs w:val="20"/>
          <w:lang w:val="en-GB"/>
        </w:rPr>
      </w:pPr>
      <w:r w:rsidRPr="00D441C5">
        <w:rPr>
          <w:rFonts w:ascii="Garamond" w:hAnsi="Garamond"/>
          <w:iCs/>
          <w:sz w:val="20"/>
          <w:szCs w:val="20"/>
          <w:lang w:val="en-GB"/>
        </w:rPr>
        <w:t>A few limitations should, however, be mentioned. The post hoc power to detect small memory effects (0.12) was low, increasing the risk of a Type II error when detecting small differences. Convenience sampling limits generalizability beyond motivated volunteers. The acute exposure paradigm is the opposite of chronic exposure to noise on campus, which may underestimate the cumulative effects. The experimental environment (lecture hall) may introduce uncontrolled background noise or distractions, though measures were instituted to minimize these potentials. Lastly, the tasks used focused on simple storage and vigilance; more complex forms of WM processing (e.g., n-back) might be more sensitive to noise when simple recall is strong.</w:t>
      </w:r>
    </w:p>
    <w:p w14:paraId="0B0B4AD8" w14:textId="05F60D36" w:rsidR="00D441C5" w:rsidRPr="00D441C5" w:rsidRDefault="00D441C5" w:rsidP="00D441C5">
      <w:pPr>
        <w:spacing w:line="259" w:lineRule="auto"/>
        <w:jc w:val="both"/>
        <w:rPr>
          <w:rFonts w:ascii="Garamond" w:hAnsi="Garamond"/>
          <w:iCs/>
          <w:sz w:val="20"/>
          <w:szCs w:val="20"/>
          <w:lang w:val="en-GB"/>
        </w:rPr>
      </w:pPr>
      <w:r w:rsidRPr="00D441C5">
        <w:rPr>
          <w:rFonts w:ascii="Garamond" w:hAnsi="Garamond"/>
          <w:iCs/>
          <w:sz w:val="20"/>
          <w:szCs w:val="20"/>
          <w:lang w:val="en-GB"/>
        </w:rPr>
        <w:br/>
      </w:r>
      <w:r w:rsidR="00B01D7E" w:rsidRPr="00D441C5">
        <w:rPr>
          <w:rFonts w:ascii="Garamond" w:hAnsi="Garamond"/>
          <w:b/>
          <w:bCs/>
          <w:iCs/>
          <w:sz w:val="22"/>
          <w:szCs w:val="22"/>
          <w:lang w:val="en-GB"/>
        </w:rPr>
        <w:t>CONCLUSION</w:t>
      </w:r>
    </w:p>
    <w:p w14:paraId="4B4301BB" w14:textId="77777777" w:rsidR="00D441C5" w:rsidRPr="00D441C5" w:rsidRDefault="00D441C5" w:rsidP="00D441C5">
      <w:pPr>
        <w:spacing w:line="259" w:lineRule="auto"/>
        <w:jc w:val="both"/>
        <w:rPr>
          <w:rFonts w:ascii="Garamond" w:hAnsi="Garamond"/>
          <w:iCs/>
          <w:sz w:val="20"/>
          <w:szCs w:val="20"/>
          <w:lang w:val="en-GB"/>
        </w:rPr>
      </w:pPr>
      <w:r w:rsidRPr="00D441C5">
        <w:rPr>
          <w:rFonts w:ascii="Garamond" w:hAnsi="Garamond"/>
          <w:iCs/>
          <w:sz w:val="20"/>
          <w:szCs w:val="20"/>
          <w:lang w:val="en-GB"/>
        </w:rPr>
        <w:t xml:space="preserve">This experimental study provides empirical data indicating that acute exposure to steady-state generator noise at 70 dB(A) or intermittent traffic noise at 70 dB (A) does not significantly affect the attention or short-term memory performance of Nigerian university students compared with the quiet control group. Following intensive statistical control for individual participants and session effects, no evidence was found for the hypothesized deleterious effects or for </w:t>
      </w:r>
      <w:r w:rsidRPr="00D441C5">
        <w:rPr>
          <w:rFonts w:ascii="Garamond" w:hAnsi="Garamond"/>
          <w:iCs/>
          <w:sz w:val="20"/>
          <w:szCs w:val="20"/>
          <w:lang w:val="en-GB"/>
        </w:rPr>
        <w:t>differences in disruption attributable to noise type. Rather, the results suggest either resilience or mild facilitation in attentional tasks through arousal, with personal characteristics such as stress and noise sensitivity moderating these effects. These findings highlight the multidimensionality of environmental factors on cognition and that habitual exposure in developing-world environments can produce adaptive attitudes that are not easily discernible in laboratory experiments conducted in less noisy settings.</w:t>
      </w:r>
    </w:p>
    <w:p w14:paraId="6CFEA129" w14:textId="77777777" w:rsidR="00D441C5" w:rsidRPr="00D441C5" w:rsidRDefault="00D441C5" w:rsidP="00D441C5">
      <w:pPr>
        <w:spacing w:line="259" w:lineRule="auto"/>
        <w:jc w:val="both"/>
        <w:rPr>
          <w:rFonts w:ascii="Garamond" w:hAnsi="Garamond"/>
          <w:b/>
          <w:bCs/>
          <w:iCs/>
          <w:sz w:val="20"/>
          <w:szCs w:val="20"/>
          <w:lang w:val="en-GB"/>
        </w:rPr>
      </w:pPr>
    </w:p>
    <w:p w14:paraId="12AB85D2" w14:textId="505904F5" w:rsidR="00B01D7E" w:rsidRPr="00B01D7E" w:rsidRDefault="00B01D7E" w:rsidP="00D441C5">
      <w:pPr>
        <w:spacing w:line="259" w:lineRule="auto"/>
        <w:jc w:val="both"/>
        <w:rPr>
          <w:rFonts w:ascii="Garamond" w:hAnsi="Garamond"/>
          <w:b/>
          <w:bCs/>
          <w:iCs/>
          <w:sz w:val="22"/>
          <w:szCs w:val="22"/>
          <w:lang w:val="en-GB"/>
        </w:rPr>
      </w:pPr>
      <w:r w:rsidRPr="00B01D7E">
        <w:rPr>
          <w:rFonts w:ascii="Garamond" w:hAnsi="Garamond"/>
          <w:b/>
          <w:bCs/>
          <w:iCs/>
          <w:sz w:val="22"/>
          <w:szCs w:val="22"/>
          <w:lang w:val="en-GB"/>
        </w:rPr>
        <w:t>Declarations</w:t>
      </w:r>
    </w:p>
    <w:p w14:paraId="3C6A037C" w14:textId="1BA3B843" w:rsidR="00D441C5" w:rsidRPr="00D441C5" w:rsidRDefault="00D441C5" w:rsidP="00B01D7E">
      <w:pPr>
        <w:spacing w:line="259" w:lineRule="auto"/>
        <w:rPr>
          <w:rFonts w:ascii="Garamond" w:hAnsi="Garamond"/>
          <w:iCs/>
          <w:sz w:val="20"/>
          <w:szCs w:val="20"/>
          <w:lang w:val="en-GB"/>
        </w:rPr>
      </w:pPr>
      <w:r w:rsidRPr="00B01D7E">
        <w:rPr>
          <w:rFonts w:ascii="Garamond" w:hAnsi="Garamond"/>
          <w:b/>
          <w:bCs/>
          <w:i/>
          <w:sz w:val="20"/>
          <w:szCs w:val="20"/>
          <w:lang w:val="en-GB"/>
        </w:rPr>
        <w:t>Ethical Approval</w:t>
      </w:r>
      <w:r w:rsidR="00B01D7E" w:rsidRPr="00B01D7E">
        <w:rPr>
          <w:rFonts w:ascii="Garamond" w:hAnsi="Garamond"/>
          <w:b/>
          <w:bCs/>
          <w:i/>
          <w:sz w:val="20"/>
          <w:szCs w:val="20"/>
          <w:lang w:val="en-GB"/>
        </w:rPr>
        <w:t>:</w:t>
      </w:r>
      <w:r w:rsidR="00B01D7E">
        <w:rPr>
          <w:rFonts w:ascii="Garamond" w:hAnsi="Garamond"/>
          <w:b/>
          <w:bCs/>
          <w:iCs/>
          <w:sz w:val="20"/>
          <w:szCs w:val="20"/>
          <w:lang w:val="en-GB"/>
        </w:rPr>
        <w:t xml:space="preserve"> </w:t>
      </w:r>
      <w:r w:rsidRPr="00D441C5">
        <w:rPr>
          <w:rFonts w:ascii="Garamond" w:hAnsi="Garamond"/>
          <w:iCs/>
          <w:sz w:val="20"/>
          <w:szCs w:val="20"/>
        </w:rPr>
        <w:t xml:space="preserve">Approval was granted by the Department of Health Promotion and Environmental Health Education UNILORIN; Approval number: UIL/EDU/HP&amp;EHE/REC/00/25, dated 10/12/2025. </w:t>
      </w:r>
      <w:r w:rsidRPr="00D441C5">
        <w:rPr>
          <w:rFonts w:ascii="Garamond" w:hAnsi="Garamond"/>
          <w:iCs/>
          <w:sz w:val="20"/>
          <w:szCs w:val="20"/>
          <w:lang w:val="en-GB"/>
        </w:rPr>
        <w:t>Every participant gave written informed permission to participate.</w:t>
      </w:r>
      <w:r w:rsidRPr="00D441C5">
        <w:rPr>
          <w:rFonts w:ascii="Garamond" w:hAnsi="Garamond"/>
          <w:iCs/>
          <w:sz w:val="20"/>
          <w:szCs w:val="20"/>
          <w:lang w:val="en-GB"/>
        </w:rPr>
        <w:br/>
      </w:r>
      <w:r w:rsidRPr="00B01D7E">
        <w:rPr>
          <w:rFonts w:ascii="Garamond" w:hAnsi="Garamond"/>
          <w:b/>
          <w:bCs/>
          <w:i/>
          <w:sz w:val="20"/>
          <w:szCs w:val="20"/>
          <w:lang w:val="en-GB"/>
        </w:rPr>
        <w:t>Conflict of Interest</w:t>
      </w:r>
      <w:r w:rsidR="00B01D7E" w:rsidRPr="00B01D7E">
        <w:rPr>
          <w:rFonts w:ascii="Garamond" w:hAnsi="Garamond"/>
          <w:b/>
          <w:bCs/>
          <w:i/>
          <w:sz w:val="20"/>
          <w:szCs w:val="20"/>
          <w:lang w:val="en-GB"/>
        </w:rPr>
        <w:t xml:space="preserve">: </w:t>
      </w:r>
      <w:r w:rsidRPr="00D441C5">
        <w:rPr>
          <w:rFonts w:ascii="Garamond" w:hAnsi="Garamond"/>
          <w:iCs/>
          <w:sz w:val="20"/>
          <w:szCs w:val="20"/>
          <w:lang w:val="en-GB"/>
        </w:rPr>
        <w:t>The authors declare no conflict of interest.</w:t>
      </w:r>
    </w:p>
    <w:p w14:paraId="0D420B18" w14:textId="1EF4E3B2" w:rsidR="00D441C5" w:rsidRPr="00D441C5" w:rsidRDefault="00D441C5" w:rsidP="00D441C5">
      <w:pPr>
        <w:spacing w:line="259" w:lineRule="auto"/>
        <w:jc w:val="both"/>
        <w:rPr>
          <w:rFonts w:ascii="Garamond" w:hAnsi="Garamond"/>
          <w:iCs/>
          <w:sz w:val="20"/>
          <w:szCs w:val="20"/>
          <w:lang w:val="en-GB"/>
        </w:rPr>
      </w:pPr>
      <w:r w:rsidRPr="00B01D7E">
        <w:rPr>
          <w:rFonts w:ascii="Garamond" w:hAnsi="Garamond"/>
          <w:b/>
          <w:bCs/>
          <w:i/>
          <w:sz w:val="20"/>
          <w:szCs w:val="20"/>
          <w:lang w:val="en-GB"/>
        </w:rPr>
        <w:t>Use of Artificial Intelligence (AI) Tools</w:t>
      </w:r>
      <w:r w:rsidR="00B01D7E" w:rsidRPr="00B01D7E">
        <w:rPr>
          <w:rFonts w:ascii="Garamond" w:hAnsi="Garamond"/>
          <w:b/>
          <w:bCs/>
          <w:i/>
          <w:sz w:val="20"/>
          <w:szCs w:val="20"/>
          <w:lang w:val="en-GB"/>
        </w:rPr>
        <w:t>:</w:t>
      </w:r>
      <w:r w:rsidR="00B01D7E">
        <w:rPr>
          <w:rFonts w:ascii="Garamond" w:hAnsi="Garamond"/>
          <w:b/>
          <w:bCs/>
          <w:iCs/>
          <w:sz w:val="20"/>
          <w:szCs w:val="20"/>
          <w:lang w:val="en-GB"/>
        </w:rPr>
        <w:t xml:space="preserve"> </w:t>
      </w:r>
      <w:r w:rsidRPr="00D441C5">
        <w:rPr>
          <w:rFonts w:ascii="Garamond" w:hAnsi="Garamond"/>
          <w:iCs/>
          <w:sz w:val="20"/>
          <w:szCs w:val="20"/>
          <w:lang w:val="en-GB"/>
        </w:rPr>
        <w:t>The authors disclose that artificial intelligence (AI) tools were used in the development of the manuscript, including aspects of concept development, manuscript editing, and grammatical correction. All outputs generated with the assistance of AI tools were critically reviewed, verified, and edited by the authors. The authors take full responsibility for the content of the manuscript, including all parts produced with the assistance of AI tools, and are accountable for ensuring compliance with publication ethics.</w:t>
      </w:r>
    </w:p>
    <w:p w14:paraId="39B04580" w14:textId="77777777" w:rsidR="00D441C5" w:rsidRPr="00D441C5" w:rsidRDefault="00D441C5" w:rsidP="00D441C5">
      <w:pPr>
        <w:spacing w:line="259" w:lineRule="auto"/>
        <w:jc w:val="both"/>
        <w:rPr>
          <w:rFonts w:ascii="Garamond" w:hAnsi="Garamond"/>
          <w:b/>
          <w:bCs/>
          <w:iCs/>
          <w:sz w:val="20"/>
          <w:szCs w:val="20"/>
          <w:lang w:val="en-GB"/>
        </w:rPr>
      </w:pPr>
    </w:p>
    <w:p w14:paraId="5F02E079" w14:textId="476EF265" w:rsidR="00D441C5" w:rsidRPr="00D441C5" w:rsidRDefault="00B01D7E" w:rsidP="00D441C5">
      <w:pPr>
        <w:spacing w:line="259" w:lineRule="auto"/>
        <w:jc w:val="both"/>
        <w:rPr>
          <w:rFonts w:ascii="Garamond" w:hAnsi="Garamond"/>
          <w:b/>
          <w:bCs/>
          <w:iCs/>
          <w:sz w:val="22"/>
          <w:szCs w:val="22"/>
          <w:lang w:val="en-GB"/>
        </w:rPr>
      </w:pPr>
      <w:r w:rsidRPr="00D441C5">
        <w:rPr>
          <w:rFonts w:ascii="Garamond" w:hAnsi="Garamond"/>
          <w:b/>
          <w:bCs/>
          <w:iCs/>
          <w:sz w:val="22"/>
          <w:szCs w:val="22"/>
          <w:lang w:val="en-GB"/>
        </w:rPr>
        <w:t>REFERENCES</w:t>
      </w:r>
    </w:p>
    <w:p w14:paraId="0C6A6D68" w14:textId="7FD277AB" w:rsidR="00D441C5" w:rsidRPr="00B01D7E" w:rsidRDefault="00D441C5" w:rsidP="00B01D7E">
      <w:pPr>
        <w:numPr>
          <w:ilvl w:val="0"/>
          <w:numId w:val="26"/>
        </w:numPr>
        <w:ind w:left="283" w:hanging="357"/>
        <w:rPr>
          <w:rFonts w:ascii="Garamond" w:hAnsi="Garamond"/>
          <w:sz w:val="20"/>
          <w:szCs w:val="20"/>
        </w:rPr>
      </w:pPr>
      <w:proofErr w:type="spellStart"/>
      <w:r w:rsidRPr="00B01D7E">
        <w:rPr>
          <w:rFonts w:ascii="Garamond" w:hAnsi="Garamond"/>
          <w:sz w:val="20"/>
          <w:szCs w:val="20"/>
          <w:lang w:val="en-GB"/>
        </w:rPr>
        <w:t>Souliby</w:t>
      </w:r>
      <w:proofErr w:type="spellEnd"/>
      <w:r w:rsidRPr="00B01D7E">
        <w:rPr>
          <w:rFonts w:ascii="Garamond" w:hAnsi="Garamond"/>
          <w:sz w:val="20"/>
          <w:szCs w:val="20"/>
          <w:lang w:val="en-GB"/>
        </w:rPr>
        <w:t xml:space="preserve"> A, </w:t>
      </w:r>
      <w:proofErr w:type="spellStart"/>
      <w:r w:rsidRPr="00B01D7E">
        <w:rPr>
          <w:rFonts w:ascii="Garamond" w:hAnsi="Garamond"/>
          <w:sz w:val="20"/>
          <w:szCs w:val="20"/>
          <w:lang w:val="en-GB"/>
        </w:rPr>
        <w:t>Mahammedi</w:t>
      </w:r>
      <w:proofErr w:type="spellEnd"/>
      <w:r w:rsidRPr="00B01D7E">
        <w:rPr>
          <w:rFonts w:ascii="Garamond" w:hAnsi="Garamond"/>
          <w:sz w:val="20"/>
          <w:szCs w:val="20"/>
          <w:lang w:val="en-GB"/>
        </w:rPr>
        <w:t xml:space="preserve"> F. Baddeley and Hitch's Multi-Component Model of Working Memory analytical study. Al-Siraj Mag </w:t>
      </w:r>
      <w:proofErr w:type="spellStart"/>
      <w:r w:rsidRPr="00B01D7E">
        <w:rPr>
          <w:rFonts w:ascii="Garamond" w:hAnsi="Garamond"/>
          <w:sz w:val="20"/>
          <w:szCs w:val="20"/>
          <w:lang w:val="en-GB"/>
        </w:rPr>
        <w:t>Educ</w:t>
      </w:r>
      <w:proofErr w:type="spellEnd"/>
      <w:r w:rsidRPr="00B01D7E">
        <w:rPr>
          <w:rFonts w:ascii="Garamond" w:hAnsi="Garamond"/>
          <w:sz w:val="20"/>
          <w:szCs w:val="20"/>
          <w:lang w:val="en-GB"/>
        </w:rPr>
        <w:t xml:space="preserve"> Community Issues. 2024 Jun 12;8(2):19-32.</w:t>
      </w:r>
      <w:r w:rsidRPr="00B01D7E">
        <w:rPr>
          <w:rFonts w:ascii="Garamond" w:hAnsi="Garamond"/>
          <w:sz w:val="20"/>
          <w:szCs w:val="20"/>
        </w:rPr>
        <w:t xml:space="preserve"> </w:t>
      </w:r>
      <w:hyperlink r:id="rId32" w:history="1">
        <w:r w:rsidRPr="00B01D7E">
          <w:rPr>
            <w:rStyle w:val="Hyperlink"/>
            <w:rFonts w:ascii="Garamond" w:hAnsi="Garamond"/>
            <w:sz w:val="20"/>
            <w:szCs w:val="20"/>
          </w:rPr>
          <w:t>https://asjp.cerist.dz/index.php/en/article/246370</w:t>
        </w:r>
      </w:hyperlink>
    </w:p>
    <w:p w14:paraId="69F3F463" w14:textId="5E88B195" w:rsidR="00D441C5" w:rsidRPr="00B01D7E" w:rsidRDefault="00D441C5" w:rsidP="00B01D7E">
      <w:pPr>
        <w:numPr>
          <w:ilvl w:val="0"/>
          <w:numId w:val="26"/>
        </w:numPr>
        <w:ind w:left="283" w:hanging="357"/>
        <w:rPr>
          <w:rFonts w:ascii="Garamond" w:hAnsi="Garamond"/>
          <w:sz w:val="20"/>
          <w:szCs w:val="20"/>
        </w:rPr>
      </w:pPr>
      <w:r w:rsidRPr="00B01D7E">
        <w:rPr>
          <w:rFonts w:ascii="Garamond" w:hAnsi="Garamond"/>
          <w:sz w:val="20"/>
          <w:szCs w:val="20"/>
          <w:lang w:val="en-GB"/>
        </w:rPr>
        <w:t xml:space="preserve">Monteiro R, Tomé D, Neves P, Silva D, Rodrigues MA. The interactive effect of occupational noise on attention and short-term memory: A pilot study. Noise and Health. 2018 Sep-Oct;20(96):190-198. </w:t>
      </w:r>
      <w:proofErr w:type="spellStart"/>
      <w:r w:rsidRPr="00B01D7E">
        <w:rPr>
          <w:rFonts w:ascii="Garamond" w:hAnsi="Garamond"/>
          <w:sz w:val="20"/>
          <w:szCs w:val="20"/>
          <w:lang w:val="en-GB"/>
        </w:rPr>
        <w:t>doi</w:t>
      </w:r>
      <w:proofErr w:type="spellEnd"/>
      <w:r w:rsidRPr="00B01D7E">
        <w:rPr>
          <w:rFonts w:ascii="Garamond" w:hAnsi="Garamond"/>
          <w:sz w:val="20"/>
          <w:szCs w:val="20"/>
          <w:lang w:val="en-GB"/>
        </w:rPr>
        <w:t xml:space="preserve">: 10.4103/nah.NAH_3_18. </w:t>
      </w:r>
    </w:p>
    <w:p w14:paraId="4EF3705A" w14:textId="77777777" w:rsidR="00D441C5" w:rsidRPr="00B01D7E" w:rsidRDefault="00D441C5" w:rsidP="00B01D7E">
      <w:pPr>
        <w:numPr>
          <w:ilvl w:val="0"/>
          <w:numId w:val="26"/>
        </w:numPr>
        <w:ind w:left="283" w:hanging="357"/>
        <w:rPr>
          <w:rFonts w:ascii="Garamond" w:hAnsi="Garamond"/>
          <w:sz w:val="20"/>
          <w:szCs w:val="20"/>
        </w:rPr>
      </w:pPr>
      <w:r w:rsidRPr="00B01D7E">
        <w:rPr>
          <w:rFonts w:ascii="Garamond" w:hAnsi="Garamond"/>
          <w:sz w:val="20"/>
          <w:szCs w:val="20"/>
          <w:lang w:val="en-GB"/>
        </w:rPr>
        <w:t>Hammer MS, Fan Y, Hammer SS, Swinburn TK, Weber M, Weinhold D, Neitzel RL. Applying a novel environmental health framework theory (I-ACT) to noise pollution policies in the United States, United Kingdom, and the Netherlands. Journal of environmental planning and management. 2018 Oct 15;61(12):2111-32</w:t>
      </w:r>
      <w:r w:rsidRPr="00B01D7E">
        <w:rPr>
          <w:rFonts w:ascii="Garamond" w:hAnsi="Garamond"/>
          <w:sz w:val="20"/>
          <w:szCs w:val="20"/>
        </w:rPr>
        <w:t xml:space="preserve">. </w:t>
      </w:r>
      <w:hyperlink r:id="rId33" w:history="1">
        <w:r w:rsidRPr="00B01D7E">
          <w:rPr>
            <w:rStyle w:val="Hyperlink"/>
            <w:rFonts w:ascii="Garamond" w:hAnsi="Garamond"/>
            <w:sz w:val="20"/>
            <w:szCs w:val="20"/>
          </w:rPr>
          <w:t>https://doi.org/10.1080/09640568.2017.1385448</w:t>
        </w:r>
      </w:hyperlink>
      <w:r w:rsidRPr="00B01D7E">
        <w:rPr>
          <w:rFonts w:ascii="Garamond" w:hAnsi="Garamond"/>
          <w:sz w:val="20"/>
          <w:szCs w:val="20"/>
        </w:rPr>
        <w:t>.</w:t>
      </w:r>
    </w:p>
    <w:p w14:paraId="6C2A063B" w14:textId="77777777" w:rsidR="00D441C5" w:rsidRPr="00B01D7E" w:rsidRDefault="00D441C5" w:rsidP="00B01D7E">
      <w:pPr>
        <w:numPr>
          <w:ilvl w:val="0"/>
          <w:numId w:val="26"/>
        </w:numPr>
        <w:ind w:left="283" w:hanging="357"/>
        <w:rPr>
          <w:rFonts w:ascii="Garamond" w:hAnsi="Garamond"/>
          <w:sz w:val="20"/>
          <w:szCs w:val="20"/>
        </w:rPr>
      </w:pPr>
      <w:r w:rsidRPr="00B01D7E">
        <w:rPr>
          <w:rFonts w:ascii="Garamond" w:hAnsi="Garamond"/>
          <w:sz w:val="20"/>
          <w:szCs w:val="20"/>
          <w:lang w:val="en-GB"/>
        </w:rPr>
        <w:lastRenderedPageBreak/>
        <w:t xml:space="preserve">Hahad O, Prochaska JH, Daiber A, </w:t>
      </w:r>
      <w:proofErr w:type="spellStart"/>
      <w:r w:rsidRPr="00B01D7E">
        <w:rPr>
          <w:rFonts w:ascii="Garamond" w:hAnsi="Garamond"/>
          <w:sz w:val="20"/>
          <w:szCs w:val="20"/>
          <w:lang w:val="en-GB"/>
        </w:rPr>
        <w:t>Muenzel</w:t>
      </w:r>
      <w:proofErr w:type="spellEnd"/>
      <w:r w:rsidRPr="00B01D7E">
        <w:rPr>
          <w:rFonts w:ascii="Garamond" w:hAnsi="Garamond"/>
          <w:sz w:val="20"/>
          <w:szCs w:val="20"/>
          <w:lang w:val="en-GB"/>
        </w:rPr>
        <w:t xml:space="preserve"> T. Environmental noise</w:t>
      </w:r>
      <w:r w:rsidRPr="00B01D7E">
        <w:rPr>
          <w:rFonts w:ascii="Cambria Math" w:hAnsi="Cambria Math" w:cs="Cambria Math"/>
          <w:sz w:val="20"/>
          <w:szCs w:val="20"/>
          <w:lang w:val="en-GB"/>
        </w:rPr>
        <w:t>‐</w:t>
      </w:r>
      <w:r w:rsidRPr="00B01D7E">
        <w:rPr>
          <w:rFonts w:ascii="Garamond" w:hAnsi="Garamond"/>
          <w:sz w:val="20"/>
          <w:szCs w:val="20"/>
          <w:lang w:val="en-GB"/>
        </w:rPr>
        <w:t>induced effects on stress hormones, oxidative stress, and vascular dysfunction: Key factors in the relationship between cerebrocardiovascular and psychological disorders. Oxidative medicine and cellular longevity. 2019;2019(1):4623109.</w:t>
      </w:r>
      <w:r w:rsidRPr="00B01D7E">
        <w:rPr>
          <w:rFonts w:ascii="Garamond" w:hAnsi="Garamond"/>
          <w:sz w:val="20"/>
          <w:szCs w:val="20"/>
        </w:rPr>
        <w:t xml:space="preserve"> </w:t>
      </w:r>
      <w:hyperlink r:id="rId34" w:history="1">
        <w:r w:rsidRPr="00B01D7E">
          <w:rPr>
            <w:rStyle w:val="Hyperlink"/>
            <w:rFonts w:ascii="Garamond" w:hAnsi="Garamond"/>
            <w:sz w:val="20"/>
            <w:szCs w:val="20"/>
          </w:rPr>
          <w:t>https://doi.org/10.1155/2019/4623109</w:t>
        </w:r>
      </w:hyperlink>
      <w:r w:rsidRPr="00B01D7E">
        <w:rPr>
          <w:rFonts w:ascii="Garamond" w:hAnsi="Garamond"/>
          <w:sz w:val="20"/>
          <w:szCs w:val="20"/>
        </w:rPr>
        <w:t>.</w:t>
      </w:r>
    </w:p>
    <w:p w14:paraId="233E07F6" w14:textId="77777777" w:rsidR="00D441C5" w:rsidRPr="00B01D7E" w:rsidRDefault="00D441C5" w:rsidP="00B01D7E">
      <w:pPr>
        <w:numPr>
          <w:ilvl w:val="0"/>
          <w:numId w:val="26"/>
        </w:numPr>
        <w:ind w:left="283" w:hanging="357"/>
        <w:rPr>
          <w:rFonts w:ascii="Garamond" w:hAnsi="Garamond"/>
          <w:sz w:val="20"/>
          <w:szCs w:val="20"/>
        </w:rPr>
      </w:pPr>
      <w:r w:rsidRPr="00B01D7E">
        <w:rPr>
          <w:rFonts w:ascii="Garamond" w:hAnsi="Garamond"/>
          <w:sz w:val="20"/>
          <w:szCs w:val="20"/>
          <w:lang w:val="en-GB"/>
        </w:rPr>
        <w:t>Daiber A, Kröller</w:t>
      </w:r>
      <w:r w:rsidRPr="00B01D7E">
        <w:rPr>
          <w:rFonts w:ascii="Cambria Math" w:hAnsi="Cambria Math" w:cs="Cambria Math"/>
          <w:sz w:val="20"/>
          <w:szCs w:val="20"/>
          <w:lang w:val="en-GB"/>
        </w:rPr>
        <w:t>‐</w:t>
      </w:r>
      <w:r w:rsidRPr="00B01D7E">
        <w:rPr>
          <w:rFonts w:ascii="Garamond" w:hAnsi="Garamond"/>
          <w:sz w:val="20"/>
          <w:szCs w:val="20"/>
          <w:lang w:val="en-GB"/>
        </w:rPr>
        <w:t>Sch</w:t>
      </w:r>
      <w:r w:rsidRPr="00B01D7E">
        <w:rPr>
          <w:rFonts w:ascii="Garamond" w:hAnsi="Garamond" w:cs="Garamond"/>
          <w:sz w:val="20"/>
          <w:szCs w:val="20"/>
          <w:lang w:val="en-GB"/>
        </w:rPr>
        <w:t>ö</w:t>
      </w:r>
      <w:r w:rsidRPr="00B01D7E">
        <w:rPr>
          <w:rFonts w:ascii="Garamond" w:hAnsi="Garamond"/>
          <w:sz w:val="20"/>
          <w:szCs w:val="20"/>
          <w:lang w:val="en-GB"/>
        </w:rPr>
        <w:t xml:space="preserve">n S, Frenis K, Oelze M, </w:t>
      </w:r>
      <w:proofErr w:type="spellStart"/>
      <w:r w:rsidRPr="00B01D7E">
        <w:rPr>
          <w:rFonts w:ascii="Garamond" w:hAnsi="Garamond"/>
          <w:sz w:val="20"/>
          <w:szCs w:val="20"/>
          <w:lang w:val="en-GB"/>
        </w:rPr>
        <w:t>Kalinovic</w:t>
      </w:r>
      <w:proofErr w:type="spellEnd"/>
      <w:r w:rsidRPr="00B01D7E">
        <w:rPr>
          <w:rFonts w:ascii="Garamond" w:hAnsi="Garamond"/>
          <w:sz w:val="20"/>
          <w:szCs w:val="20"/>
          <w:lang w:val="en-GB"/>
        </w:rPr>
        <w:t xml:space="preserve"> S, Vujacic</w:t>
      </w:r>
      <w:r w:rsidRPr="00B01D7E">
        <w:rPr>
          <w:rFonts w:ascii="Cambria Math" w:hAnsi="Cambria Math" w:cs="Cambria Math"/>
          <w:sz w:val="20"/>
          <w:szCs w:val="20"/>
          <w:lang w:val="en-GB"/>
        </w:rPr>
        <w:t>‐</w:t>
      </w:r>
      <w:r w:rsidRPr="00B01D7E">
        <w:rPr>
          <w:rFonts w:ascii="Garamond" w:hAnsi="Garamond"/>
          <w:sz w:val="20"/>
          <w:szCs w:val="20"/>
          <w:lang w:val="en-GB"/>
        </w:rPr>
        <w:t xml:space="preserve">Mirski K, </w:t>
      </w:r>
      <w:proofErr w:type="spellStart"/>
      <w:r w:rsidRPr="00B01D7E">
        <w:rPr>
          <w:rFonts w:ascii="Garamond" w:hAnsi="Garamond"/>
          <w:sz w:val="20"/>
          <w:szCs w:val="20"/>
          <w:lang w:val="en-GB"/>
        </w:rPr>
        <w:t>Kuntic</w:t>
      </w:r>
      <w:proofErr w:type="spellEnd"/>
      <w:r w:rsidRPr="00B01D7E">
        <w:rPr>
          <w:rFonts w:ascii="Garamond" w:hAnsi="Garamond"/>
          <w:sz w:val="20"/>
          <w:szCs w:val="20"/>
          <w:lang w:val="en-GB"/>
        </w:rPr>
        <w:t xml:space="preserve"> M, Bayo Jimenez MT, </w:t>
      </w:r>
      <w:proofErr w:type="spellStart"/>
      <w:r w:rsidRPr="00B01D7E">
        <w:rPr>
          <w:rFonts w:ascii="Garamond" w:hAnsi="Garamond"/>
          <w:sz w:val="20"/>
          <w:szCs w:val="20"/>
          <w:lang w:val="en-GB"/>
        </w:rPr>
        <w:t>Helmst</w:t>
      </w:r>
      <w:r w:rsidRPr="00B01D7E">
        <w:rPr>
          <w:rFonts w:ascii="Garamond" w:hAnsi="Garamond" w:cs="Garamond"/>
          <w:sz w:val="20"/>
          <w:szCs w:val="20"/>
          <w:lang w:val="en-GB"/>
        </w:rPr>
        <w:t>ä</w:t>
      </w:r>
      <w:r w:rsidRPr="00B01D7E">
        <w:rPr>
          <w:rFonts w:ascii="Garamond" w:hAnsi="Garamond"/>
          <w:sz w:val="20"/>
          <w:szCs w:val="20"/>
          <w:lang w:val="en-GB"/>
        </w:rPr>
        <w:t>dter</w:t>
      </w:r>
      <w:proofErr w:type="spellEnd"/>
      <w:r w:rsidRPr="00B01D7E">
        <w:rPr>
          <w:rFonts w:ascii="Garamond" w:hAnsi="Garamond"/>
          <w:sz w:val="20"/>
          <w:szCs w:val="20"/>
          <w:lang w:val="en-GB"/>
        </w:rPr>
        <w:t xml:space="preserve"> J, Steven S, Korac B. Environmental noise induces the release of stress hormones and inflammatory </w:t>
      </w:r>
      <w:proofErr w:type="spellStart"/>
      <w:r w:rsidRPr="00B01D7E">
        <w:rPr>
          <w:rFonts w:ascii="Garamond" w:hAnsi="Garamond"/>
          <w:sz w:val="20"/>
          <w:szCs w:val="20"/>
          <w:lang w:val="en-GB"/>
        </w:rPr>
        <w:t>signaling</w:t>
      </w:r>
      <w:proofErr w:type="spellEnd"/>
      <w:r w:rsidRPr="00B01D7E">
        <w:rPr>
          <w:rFonts w:ascii="Garamond" w:hAnsi="Garamond"/>
          <w:sz w:val="20"/>
          <w:szCs w:val="20"/>
          <w:lang w:val="en-GB"/>
        </w:rPr>
        <w:t xml:space="preserve"> molecules leading to oxidative stress and vascular dysfunction</w:t>
      </w:r>
      <w:r w:rsidRPr="00B01D7E">
        <w:rPr>
          <w:rFonts w:ascii="Garamond" w:hAnsi="Garamond" w:cs="Garamond"/>
          <w:sz w:val="20"/>
          <w:szCs w:val="20"/>
          <w:lang w:val="en-GB"/>
        </w:rPr>
        <w:t>—</w:t>
      </w:r>
      <w:r w:rsidRPr="00B01D7E">
        <w:rPr>
          <w:rFonts w:ascii="Garamond" w:hAnsi="Garamond"/>
          <w:sz w:val="20"/>
          <w:szCs w:val="20"/>
          <w:lang w:val="en-GB"/>
        </w:rPr>
        <w:t xml:space="preserve">Signatures of the internal exposome. </w:t>
      </w:r>
      <w:proofErr w:type="spellStart"/>
      <w:r w:rsidRPr="00B01D7E">
        <w:rPr>
          <w:rFonts w:ascii="Garamond" w:hAnsi="Garamond"/>
          <w:sz w:val="20"/>
          <w:szCs w:val="20"/>
          <w:lang w:val="en-GB"/>
        </w:rPr>
        <w:t>Biofactors</w:t>
      </w:r>
      <w:proofErr w:type="spellEnd"/>
      <w:r w:rsidRPr="00B01D7E">
        <w:rPr>
          <w:rFonts w:ascii="Garamond" w:hAnsi="Garamond"/>
          <w:sz w:val="20"/>
          <w:szCs w:val="20"/>
          <w:lang w:val="en-GB"/>
        </w:rPr>
        <w:t>. 2019 Jul;45(4):495-506</w:t>
      </w:r>
      <w:r w:rsidRPr="00B01D7E">
        <w:rPr>
          <w:rFonts w:ascii="Garamond" w:hAnsi="Garamond"/>
          <w:sz w:val="20"/>
          <w:szCs w:val="20"/>
        </w:rPr>
        <w:t xml:space="preserve">. </w:t>
      </w:r>
      <w:hyperlink r:id="rId35" w:history="1">
        <w:r w:rsidRPr="00B01D7E">
          <w:rPr>
            <w:rStyle w:val="Hyperlink"/>
            <w:rFonts w:ascii="Garamond" w:hAnsi="Garamond"/>
            <w:sz w:val="20"/>
            <w:szCs w:val="20"/>
          </w:rPr>
          <w:t>https://doi.org/10.1002/biof.1506</w:t>
        </w:r>
      </w:hyperlink>
      <w:r w:rsidRPr="00B01D7E">
        <w:rPr>
          <w:rFonts w:ascii="Garamond" w:hAnsi="Garamond"/>
          <w:sz w:val="20"/>
          <w:szCs w:val="20"/>
        </w:rPr>
        <w:t>.</w:t>
      </w:r>
    </w:p>
    <w:p w14:paraId="1DC42C08" w14:textId="77777777" w:rsidR="00D441C5" w:rsidRPr="00B01D7E" w:rsidRDefault="00D441C5" w:rsidP="00B01D7E">
      <w:pPr>
        <w:numPr>
          <w:ilvl w:val="0"/>
          <w:numId w:val="26"/>
        </w:numPr>
        <w:ind w:left="283" w:hanging="357"/>
        <w:rPr>
          <w:rFonts w:ascii="Garamond" w:hAnsi="Garamond"/>
          <w:sz w:val="20"/>
          <w:szCs w:val="20"/>
        </w:rPr>
      </w:pPr>
      <w:r w:rsidRPr="00B01D7E">
        <w:rPr>
          <w:rFonts w:ascii="Garamond" w:hAnsi="Garamond"/>
          <w:sz w:val="20"/>
          <w:szCs w:val="20"/>
          <w:lang w:val="en-GB"/>
        </w:rPr>
        <w:t xml:space="preserve">Clark C, Head J, Haines M, van Kamp I, van Kempen E, Stansfeld SA. A meta-analysis of the association of aircraft noise at school on children's reading comprehension and psychological health for use in health impact assessment. Journal of Environmental Psychology. 2021 Aug </w:t>
      </w:r>
      <w:proofErr w:type="gramStart"/>
      <w:r w:rsidRPr="00B01D7E">
        <w:rPr>
          <w:rFonts w:ascii="Garamond" w:hAnsi="Garamond"/>
          <w:sz w:val="20"/>
          <w:szCs w:val="20"/>
          <w:lang w:val="en-GB"/>
        </w:rPr>
        <w:t>1;76:101646</w:t>
      </w:r>
      <w:proofErr w:type="gramEnd"/>
      <w:r w:rsidRPr="00B01D7E">
        <w:rPr>
          <w:rFonts w:ascii="Garamond" w:hAnsi="Garamond"/>
          <w:sz w:val="20"/>
          <w:szCs w:val="20"/>
        </w:rPr>
        <w:t xml:space="preserve">. </w:t>
      </w:r>
      <w:hyperlink r:id="rId36" w:history="1">
        <w:r w:rsidRPr="00B01D7E">
          <w:rPr>
            <w:rStyle w:val="Hyperlink"/>
            <w:rFonts w:ascii="Garamond" w:hAnsi="Garamond"/>
            <w:sz w:val="20"/>
            <w:szCs w:val="20"/>
          </w:rPr>
          <w:t>https://doi.org/10.1016/j.jenvp.2021.101646</w:t>
        </w:r>
      </w:hyperlink>
    </w:p>
    <w:p w14:paraId="09D9E336" w14:textId="77777777" w:rsidR="00D441C5" w:rsidRPr="00B01D7E" w:rsidRDefault="00D441C5" w:rsidP="00B01D7E">
      <w:pPr>
        <w:numPr>
          <w:ilvl w:val="0"/>
          <w:numId w:val="26"/>
        </w:numPr>
        <w:ind w:left="283" w:hanging="357"/>
        <w:rPr>
          <w:rFonts w:ascii="Garamond" w:hAnsi="Garamond"/>
          <w:sz w:val="20"/>
          <w:szCs w:val="20"/>
        </w:rPr>
      </w:pPr>
      <w:r w:rsidRPr="00B01D7E">
        <w:rPr>
          <w:rFonts w:ascii="Garamond" w:hAnsi="Garamond"/>
          <w:sz w:val="20"/>
          <w:szCs w:val="20"/>
          <w:lang w:val="en-GB"/>
        </w:rPr>
        <w:t>Peng P, Barnes M, Wang C, Wang W, Li S, Swanson HL, Dardick W, Tao S. A meta-analysis on the relation between reading and working memory. Psychological bulletin. 2018 Jan;144(1):48</w:t>
      </w:r>
      <w:r w:rsidRPr="00B01D7E">
        <w:rPr>
          <w:rFonts w:ascii="Garamond" w:hAnsi="Garamond"/>
          <w:sz w:val="20"/>
          <w:szCs w:val="20"/>
        </w:rPr>
        <w:t xml:space="preserve">. </w:t>
      </w:r>
      <w:hyperlink r:id="rId37" w:history="1">
        <w:r w:rsidRPr="00B01D7E">
          <w:rPr>
            <w:rStyle w:val="Hyperlink"/>
            <w:rFonts w:ascii="Garamond" w:hAnsi="Garamond"/>
            <w:sz w:val="20"/>
            <w:szCs w:val="20"/>
          </w:rPr>
          <w:t>https://doi.org/10.1037/bul0000124</w:t>
        </w:r>
      </w:hyperlink>
    </w:p>
    <w:p w14:paraId="06EE39DB" w14:textId="77777777" w:rsidR="00D441C5" w:rsidRPr="00B01D7E" w:rsidRDefault="00D441C5" w:rsidP="00B01D7E">
      <w:pPr>
        <w:numPr>
          <w:ilvl w:val="0"/>
          <w:numId w:val="26"/>
        </w:numPr>
        <w:ind w:left="283" w:hanging="357"/>
        <w:rPr>
          <w:rFonts w:ascii="Garamond" w:hAnsi="Garamond"/>
          <w:sz w:val="20"/>
          <w:szCs w:val="20"/>
        </w:rPr>
      </w:pPr>
      <w:proofErr w:type="spellStart"/>
      <w:r w:rsidRPr="00B01D7E">
        <w:rPr>
          <w:rFonts w:ascii="Garamond" w:hAnsi="Garamond"/>
          <w:sz w:val="20"/>
          <w:szCs w:val="20"/>
          <w:lang w:val="en-GB"/>
        </w:rPr>
        <w:t>Kassaw</w:t>
      </w:r>
      <w:proofErr w:type="spellEnd"/>
      <w:r w:rsidRPr="00B01D7E">
        <w:rPr>
          <w:rFonts w:ascii="Garamond" w:hAnsi="Garamond"/>
          <w:sz w:val="20"/>
          <w:szCs w:val="20"/>
          <w:lang w:val="en-GB"/>
        </w:rPr>
        <w:t xml:space="preserve"> C, </w:t>
      </w:r>
      <w:proofErr w:type="spellStart"/>
      <w:r w:rsidRPr="00B01D7E">
        <w:rPr>
          <w:rFonts w:ascii="Garamond" w:hAnsi="Garamond"/>
          <w:sz w:val="20"/>
          <w:szCs w:val="20"/>
          <w:lang w:val="en-GB"/>
        </w:rPr>
        <w:t>Demareva</w:t>
      </w:r>
      <w:proofErr w:type="spellEnd"/>
      <w:r w:rsidRPr="00B01D7E">
        <w:rPr>
          <w:rFonts w:ascii="Garamond" w:hAnsi="Garamond"/>
          <w:sz w:val="20"/>
          <w:szCs w:val="20"/>
          <w:lang w:val="en-GB"/>
        </w:rPr>
        <w:t xml:space="preserve"> V. Psychosocial and cognitive predictors of academic achievement among higher education students in Southern Ethiopia. </w:t>
      </w:r>
      <w:proofErr w:type="spellStart"/>
      <w:r w:rsidRPr="00B01D7E">
        <w:rPr>
          <w:rFonts w:ascii="Garamond" w:hAnsi="Garamond"/>
          <w:sz w:val="20"/>
          <w:szCs w:val="20"/>
          <w:lang w:val="en-GB"/>
        </w:rPr>
        <w:t>PLoS</w:t>
      </w:r>
      <w:proofErr w:type="spellEnd"/>
      <w:r w:rsidRPr="00B01D7E">
        <w:rPr>
          <w:rFonts w:ascii="Garamond" w:hAnsi="Garamond"/>
          <w:sz w:val="20"/>
          <w:szCs w:val="20"/>
          <w:lang w:val="en-GB"/>
        </w:rPr>
        <w:t xml:space="preserve"> One. 2025 Nov 6;20(11</w:t>
      </w:r>
      <w:proofErr w:type="gramStart"/>
      <w:r w:rsidRPr="00B01D7E">
        <w:rPr>
          <w:rFonts w:ascii="Garamond" w:hAnsi="Garamond"/>
          <w:sz w:val="20"/>
          <w:szCs w:val="20"/>
          <w:lang w:val="en-GB"/>
        </w:rPr>
        <w:t>):e</w:t>
      </w:r>
      <w:proofErr w:type="gramEnd"/>
      <w:r w:rsidRPr="00B01D7E">
        <w:rPr>
          <w:rFonts w:ascii="Garamond" w:hAnsi="Garamond"/>
          <w:sz w:val="20"/>
          <w:szCs w:val="20"/>
          <w:lang w:val="en-GB"/>
        </w:rPr>
        <w:t xml:space="preserve">0335968. </w:t>
      </w:r>
      <w:proofErr w:type="spellStart"/>
      <w:r w:rsidRPr="00B01D7E">
        <w:rPr>
          <w:rFonts w:ascii="Garamond" w:hAnsi="Garamond"/>
          <w:sz w:val="20"/>
          <w:szCs w:val="20"/>
          <w:lang w:val="en-GB"/>
        </w:rPr>
        <w:t>doi</w:t>
      </w:r>
      <w:proofErr w:type="spellEnd"/>
      <w:r w:rsidRPr="00B01D7E">
        <w:rPr>
          <w:rFonts w:ascii="Garamond" w:hAnsi="Garamond"/>
          <w:sz w:val="20"/>
          <w:szCs w:val="20"/>
          <w:lang w:val="en-GB"/>
        </w:rPr>
        <w:t>: 10.1371/journal.pone.0335968. PMID: 41196871; PMCID: PMC12591494</w:t>
      </w:r>
      <w:r w:rsidRPr="00B01D7E">
        <w:rPr>
          <w:rFonts w:ascii="Garamond" w:hAnsi="Garamond"/>
          <w:sz w:val="20"/>
          <w:szCs w:val="20"/>
        </w:rPr>
        <w:t>.</w:t>
      </w:r>
    </w:p>
    <w:p w14:paraId="7C2E329D" w14:textId="77777777" w:rsidR="00D441C5" w:rsidRPr="00B01D7E" w:rsidRDefault="00D441C5" w:rsidP="00B01D7E">
      <w:pPr>
        <w:numPr>
          <w:ilvl w:val="0"/>
          <w:numId w:val="26"/>
        </w:numPr>
        <w:ind w:left="283" w:hanging="357"/>
        <w:rPr>
          <w:rFonts w:ascii="Garamond" w:hAnsi="Garamond"/>
          <w:sz w:val="20"/>
          <w:szCs w:val="20"/>
        </w:rPr>
      </w:pPr>
      <w:r w:rsidRPr="00B01D7E">
        <w:rPr>
          <w:rFonts w:ascii="Garamond" w:hAnsi="Garamond"/>
          <w:sz w:val="20"/>
          <w:szCs w:val="20"/>
        </w:rPr>
        <w:t xml:space="preserve">Molnár, G., &amp; Kocsis, Á. (2023). Cognitive and non-cognitive predictors of academic success in higher education: a large-scale longitudinal study. Studies in Higher Education, 1–15. </w:t>
      </w:r>
      <w:hyperlink r:id="rId38" w:history="1">
        <w:r w:rsidRPr="00B01D7E">
          <w:rPr>
            <w:rStyle w:val="Hyperlink"/>
            <w:rFonts w:ascii="Garamond" w:hAnsi="Garamond"/>
            <w:sz w:val="20"/>
            <w:szCs w:val="20"/>
          </w:rPr>
          <w:t>https://doi.org/10.1080/03075079.2023.2271513</w:t>
        </w:r>
      </w:hyperlink>
    </w:p>
    <w:p w14:paraId="1358A9BF" w14:textId="77777777" w:rsidR="00D441C5" w:rsidRPr="00B01D7E" w:rsidRDefault="00D441C5" w:rsidP="00B01D7E">
      <w:pPr>
        <w:numPr>
          <w:ilvl w:val="0"/>
          <w:numId w:val="26"/>
        </w:numPr>
        <w:ind w:left="283" w:hanging="357"/>
        <w:rPr>
          <w:rFonts w:ascii="Garamond" w:hAnsi="Garamond"/>
          <w:sz w:val="20"/>
          <w:szCs w:val="20"/>
        </w:rPr>
      </w:pPr>
      <w:r w:rsidRPr="00B01D7E">
        <w:rPr>
          <w:rFonts w:ascii="Garamond" w:hAnsi="Garamond"/>
          <w:sz w:val="20"/>
          <w:szCs w:val="20"/>
          <w:lang w:val="en-GB"/>
        </w:rPr>
        <w:t xml:space="preserve">Li X, </w:t>
      </w:r>
      <w:proofErr w:type="spellStart"/>
      <w:r w:rsidRPr="00B01D7E">
        <w:rPr>
          <w:rFonts w:ascii="Garamond" w:hAnsi="Garamond"/>
          <w:sz w:val="20"/>
          <w:szCs w:val="20"/>
          <w:lang w:val="en-GB"/>
        </w:rPr>
        <w:t>AlWadi</w:t>
      </w:r>
      <w:proofErr w:type="spellEnd"/>
      <w:r w:rsidRPr="00B01D7E">
        <w:rPr>
          <w:rFonts w:ascii="Garamond" w:hAnsi="Garamond"/>
          <w:sz w:val="20"/>
          <w:szCs w:val="20"/>
          <w:lang w:val="en-GB"/>
        </w:rPr>
        <w:t xml:space="preserve"> BM, Ahmad A, </w:t>
      </w:r>
      <w:proofErr w:type="spellStart"/>
      <w:r w:rsidRPr="00B01D7E">
        <w:rPr>
          <w:rFonts w:ascii="Garamond" w:hAnsi="Garamond"/>
          <w:sz w:val="20"/>
          <w:szCs w:val="20"/>
          <w:lang w:val="en-GB"/>
        </w:rPr>
        <w:t>Dukhaykh</w:t>
      </w:r>
      <w:proofErr w:type="spellEnd"/>
      <w:r w:rsidRPr="00B01D7E">
        <w:rPr>
          <w:rFonts w:ascii="Garamond" w:hAnsi="Garamond"/>
          <w:sz w:val="20"/>
          <w:szCs w:val="20"/>
          <w:lang w:val="en-GB"/>
        </w:rPr>
        <w:t xml:space="preserve"> S, Khan I. Igniting success: how growth mindset fuels academic achievement through self-belief and strategic effort. BMC Nurs. 2025 Dec 22;24(1):1507. </w:t>
      </w:r>
      <w:proofErr w:type="spellStart"/>
      <w:r w:rsidRPr="00B01D7E">
        <w:rPr>
          <w:rFonts w:ascii="Garamond" w:hAnsi="Garamond"/>
          <w:sz w:val="20"/>
          <w:szCs w:val="20"/>
          <w:lang w:val="en-GB"/>
        </w:rPr>
        <w:t>doi</w:t>
      </w:r>
      <w:proofErr w:type="spellEnd"/>
      <w:r w:rsidRPr="00B01D7E">
        <w:rPr>
          <w:rFonts w:ascii="Garamond" w:hAnsi="Garamond"/>
          <w:sz w:val="20"/>
          <w:szCs w:val="20"/>
          <w:lang w:val="en-GB"/>
        </w:rPr>
        <w:t>: 10.1186/s12912-025-04237-9. PMID: 41430222; PMCID: PMC12751792.</w:t>
      </w:r>
    </w:p>
    <w:p w14:paraId="4B74CFD7" w14:textId="77777777" w:rsidR="00D441C5" w:rsidRPr="00B01D7E" w:rsidRDefault="00D441C5" w:rsidP="00B01D7E">
      <w:pPr>
        <w:numPr>
          <w:ilvl w:val="0"/>
          <w:numId w:val="26"/>
        </w:numPr>
        <w:ind w:left="283" w:hanging="357"/>
        <w:rPr>
          <w:rFonts w:ascii="Garamond" w:hAnsi="Garamond"/>
          <w:sz w:val="20"/>
          <w:szCs w:val="20"/>
          <w:lang w:val="en-GB"/>
        </w:rPr>
      </w:pPr>
      <w:r w:rsidRPr="00B01D7E">
        <w:rPr>
          <w:rFonts w:ascii="Garamond" w:hAnsi="Garamond"/>
          <w:sz w:val="20"/>
          <w:szCs w:val="20"/>
          <w:lang w:val="en-GB"/>
        </w:rPr>
        <w:t xml:space="preserve">Spencer H. The principles of psychology. </w:t>
      </w:r>
      <w:proofErr w:type="spellStart"/>
      <w:r w:rsidRPr="00B01D7E">
        <w:rPr>
          <w:rFonts w:ascii="Garamond" w:hAnsi="Garamond"/>
          <w:sz w:val="20"/>
          <w:szCs w:val="20"/>
          <w:lang w:val="en-GB"/>
        </w:rPr>
        <w:t>InScientific</w:t>
      </w:r>
      <w:proofErr w:type="spellEnd"/>
      <w:r w:rsidRPr="00B01D7E">
        <w:rPr>
          <w:rFonts w:ascii="Garamond" w:hAnsi="Garamond"/>
          <w:sz w:val="20"/>
          <w:szCs w:val="20"/>
          <w:lang w:val="en-GB"/>
        </w:rPr>
        <w:t xml:space="preserve"> Methodology in Nineteenth Century Britain 2025 Sep 25 (pp. 163-178). Routledge.</w:t>
      </w:r>
    </w:p>
    <w:p w14:paraId="5B564192" w14:textId="77777777" w:rsidR="00D441C5" w:rsidRPr="00B01D7E" w:rsidRDefault="00D441C5" w:rsidP="00B01D7E">
      <w:pPr>
        <w:numPr>
          <w:ilvl w:val="0"/>
          <w:numId w:val="26"/>
        </w:numPr>
        <w:ind w:left="283" w:hanging="357"/>
        <w:rPr>
          <w:rFonts w:ascii="Garamond" w:hAnsi="Garamond"/>
          <w:sz w:val="20"/>
          <w:szCs w:val="20"/>
        </w:rPr>
      </w:pPr>
      <w:r w:rsidRPr="00B01D7E">
        <w:rPr>
          <w:rFonts w:ascii="Garamond" w:hAnsi="Garamond"/>
          <w:sz w:val="20"/>
          <w:szCs w:val="20"/>
          <w:lang w:val="en-GB"/>
        </w:rPr>
        <w:t xml:space="preserve">Agbo COA. Noise Pollution in Nigeria’s Institutions of Higher Learning: A Review. J. Eng. Res. Rep. [Internet]. 2020 Oct. 30;18(1):8-21. </w:t>
      </w:r>
      <w:hyperlink r:id="rId39" w:history="1">
        <w:r w:rsidRPr="00B01D7E">
          <w:rPr>
            <w:rStyle w:val="Hyperlink"/>
            <w:rFonts w:ascii="Garamond" w:hAnsi="Garamond"/>
            <w:sz w:val="20"/>
            <w:szCs w:val="20"/>
          </w:rPr>
          <w:t>https://doi.org/10.9734/jerr/2020/v18i117198</w:t>
        </w:r>
      </w:hyperlink>
      <w:r w:rsidRPr="00B01D7E">
        <w:rPr>
          <w:rFonts w:ascii="Garamond" w:hAnsi="Garamond"/>
          <w:sz w:val="20"/>
          <w:szCs w:val="20"/>
        </w:rPr>
        <w:t>.</w:t>
      </w:r>
    </w:p>
    <w:p w14:paraId="171E6F69" w14:textId="77777777" w:rsidR="00D441C5" w:rsidRPr="00B01D7E" w:rsidRDefault="00D441C5" w:rsidP="00B01D7E">
      <w:pPr>
        <w:numPr>
          <w:ilvl w:val="0"/>
          <w:numId w:val="26"/>
        </w:numPr>
        <w:ind w:left="283" w:hanging="357"/>
        <w:rPr>
          <w:rFonts w:ascii="Garamond" w:hAnsi="Garamond"/>
          <w:sz w:val="20"/>
          <w:szCs w:val="20"/>
        </w:rPr>
      </w:pPr>
      <w:r w:rsidRPr="00B01D7E">
        <w:rPr>
          <w:rFonts w:ascii="Garamond" w:hAnsi="Garamond"/>
          <w:sz w:val="20"/>
          <w:szCs w:val="20"/>
        </w:rPr>
        <w:t xml:space="preserve">Agaja TM, Akande GP. Impact of noise pollution on the academic performance of students in the university of Ilorin’s learning environment, Nigeria. FUDMA J Earth Environ Sci. </w:t>
      </w:r>
      <w:r w:rsidRPr="00B01D7E">
        <w:rPr>
          <w:rFonts w:ascii="Garamond" w:hAnsi="Garamond"/>
          <w:sz w:val="20"/>
          <w:szCs w:val="20"/>
          <w:lang w:val="en-GB"/>
        </w:rPr>
        <w:t>2024 Dec. 31;1(2):42-57</w:t>
      </w:r>
      <w:r w:rsidRPr="00B01D7E">
        <w:rPr>
          <w:rFonts w:ascii="Garamond" w:hAnsi="Garamond"/>
          <w:sz w:val="20"/>
          <w:szCs w:val="20"/>
        </w:rPr>
        <w:t xml:space="preserve">. </w:t>
      </w:r>
      <w:hyperlink r:id="rId40" w:history="1">
        <w:r w:rsidRPr="00B01D7E">
          <w:rPr>
            <w:rStyle w:val="Hyperlink"/>
            <w:rFonts w:ascii="Garamond" w:hAnsi="Garamond"/>
            <w:sz w:val="20"/>
            <w:szCs w:val="20"/>
          </w:rPr>
          <w:t>https://doi.org/10.33003/jees.2024.0102/05</w:t>
        </w:r>
      </w:hyperlink>
      <w:r w:rsidRPr="00B01D7E">
        <w:rPr>
          <w:rFonts w:ascii="Garamond" w:hAnsi="Garamond"/>
          <w:sz w:val="20"/>
          <w:szCs w:val="20"/>
        </w:rPr>
        <w:t>.</w:t>
      </w:r>
    </w:p>
    <w:p w14:paraId="05A4BBCE" w14:textId="77777777" w:rsidR="00D441C5" w:rsidRPr="00B01D7E" w:rsidRDefault="00D441C5" w:rsidP="00B01D7E">
      <w:pPr>
        <w:numPr>
          <w:ilvl w:val="0"/>
          <w:numId w:val="26"/>
        </w:numPr>
        <w:ind w:left="283" w:hanging="357"/>
        <w:rPr>
          <w:rFonts w:ascii="Garamond" w:hAnsi="Garamond"/>
          <w:sz w:val="20"/>
          <w:szCs w:val="20"/>
        </w:rPr>
      </w:pPr>
      <w:r w:rsidRPr="00B01D7E">
        <w:rPr>
          <w:rFonts w:ascii="Garamond" w:hAnsi="Garamond"/>
          <w:sz w:val="20"/>
          <w:szCs w:val="20"/>
          <w:lang w:val="en-GB"/>
        </w:rPr>
        <w:t xml:space="preserve">Ayodeji </w:t>
      </w:r>
      <w:proofErr w:type="spellStart"/>
      <w:r w:rsidRPr="00B01D7E">
        <w:rPr>
          <w:rFonts w:ascii="Garamond" w:hAnsi="Garamond"/>
          <w:sz w:val="20"/>
          <w:szCs w:val="20"/>
          <w:lang w:val="en-GB"/>
        </w:rPr>
        <w:t>Olawumi</w:t>
      </w:r>
      <w:proofErr w:type="spellEnd"/>
      <w:r w:rsidRPr="00B01D7E">
        <w:rPr>
          <w:rFonts w:ascii="Garamond" w:hAnsi="Garamond"/>
          <w:sz w:val="20"/>
          <w:szCs w:val="20"/>
          <w:lang w:val="en-GB"/>
        </w:rPr>
        <w:t xml:space="preserve"> B, Abubakar I. Perception of Students on Noise Level Influence of Selected Evening Reading Classes in Umaru Ali </w:t>
      </w:r>
      <w:proofErr w:type="spellStart"/>
      <w:r w:rsidRPr="00B01D7E">
        <w:rPr>
          <w:rFonts w:ascii="Garamond" w:hAnsi="Garamond"/>
          <w:sz w:val="20"/>
          <w:szCs w:val="20"/>
          <w:lang w:val="en-GB"/>
        </w:rPr>
        <w:t>Shinkafi</w:t>
      </w:r>
      <w:proofErr w:type="spellEnd"/>
      <w:r w:rsidRPr="00B01D7E">
        <w:rPr>
          <w:rFonts w:ascii="Garamond" w:hAnsi="Garamond"/>
          <w:sz w:val="20"/>
          <w:szCs w:val="20"/>
          <w:lang w:val="en-GB"/>
        </w:rPr>
        <w:t xml:space="preserve"> Polytechnic, Sokoto. GJBE [Internet]. 2024 Sep. 2;6(1):29-38</w:t>
      </w:r>
      <w:r w:rsidRPr="00B01D7E">
        <w:rPr>
          <w:rFonts w:ascii="Garamond" w:hAnsi="Garamond"/>
          <w:sz w:val="20"/>
          <w:szCs w:val="20"/>
        </w:rPr>
        <w:t xml:space="preserve">. </w:t>
      </w:r>
      <w:hyperlink r:id="rId41" w:history="1">
        <w:r w:rsidRPr="00B01D7E">
          <w:rPr>
            <w:rStyle w:val="Hyperlink"/>
            <w:rFonts w:ascii="Garamond" w:hAnsi="Garamond"/>
            <w:sz w:val="20"/>
            <w:szCs w:val="20"/>
          </w:rPr>
          <w:t>https://gjbeses.org/ses-journal/index.php/gjbe/article/view/45</w:t>
        </w:r>
      </w:hyperlink>
      <w:r w:rsidRPr="00B01D7E">
        <w:rPr>
          <w:rFonts w:ascii="Garamond" w:hAnsi="Garamond"/>
          <w:sz w:val="20"/>
          <w:szCs w:val="20"/>
        </w:rPr>
        <w:t>.</w:t>
      </w:r>
    </w:p>
    <w:p w14:paraId="1BC58B34" w14:textId="77777777" w:rsidR="00D441C5" w:rsidRPr="00B01D7E" w:rsidRDefault="00D441C5" w:rsidP="00B01D7E">
      <w:pPr>
        <w:numPr>
          <w:ilvl w:val="0"/>
          <w:numId w:val="26"/>
        </w:numPr>
        <w:ind w:left="283" w:hanging="357"/>
        <w:rPr>
          <w:rFonts w:ascii="Garamond" w:hAnsi="Garamond"/>
          <w:sz w:val="20"/>
          <w:szCs w:val="20"/>
        </w:rPr>
      </w:pPr>
      <w:r w:rsidRPr="00B01D7E">
        <w:rPr>
          <w:rFonts w:ascii="Garamond" w:hAnsi="Garamond"/>
          <w:sz w:val="20"/>
          <w:szCs w:val="20"/>
        </w:rPr>
        <w:t>NESREA. (2009). National Environmental (Noise Standards and Control) Regulations, 2009. Federal Republic of Nigeria Official Gazette.</w:t>
      </w:r>
    </w:p>
    <w:p w14:paraId="047A1AAB" w14:textId="77777777" w:rsidR="00D441C5" w:rsidRPr="00B01D7E" w:rsidRDefault="00D441C5" w:rsidP="00B01D7E">
      <w:pPr>
        <w:numPr>
          <w:ilvl w:val="0"/>
          <w:numId w:val="26"/>
        </w:numPr>
        <w:ind w:left="283" w:hanging="357"/>
        <w:rPr>
          <w:rFonts w:ascii="Garamond" w:hAnsi="Garamond"/>
          <w:sz w:val="20"/>
          <w:szCs w:val="20"/>
        </w:rPr>
      </w:pPr>
      <w:r w:rsidRPr="00B01D7E">
        <w:rPr>
          <w:rFonts w:ascii="Garamond" w:hAnsi="Garamond"/>
          <w:sz w:val="20"/>
          <w:szCs w:val="20"/>
        </w:rPr>
        <w:t xml:space="preserve">Francis A, Sani S, Abubakar A. Evaluation of noise levels in Ahmadu Bello University main campus, Samaru, Zaria, Nigeria. J </w:t>
      </w:r>
      <w:proofErr w:type="spellStart"/>
      <w:r w:rsidRPr="00B01D7E">
        <w:rPr>
          <w:rFonts w:ascii="Garamond" w:hAnsi="Garamond"/>
          <w:sz w:val="20"/>
          <w:szCs w:val="20"/>
        </w:rPr>
        <w:t>Occup</w:t>
      </w:r>
      <w:proofErr w:type="spellEnd"/>
      <w:r w:rsidRPr="00B01D7E">
        <w:rPr>
          <w:rFonts w:ascii="Garamond" w:hAnsi="Garamond"/>
          <w:sz w:val="20"/>
          <w:szCs w:val="20"/>
        </w:rPr>
        <w:t xml:space="preserve"> Saf Environ Health. 2023;5(1):46-55. https://sosehnigeria.org/wp-content/uploads/2023/08/2023_PAPER-04.pdf</w:t>
      </w:r>
    </w:p>
    <w:p w14:paraId="5B5DBE41" w14:textId="77777777" w:rsidR="00D441C5" w:rsidRPr="00B01D7E" w:rsidRDefault="00D441C5" w:rsidP="00B01D7E">
      <w:pPr>
        <w:numPr>
          <w:ilvl w:val="0"/>
          <w:numId w:val="26"/>
        </w:numPr>
        <w:ind w:left="283" w:hanging="357"/>
        <w:rPr>
          <w:rFonts w:ascii="Garamond" w:hAnsi="Garamond"/>
          <w:sz w:val="20"/>
          <w:szCs w:val="20"/>
        </w:rPr>
      </w:pPr>
      <w:proofErr w:type="spellStart"/>
      <w:r w:rsidRPr="00B01D7E">
        <w:rPr>
          <w:rFonts w:ascii="Garamond" w:hAnsi="Garamond"/>
          <w:sz w:val="20"/>
          <w:szCs w:val="20"/>
          <w:lang w:val="en-GB"/>
        </w:rPr>
        <w:t>Dzhambov</w:t>
      </w:r>
      <w:proofErr w:type="spellEnd"/>
      <w:r w:rsidRPr="00B01D7E">
        <w:rPr>
          <w:rFonts w:ascii="Garamond" w:hAnsi="Garamond"/>
          <w:sz w:val="20"/>
          <w:szCs w:val="20"/>
          <w:lang w:val="en-GB"/>
        </w:rPr>
        <w:t xml:space="preserve"> AM. Noise sensitivity: a neurophenomenological perspective. Medical hypotheses. 2015 Nov 1;85(5):650-5</w:t>
      </w:r>
      <w:r w:rsidRPr="00B01D7E">
        <w:rPr>
          <w:rFonts w:ascii="Garamond" w:hAnsi="Garamond"/>
          <w:sz w:val="20"/>
          <w:szCs w:val="20"/>
        </w:rPr>
        <w:t xml:space="preserve">. </w:t>
      </w:r>
      <w:hyperlink r:id="rId42" w:history="1">
        <w:r w:rsidRPr="00B01D7E">
          <w:rPr>
            <w:rStyle w:val="Hyperlink"/>
            <w:rFonts w:ascii="Garamond" w:hAnsi="Garamond"/>
            <w:sz w:val="20"/>
            <w:szCs w:val="20"/>
          </w:rPr>
          <w:t>https://doi.org/10.1016/j.mehy.2015.08.006</w:t>
        </w:r>
      </w:hyperlink>
    </w:p>
    <w:p w14:paraId="36589CEE" w14:textId="77777777" w:rsidR="00D441C5" w:rsidRPr="00B01D7E" w:rsidRDefault="00D441C5" w:rsidP="00B01D7E">
      <w:pPr>
        <w:numPr>
          <w:ilvl w:val="0"/>
          <w:numId w:val="26"/>
        </w:numPr>
        <w:ind w:left="283" w:hanging="357"/>
        <w:rPr>
          <w:rFonts w:ascii="Garamond" w:hAnsi="Garamond"/>
          <w:sz w:val="20"/>
          <w:szCs w:val="20"/>
        </w:rPr>
      </w:pPr>
      <w:proofErr w:type="spellStart"/>
      <w:r w:rsidRPr="00B01D7E">
        <w:rPr>
          <w:rFonts w:ascii="Garamond" w:hAnsi="Garamond"/>
          <w:sz w:val="20"/>
          <w:szCs w:val="20"/>
          <w:lang w:val="en-GB"/>
        </w:rPr>
        <w:t>Sörqvist</w:t>
      </w:r>
      <w:proofErr w:type="spellEnd"/>
      <w:r w:rsidRPr="00B01D7E">
        <w:rPr>
          <w:rFonts w:ascii="Garamond" w:hAnsi="Garamond"/>
          <w:sz w:val="20"/>
          <w:szCs w:val="20"/>
          <w:lang w:val="en-GB"/>
        </w:rPr>
        <w:t xml:space="preserve"> P. On interpretation and task selection in studies on the effects of noise on cognitive performance. Frontiers in psychology. 2014 Oct </w:t>
      </w:r>
      <w:proofErr w:type="gramStart"/>
      <w:r w:rsidRPr="00B01D7E">
        <w:rPr>
          <w:rFonts w:ascii="Garamond" w:hAnsi="Garamond"/>
          <w:sz w:val="20"/>
          <w:szCs w:val="20"/>
          <w:lang w:val="en-GB"/>
        </w:rPr>
        <w:t>30;5:1249</w:t>
      </w:r>
      <w:proofErr w:type="gramEnd"/>
      <w:r w:rsidRPr="00B01D7E">
        <w:rPr>
          <w:rFonts w:ascii="Garamond" w:hAnsi="Garamond"/>
          <w:sz w:val="20"/>
          <w:szCs w:val="20"/>
          <w:lang w:val="en-GB"/>
        </w:rPr>
        <w:t xml:space="preserve">. </w:t>
      </w:r>
      <w:hyperlink r:id="rId43" w:history="1">
        <w:r w:rsidRPr="00B01D7E">
          <w:rPr>
            <w:rStyle w:val="Hyperlink"/>
            <w:rFonts w:ascii="Garamond" w:hAnsi="Garamond"/>
            <w:sz w:val="20"/>
            <w:szCs w:val="20"/>
          </w:rPr>
          <w:t>https://doi.org/10.3389/fpsyg.2014.01249</w:t>
        </w:r>
      </w:hyperlink>
    </w:p>
    <w:p w14:paraId="00891DB9" w14:textId="36F18B7B" w:rsidR="00D441C5" w:rsidRPr="00B01D7E" w:rsidRDefault="00D441C5" w:rsidP="00B01D7E">
      <w:pPr>
        <w:numPr>
          <w:ilvl w:val="0"/>
          <w:numId w:val="26"/>
        </w:numPr>
        <w:ind w:left="283" w:hanging="357"/>
        <w:rPr>
          <w:rFonts w:ascii="Garamond" w:hAnsi="Garamond"/>
          <w:sz w:val="20"/>
          <w:szCs w:val="20"/>
        </w:rPr>
      </w:pPr>
      <w:proofErr w:type="spellStart"/>
      <w:r w:rsidRPr="00B01D7E">
        <w:rPr>
          <w:rFonts w:ascii="Garamond" w:hAnsi="Garamond"/>
          <w:sz w:val="20"/>
          <w:szCs w:val="20"/>
          <w:lang w:val="en-GB"/>
        </w:rPr>
        <w:t>Schlittmeier</w:t>
      </w:r>
      <w:proofErr w:type="spellEnd"/>
      <w:r w:rsidRPr="00B01D7E">
        <w:rPr>
          <w:rFonts w:ascii="Garamond" w:hAnsi="Garamond"/>
          <w:sz w:val="20"/>
          <w:szCs w:val="20"/>
          <w:lang w:val="en-GB"/>
        </w:rPr>
        <w:t xml:space="preserve"> SJ, Feil A, Liebl A, </w:t>
      </w:r>
      <w:proofErr w:type="spellStart"/>
      <w:r w:rsidRPr="00B01D7E">
        <w:rPr>
          <w:rFonts w:ascii="Garamond" w:hAnsi="Garamond"/>
          <w:sz w:val="20"/>
          <w:szCs w:val="20"/>
          <w:lang w:val="en-GB"/>
        </w:rPr>
        <w:t>Hellbr</w:t>
      </w:r>
      <w:proofErr w:type="spellEnd"/>
      <w:r w:rsidRPr="00B01D7E">
        <w:rPr>
          <w:rFonts w:ascii="Garamond" w:hAnsi="Garamond"/>
          <w:sz w:val="20"/>
          <w:szCs w:val="20"/>
          <w:lang w:val="en-GB"/>
        </w:rPr>
        <w:t xml:space="preserve"> Ck JR. The impact of road traffic noise on cognitive performance in attention-based tasks depends on noise level even within moderate-level ranges. Noise Health. 2015 May-Jun;17(76):148-57. </w:t>
      </w:r>
      <w:proofErr w:type="spellStart"/>
      <w:r w:rsidRPr="00B01D7E">
        <w:rPr>
          <w:rFonts w:ascii="Garamond" w:hAnsi="Garamond"/>
          <w:sz w:val="20"/>
          <w:szCs w:val="20"/>
          <w:lang w:val="en-GB"/>
        </w:rPr>
        <w:t>doi</w:t>
      </w:r>
      <w:proofErr w:type="spellEnd"/>
      <w:r w:rsidRPr="00B01D7E">
        <w:rPr>
          <w:rFonts w:ascii="Garamond" w:hAnsi="Garamond"/>
          <w:sz w:val="20"/>
          <w:szCs w:val="20"/>
          <w:lang w:val="en-GB"/>
        </w:rPr>
        <w:t xml:space="preserve">: 10.4103/1463-1741.155845. </w:t>
      </w:r>
    </w:p>
    <w:p w14:paraId="2745EBB8" w14:textId="77777777" w:rsidR="00D441C5" w:rsidRPr="00B01D7E" w:rsidRDefault="00D441C5" w:rsidP="00B01D7E">
      <w:pPr>
        <w:numPr>
          <w:ilvl w:val="0"/>
          <w:numId w:val="26"/>
        </w:numPr>
        <w:ind w:left="283" w:hanging="357"/>
        <w:rPr>
          <w:rFonts w:ascii="Garamond" w:hAnsi="Garamond"/>
          <w:sz w:val="20"/>
          <w:szCs w:val="20"/>
        </w:rPr>
      </w:pPr>
      <w:r w:rsidRPr="00B01D7E">
        <w:rPr>
          <w:rFonts w:ascii="Garamond" w:hAnsi="Garamond"/>
          <w:sz w:val="20"/>
          <w:szCs w:val="20"/>
          <w:lang w:val="en-GB"/>
        </w:rPr>
        <w:t xml:space="preserve">Brink M, Schäffer B, Vienneau D, </w:t>
      </w:r>
      <w:proofErr w:type="spellStart"/>
      <w:r w:rsidRPr="00B01D7E">
        <w:rPr>
          <w:rFonts w:ascii="Garamond" w:hAnsi="Garamond"/>
          <w:sz w:val="20"/>
          <w:szCs w:val="20"/>
          <w:lang w:val="en-GB"/>
        </w:rPr>
        <w:t>Foraster</w:t>
      </w:r>
      <w:proofErr w:type="spellEnd"/>
      <w:r w:rsidRPr="00B01D7E">
        <w:rPr>
          <w:rFonts w:ascii="Garamond" w:hAnsi="Garamond"/>
          <w:sz w:val="20"/>
          <w:szCs w:val="20"/>
          <w:lang w:val="en-GB"/>
        </w:rPr>
        <w:t xml:space="preserve"> M, Pieren R, Eze IC, </w:t>
      </w:r>
      <w:proofErr w:type="spellStart"/>
      <w:r w:rsidRPr="00B01D7E">
        <w:rPr>
          <w:rFonts w:ascii="Garamond" w:hAnsi="Garamond"/>
          <w:sz w:val="20"/>
          <w:szCs w:val="20"/>
          <w:lang w:val="en-GB"/>
        </w:rPr>
        <w:t>Cajochen</w:t>
      </w:r>
      <w:proofErr w:type="spellEnd"/>
      <w:r w:rsidRPr="00B01D7E">
        <w:rPr>
          <w:rFonts w:ascii="Garamond" w:hAnsi="Garamond"/>
          <w:sz w:val="20"/>
          <w:szCs w:val="20"/>
          <w:lang w:val="en-GB"/>
        </w:rPr>
        <w:t xml:space="preserve"> C, Probst-Hensch N, </w:t>
      </w:r>
      <w:proofErr w:type="spellStart"/>
      <w:r w:rsidRPr="00B01D7E">
        <w:rPr>
          <w:rFonts w:ascii="Garamond" w:hAnsi="Garamond"/>
          <w:sz w:val="20"/>
          <w:szCs w:val="20"/>
          <w:lang w:val="en-GB"/>
        </w:rPr>
        <w:t>Röösli</w:t>
      </w:r>
      <w:proofErr w:type="spellEnd"/>
      <w:r w:rsidRPr="00B01D7E">
        <w:rPr>
          <w:rFonts w:ascii="Garamond" w:hAnsi="Garamond"/>
          <w:sz w:val="20"/>
          <w:szCs w:val="20"/>
          <w:lang w:val="en-GB"/>
        </w:rPr>
        <w:t xml:space="preserve"> M, </w:t>
      </w:r>
      <w:proofErr w:type="spellStart"/>
      <w:r w:rsidRPr="00B01D7E">
        <w:rPr>
          <w:rFonts w:ascii="Garamond" w:hAnsi="Garamond"/>
          <w:sz w:val="20"/>
          <w:szCs w:val="20"/>
          <w:lang w:val="en-GB"/>
        </w:rPr>
        <w:t>Wunderli</w:t>
      </w:r>
      <w:proofErr w:type="spellEnd"/>
      <w:r w:rsidRPr="00B01D7E">
        <w:rPr>
          <w:rFonts w:ascii="Garamond" w:hAnsi="Garamond"/>
          <w:sz w:val="20"/>
          <w:szCs w:val="20"/>
          <w:lang w:val="en-GB"/>
        </w:rPr>
        <w:t xml:space="preserve"> JM. A survey on exposure-response relationships for road, rail, and aircraft noise annoyance: Differences between continuous and intermittent noise. Environment international. 2019 Apr </w:t>
      </w:r>
      <w:proofErr w:type="gramStart"/>
      <w:r w:rsidRPr="00B01D7E">
        <w:rPr>
          <w:rFonts w:ascii="Garamond" w:hAnsi="Garamond"/>
          <w:sz w:val="20"/>
          <w:szCs w:val="20"/>
          <w:lang w:val="en-GB"/>
        </w:rPr>
        <w:t>1;125:277</w:t>
      </w:r>
      <w:proofErr w:type="gramEnd"/>
      <w:r w:rsidRPr="00B01D7E">
        <w:rPr>
          <w:rFonts w:ascii="Garamond" w:hAnsi="Garamond"/>
          <w:sz w:val="20"/>
          <w:szCs w:val="20"/>
          <w:lang w:val="en-GB"/>
        </w:rPr>
        <w:t>-90</w:t>
      </w:r>
      <w:r w:rsidRPr="00B01D7E">
        <w:rPr>
          <w:rFonts w:ascii="Garamond" w:hAnsi="Garamond"/>
          <w:sz w:val="20"/>
          <w:szCs w:val="20"/>
        </w:rPr>
        <w:t xml:space="preserve">. </w:t>
      </w:r>
      <w:hyperlink r:id="rId44" w:history="1">
        <w:r w:rsidRPr="00B01D7E">
          <w:rPr>
            <w:rStyle w:val="Hyperlink"/>
            <w:rFonts w:ascii="Garamond" w:hAnsi="Garamond"/>
            <w:sz w:val="20"/>
            <w:szCs w:val="20"/>
          </w:rPr>
          <w:t>https://doi.org/10.1016/j.envint.2019.01.043</w:t>
        </w:r>
      </w:hyperlink>
    </w:p>
    <w:p w14:paraId="4070BD73" w14:textId="77777777" w:rsidR="00D441C5" w:rsidRPr="00B01D7E" w:rsidRDefault="00D441C5" w:rsidP="00B01D7E">
      <w:pPr>
        <w:numPr>
          <w:ilvl w:val="0"/>
          <w:numId w:val="26"/>
        </w:numPr>
        <w:ind w:left="283" w:hanging="357"/>
        <w:rPr>
          <w:rFonts w:ascii="Garamond" w:hAnsi="Garamond"/>
          <w:sz w:val="20"/>
          <w:szCs w:val="20"/>
        </w:rPr>
      </w:pPr>
      <w:proofErr w:type="spellStart"/>
      <w:r w:rsidRPr="00B01D7E">
        <w:rPr>
          <w:rFonts w:ascii="Garamond" w:hAnsi="Garamond"/>
          <w:sz w:val="20"/>
          <w:szCs w:val="20"/>
          <w:lang w:val="en-GB"/>
        </w:rPr>
        <w:t>Brocolini</w:t>
      </w:r>
      <w:proofErr w:type="spellEnd"/>
      <w:r w:rsidRPr="00B01D7E">
        <w:rPr>
          <w:rFonts w:ascii="Garamond" w:hAnsi="Garamond"/>
          <w:sz w:val="20"/>
          <w:szCs w:val="20"/>
          <w:lang w:val="en-GB"/>
        </w:rPr>
        <w:t xml:space="preserve"> L, </w:t>
      </w:r>
      <w:proofErr w:type="spellStart"/>
      <w:r w:rsidRPr="00B01D7E">
        <w:rPr>
          <w:rFonts w:ascii="Garamond" w:hAnsi="Garamond"/>
          <w:sz w:val="20"/>
          <w:szCs w:val="20"/>
          <w:lang w:val="en-GB"/>
        </w:rPr>
        <w:t>Parizet</w:t>
      </w:r>
      <w:proofErr w:type="spellEnd"/>
      <w:r w:rsidRPr="00B01D7E">
        <w:rPr>
          <w:rFonts w:ascii="Garamond" w:hAnsi="Garamond"/>
          <w:sz w:val="20"/>
          <w:szCs w:val="20"/>
          <w:lang w:val="en-GB"/>
        </w:rPr>
        <w:t xml:space="preserve"> E, </w:t>
      </w:r>
      <w:proofErr w:type="spellStart"/>
      <w:r w:rsidRPr="00B01D7E">
        <w:rPr>
          <w:rFonts w:ascii="Garamond" w:hAnsi="Garamond"/>
          <w:sz w:val="20"/>
          <w:szCs w:val="20"/>
          <w:lang w:val="en-GB"/>
        </w:rPr>
        <w:t>Chevret</w:t>
      </w:r>
      <w:proofErr w:type="spellEnd"/>
      <w:r w:rsidRPr="00B01D7E">
        <w:rPr>
          <w:rFonts w:ascii="Garamond" w:hAnsi="Garamond"/>
          <w:sz w:val="20"/>
          <w:szCs w:val="20"/>
          <w:lang w:val="en-GB"/>
        </w:rPr>
        <w:t xml:space="preserve"> P. Effect of masking noise on cognitive performance and annoyance in open plan offices. Applied acoustics. 2016 Dec </w:t>
      </w:r>
      <w:proofErr w:type="gramStart"/>
      <w:r w:rsidRPr="00B01D7E">
        <w:rPr>
          <w:rFonts w:ascii="Garamond" w:hAnsi="Garamond"/>
          <w:sz w:val="20"/>
          <w:szCs w:val="20"/>
          <w:lang w:val="en-GB"/>
        </w:rPr>
        <w:t>15;114:44</w:t>
      </w:r>
      <w:proofErr w:type="gramEnd"/>
      <w:r w:rsidRPr="00B01D7E">
        <w:rPr>
          <w:rFonts w:ascii="Garamond" w:hAnsi="Garamond"/>
          <w:sz w:val="20"/>
          <w:szCs w:val="20"/>
          <w:lang w:val="en-GB"/>
        </w:rPr>
        <w:t xml:space="preserve">-55. </w:t>
      </w:r>
      <w:hyperlink r:id="rId45" w:history="1">
        <w:r w:rsidRPr="00B01D7E">
          <w:rPr>
            <w:rStyle w:val="Hyperlink"/>
            <w:rFonts w:ascii="Garamond" w:hAnsi="Garamond"/>
            <w:sz w:val="20"/>
            <w:szCs w:val="20"/>
          </w:rPr>
          <w:t>https://doi.org/10.1016/j.apacoust.2016.07.012</w:t>
        </w:r>
      </w:hyperlink>
    </w:p>
    <w:p w14:paraId="4020AE52" w14:textId="77777777" w:rsidR="00D441C5" w:rsidRPr="00B01D7E" w:rsidRDefault="00D441C5" w:rsidP="00B01D7E">
      <w:pPr>
        <w:numPr>
          <w:ilvl w:val="0"/>
          <w:numId w:val="26"/>
        </w:numPr>
        <w:ind w:left="283" w:hanging="357"/>
        <w:rPr>
          <w:rFonts w:ascii="Garamond" w:hAnsi="Garamond"/>
          <w:sz w:val="20"/>
          <w:szCs w:val="20"/>
        </w:rPr>
      </w:pPr>
      <w:r w:rsidRPr="00B01D7E">
        <w:rPr>
          <w:rFonts w:ascii="Garamond" w:hAnsi="Garamond"/>
          <w:sz w:val="20"/>
          <w:szCs w:val="20"/>
          <w:lang w:val="en-GB"/>
        </w:rPr>
        <w:t xml:space="preserve">Yerkes RM, Dodson JD. The Relation of Strength of Stimulus to Rapidity of Habit-Formation. Journal of Comparative Neurology and Psychology, 18, </w:t>
      </w:r>
      <w:r w:rsidRPr="00B01D7E">
        <w:rPr>
          <w:rFonts w:ascii="Garamond" w:hAnsi="Garamond"/>
          <w:sz w:val="20"/>
          <w:szCs w:val="20"/>
          <w:lang w:val="en-GB"/>
        </w:rPr>
        <w:lastRenderedPageBreak/>
        <w:t>459-482. http://dx.doi.org/10.1002/cne.920180503</w:t>
      </w:r>
      <w:r w:rsidRPr="00B01D7E">
        <w:rPr>
          <w:rFonts w:ascii="Garamond" w:hAnsi="Garamond"/>
          <w:sz w:val="20"/>
          <w:szCs w:val="20"/>
        </w:rPr>
        <w:t>.</w:t>
      </w:r>
    </w:p>
    <w:p w14:paraId="40CC5129" w14:textId="77777777" w:rsidR="00D441C5" w:rsidRPr="00B01D7E" w:rsidRDefault="00D441C5" w:rsidP="00B01D7E">
      <w:pPr>
        <w:numPr>
          <w:ilvl w:val="0"/>
          <w:numId w:val="26"/>
        </w:numPr>
        <w:ind w:left="283" w:hanging="357"/>
        <w:rPr>
          <w:rFonts w:ascii="Garamond" w:hAnsi="Garamond"/>
          <w:sz w:val="20"/>
          <w:szCs w:val="20"/>
        </w:rPr>
      </w:pPr>
      <w:r w:rsidRPr="00B01D7E">
        <w:rPr>
          <w:rFonts w:ascii="Garamond" w:hAnsi="Garamond"/>
          <w:sz w:val="20"/>
          <w:szCs w:val="20"/>
          <w:lang w:val="en-GB"/>
        </w:rPr>
        <w:t>Leist L, Lachmann T, Klatte M. Impact of irrelevant speech and non-speech sounds on serial recall of verbal and spatial items in children and adults. Scientific reports. 2025 Jan 14;15(1):1951.</w:t>
      </w:r>
      <w:r w:rsidRPr="00B01D7E">
        <w:rPr>
          <w:rFonts w:ascii="Garamond" w:hAnsi="Garamond"/>
          <w:sz w:val="20"/>
          <w:szCs w:val="20"/>
        </w:rPr>
        <w:t xml:space="preserve"> </w:t>
      </w:r>
      <w:hyperlink r:id="rId46" w:history="1">
        <w:r w:rsidRPr="00B01D7E">
          <w:rPr>
            <w:rStyle w:val="Hyperlink"/>
            <w:rFonts w:ascii="Garamond" w:hAnsi="Garamond"/>
            <w:sz w:val="20"/>
            <w:szCs w:val="20"/>
          </w:rPr>
          <w:t>https://doi.org/10.1038/s41598-025-85855-w</w:t>
        </w:r>
      </w:hyperlink>
    </w:p>
    <w:p w14:paraId="795275C5" w14:textId="77777777" w:rsidR="00D441C5" w:rsidRPr="00B01D7E" w:rsidRDefault="00D441C5" w:rsidP="00B01D7E">
      <w:pPr>
        <w:numPr>
          <w:ilvl w:val="0"/>
          <w:numId w:val="26"/>
        </w:numPr>
        <w:ind w:left="283" w:hanging="357"/>
        <w:rPr>
          <w:rFonts w:ascii="Garamond" w:hAnsi="Garamond"/>
          <w:sz w:val="20"/>
          <w:szCs w:val="20"/>
          <w:lang w:val="en-GB"/>
        </w:rPr>
      </w:pPr>
      <w:proofErr w:type="spellStart"/>
      <w:r w:rsidRPr="00B01D7E">
        <w:rPr>
          <w:rFonts w:ascii="Garamond" w:hAnsi="Garamond"/>
          <w:sz w:val="20"/>
          <w:szCs w:val="20"/>
          <w:lang w:val="en-GB"/>
        </w:rPr>
        <w:t>Meteyard</w:t>
      </w:r>
      <w:proofErr w:type="spellEnd"/>
      <w:r w:rsidRPr="00B01D7E">
        <w:rPr>
          <w:rFonts w:ascii="Garamond" w:hAnsi="Garamond"/>
          <w:sz w:val="20"/>
          <w:szCs w:val="20"/>
          <w:lang w:val="en-GB"/>
        </w:rPr>
        <w:t xml:space="preserve"> L, Davies RA. Best practice guidance for linear mixed-effects models in psychological science. Journal of Memory and Language. 2020 Jun </w:t>
      </w:r>
      <w:proofErr w:type="gramStart"/>
      <w:r w:rsidRPr="00B01D7E">
        <w:rPr>
          <w:rFonts w:ascii="Garamond" w:hAnsi="Garamond"/>
          <w:sz w:val="20"/>
          <w:szCs w:val="20"/>
          <w:lang w:val="en-GB"/>
        </w:rPr>
        <w:t>1;112:104092</w:t>
      </w:r>
      <w:proofErr w:type="gramEnd"/>
      <w:r w:rsidRPr="00B01D7E">
        <w:rPr>
          <w:rFonts w:ascii="Garamond" w:hAnsi="Garamond"/>
          <w:sz w:val="20"/>
          <w:szCs w:val="20"/>
          <w:lang w:val="en-GB"/>
        </w:rPr>
        <w:t>. https://doi.org/10.1016/j.jml.2020.104092</w:t>
      </w:r>
    </w:p>
    <w:p w14:paraId="6B7D0BA3" w14:textId="77777777" w:rsidR="00D441C5" w:rsidRDefault="00D441C5" w:rsidP="00B01D7E">
      <w:pPr>
        <w:numPr>
          <w:ilvl w:val="0"/>
          <w:numId w:val="26"/>
        </w:numPr>
        <w:ind w:left="283" w:hanging="357"/>
        <w:rPr>
          <w:rFonts w:ascii="Garamond" w:hAnsi="Garamond"/>
          <w:sz w:val="20"/>
          <w:szCs w:val="20"/>
        </w:rPr>
      </w:pPr>
      <w:r w:rsidRPr="00B01D7E">
        <w:rPr>
          <w:rFonts w:ascii="Garamond" w:hAnsi="Garamond"/>
          <w:sz w:val="20"/>
          <w:szCs w:val="20"/>
          <w:lang w:val="en-GB"/>
        </w:rPr>
        <w:t xml:space="preserve">Szalma JL, Hancock PA. Noise effects on human performance: a meta-analytic synthesis. </w:t>
      </w:r>
      <w:proofErr w:type="spellStart"/>
      <w:r w:rsidRPr="00B01D7E">
        <w:rPr>
          <w:rFonts w:ascii="Garamond" w:hAnsi="Garamond"/>
          <w:sz w:val="20"/>
          <w:szCs w:val="20"/>
          <w:lang w:val="en-GB"/>
        </w:rPr>
        <w:t>Psychol</w:t>
      </w:r>
      <w:proofErr w:type="spellEnd"/>
      <w:r w:rsidRPr="00B01D7E">
        <w:rPr>
          <w:rFonts w:ascii="Garamond" w:hAnsi="Garamond"/>
          <w:sz w:val="20"/>
          <w:szCs w:val="20"/>
          <w:lang w:val="en-GB"/>
        </w:rPr>
        <w:t xml:space="preserve"> Bull. 2011 Jul;137(4):682-707. </w:t>
      </w:r>
      <w:hyperlink r:id="rId47" w:history="1">
        <w:r w:rsidRPr="00B01D7E">
          <w:rPr>
            <w:rStyle w:val="Hyperlink"/>
            <w:rFonts w:ascii="Garamond" w:hAnsi="Garamond"/>
            <w:sz w:val="20"/>
            <w:szCs w:val="20"/>
          </w:rPr>
          <w:t>https://doi.org/10.1037/a0023987</w:t>
        </w:r>
      </w:hyperlink>
    </w:p>
    <w:p w14:paraId="01A7DDBE" w14:textId="77777777" w:rsidR="00E840EF" w:rsidRDefault="00E840EF" w:rsidP="00E840EF">
      <w:pPr>
        <w:rPr>
          <w:rFonts w:ascii="Garamond" w:hAnsi="Garamond"/>
          <w:sz w:val="20"/>
          <w:szCs w:val="20"/>
        </w:rPr>
      </w:pPr>
    </w:p>
    <w:p w14:paraId="317059BF" w14:textId="77777777" w:rsidR="00E840EF" w:rsidRPr="00B01D7E" w:rsidRDefault="00E840EF" w:rsidP="00E840EF">
      <w:pPr>
        <w:rPr>
          <w:rFonts w:ascii="Garamond" w:hAnsi="Garamond"/>
          <w:sz w:val="20"/>
          <w:szCs w:val="20"/>
        </w:rPr>
      </w:pPr>
    </w:p>
    <w:p w14:paraId="7743D4A3" w14:textId="77777777" w:rsidR="00D441C5" w:rsidRDefault="00D441C5" w:rsidP="007A1526">
      <w:pPr>
        <w:spacing w:line="259" w:lineRule="auto"/>
        <w:jc w:val="both"/>
        <w:rPr>
          <w:rFonts w:ascii="Garamond" w:hAnsi="Garamond"/>
          <w:iCs/>
          <w:sz w:val="20"/>
          <w:szCs w:val="20"/>
        </w:rPr>
      </w:pPr>
    </w:p>
    <w:p w14:paraId="67810072" w14:textId="77777777" w:rsidR="00D441C5" w:rsidRDefault="00D441C5" w:rsidP="007A1526">
      <w:pPr>
        <w:spacing w:line="259" w:lineRule="auto"/>
        <w:jc w:val="both"/>
        <w:rPr>
          <w:rFonts w:ascii="Garamond" w:hAnsi="Garamond"/>
          <w:iCs/>
          <w:sz w:val="20"/>
          <w:szCs w:val="20"/>
        </w:rPr>
      </w:pPr>
    </w:p>
    <w:p w14:paraId="6C4B5C09" w14:textId="77777777" w:rsidR="00D441C5" w:rsidRDefault="00D441C5" w:rsidP="007A1526">
      <w:pPr>
        <w:spacing w:line="259" w:lineRule="auto"/>
        <w:jc w:val="both"/>
        <w:rPr>
          <w:rFonts w:ascii="Garamond" w:hAnsi="Garamond"/>
          <w:iCs/>
          <w:sz w:val="20"/>
          <w:szCs w:val="20"/>
        </w:rPr>
      </w:pPr>
    </w:p>
    <w:sectPr w:rsidR="00D441C5" w:rsidSect="003D02D5">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E5620" w14:textId="77777777" w:rsidR="00B20C03" w:rsidRDefault="00B20C03" w:rsidP="00202B90">
      <w:r>
        <w:separator/>
      </w:r>
    </w:p>
  </w:endnote>
  <w:endnote w:type="continuationSeparator" w:id="0">
    <w:p w14:paraId="78359421" w14:textId="77777777" w:rsidR="00B20C03" w:rsidRDefault="00B20C03"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&#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D336C" w14:textId="77777777" w:rsidR="00B20C03" w:rsidRDefault="00B20C03" w:rsidP="00202B90">
      <w:bookmarkStart w:id="0" w:name="_Hlk191386689"/>
      <w:bookmarkEnd w:id="0"/>
      <w:r>
        <w:separator/>
      </w:r>
    </w:p>
  </w:footnote>
  <w:footnote w:type="continuationSeparator" w:id="0">
    <w:p w14:paraId="67094204" w14:textId="77777777" w:rsidR="00B20C03" w:rsidRDefault="00B20C03"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04BFC58D" w14:textId="77777777" w:rsidR="005C344C" w:rsidRDefault="005C344C" w:rsidP="00E94E49">
    <w:pPr>
      <w:pStyle w:val="Header"/>
      <w:tabs>
        <w:tab w:val="clear" w:pos="4320"/>
        <w:tab w:val="clear" w:pos="8640"/>
        <w:tab w:val="left" w:pos="630"/>
      </w:tabs>
      <w:jc w:val="both"/>
      <w:rPr>
        <w:rFonts w:ascii="Garamond" w:hAnsi="Garamond"/>
        <w:sz w:val="20"/>
        <w:szCs w:val="22"/>
        <w:lang w:val="en-GB"/>
      </w:rPr>
    </w:pPr>
    <w:r w:rsidRPr="005C344C">
      <w:rPr>
        <w:rFonts w:ascii="Garamond" w:hAnsi="Garamond"/>
        <w:sz w:val="20"/>
        <w:szCs w:val="22"/>
      </w:rPr>
      <w:t>Noise exposure and cognitive performance</w:t>
    </w:r>
    <w:r w:rsidRPr="005C344C">
      <w:rPr>
        <w:rFonts w:ascii="Garamond" w:hAnsi="Garamond"/>
        <w:sz w:val="20"/>
        <w:szCs w:val="22"/>
        <w:lang w:val="en-GB"/>
      </w:rPr>
      <w:t xml:space="preserve"> </w:t>
    </w:r>
  </w:p>
  <w:p w14:paraId="5D172485" w14:textId="6504656A" w:rsidR="002238CA" w:rsidRDefault="005C344C" w:rsidP="00E94E49">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Oyerinde</w:t>
    </w:r>
    <w:proofErr w:type="spellEnd"/>
    <w:r w:rsidR="008134A3">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547D27B9" w14:textId="77777777" w:rsidR="005C344C" w:rsidRDefault="005C344C" w:rsidP="005C344C">
    <w:pPr>
      <w:pStyle w:val="Header"/>
      <w:tabs>
        <w:tab w:val="clear" w:pos="4320"/>
        <w:tab w:val="clear" w:pos="8640"/>
        <w:tab w:val="left" w:pos="630"/>
      </w:tabs>
      <w:jc w:val="both"/>
      <w:rPr>
        <w:rFonts w:ascii="Garamond" w:hAnsi="Garamond"/>
        <w:sz w:val="20"/>
        <w:szCs w:val="22"/>
        <w:lang w:val="en-GB"/>
      </w:rPr>
    </w:pPr>
    <w:r w:rsidRPr="005C344C">
      <w:rPr>
        <w:rFonts w:ascii="Garamond" w:hAnsi="Garamond"/>
        <w:sz w:val="20"/>
        <w:szCs w:val="22"/>
      </w:rPr>
      <w:t>Noise exposure and cognitive performance</w:t>
    </w:r>
    <w:r w:rsidRPr="005C344C">
      <w:rPr>
        <w:rFonts w:ascii="Garamond" w:hAnsi="Garamond"/>
        <w:sz w:val="20"/>
        <w:szCs w:val="22"/>
        <w:lang w:val="en-GB"/>
      </w:rPr>
      <w:t xml:space="preserve"> </w:t>
    </w:r>
  </w:p>
  <w:p w14:paraId="6069BBDF" w14:textId="77777777" w:rsidR="005C344C" w:rsidRDefault="005C344C" w:rsidP="005C344C">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Oyerinde</w:t>
    </w:r>
    <w:proofErr w:type="spellEnd"/>
    <w:r>
      <w:rPr>
        <w:rFonts w:ascii="Garamond" w:hAnsi="Garamond"/>
        <w:sz w:val="20"/>
        <w:szCs w:val="22"/>
      </w:rPr>
      <w:t xml:space="preserve">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367ADCC3" w14:textId="77777777" w:rsidR="005C344C" w:rsidRDefault="005C344C" w:rsidP="005C344C">
    <w:pPr>
      <w:pStyle w:val="Header"/>
      <w:tabs>
        <w:tab w:val="clear" w:pos="4320"/>
        <w:tab w:val="clear" w:pos="8640"/>
        <w:tab w:val="left" w:pos="630"/>
      </w:tabs>
      <w:jc w:val="both"/>
      <w:rPr>
        <w:rFonts w:ascii="Garamond" w:hAnsi="Garamond"/>
        <w:sz w:val="20"/>
        <w:szCs w:val="22"/>
        <w:lang w:val="en-GB"/>
      </w:rPr>
    </w:pPr>
    <w:r w:rsidRPr="005C344C">
      <w:rPr>
        <w:rFonts w:ascii="Garamond" w:hAnsi="Garamond"/>
        <w:sz w:val="20"/>
        <w:szCs w:val="22"/>
      </w:rPr>
      <w:t>Noise exposure and cognitive performance</w:t>
    </w:r>
    <w:r w:rsidRPr="005C344C">
      <w:rPr>
        <w:rFonts w:ascii="Garamond" w:hAnsi="Garamond"/>
        <w:sz w:val="20"/>
        <w:szCs w:val="22"/>
        <w:lang w:val="en-GB"/>
      </w:rPr>
      <w:t xml:space="preserve"> </w:t>
    </w:r>
  </w:p>
  <w:p w14:paraId="2273EDF9" w14:textId="77777777" w:rsidR="005C344C" w:rsidRDefault="005C344C" w:rsidP="005C344C">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Oyerinde</w:t>
    </w:r>
    <w:proofErr w:type="spellEnd"/>
    <w:r>
      <w:rPr>
        <w:rFonts w:ascii="Garamond" w:hAnsi="Garamond"/>
        <w:sz w:val="20"/>
        <w:szCs w:val="22"/>
      </w:rPr>
      <w:t xml:space="preserve">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99513F"/>
    <w:multiLevelType w:val="hybridMultilevel"/>
    <w:tmpl w:val="656A23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4"/>
  </w:num>
  <w:num w:numId="4" w16cid:durableId="1129132120">
    <w:abstractNumId w:val="12"/>
  </w:num>
  <w:num w:numId="5" w16cid:durableId="970405640">
    <w:abstractNumId w:val="4"/>
  </w:num>
  <w:num w:numId="6" w16cid:durableId="1155297297">
    <w:abstractNumId w:val="0"/>
  </w:num>
  <w:num w:numId="7" w16cid:durableId="1289319636">
    <w:abstractNumId w:val="17"/>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3"/>
  </w:num>
  <w:num w:numId="10" w16cid:durableId="1714503964">
    <w:abstractNumId w:val="15"/>
  </w:num>
  <w:num w:numId="11" w16cid:durableId="624430197">
    <w:abstractNumId w:val="9"/>
  </w:num>
  <w:num w:numId="12" w16cid:durableId="1779639381">
    <w:abstractNumId w:val="19"/>
  </w:num>
  <w:num w:numId="13" w16cid:durableId="52851340">
    <w:abstractNumId w:val="20"/>
  </w:num>
  <w:num w:numId="14" w16cid:durableId="1055860988">
    <w:abstractNumId w:val="11"/>
  </w:num>
  <w:num w:numId="15" w16cid:durableId="1380934824">
    <w:abstractNumId w:val="21"/>
  </w:num>
  <w:num w:numId="16" w16cid:durableId="1314261793">
    <w:abstractNumId w:val="5"/>
  </w:num>
  <w:num w:numId="17" w16cid:durableId="1221361593">
    <w:abstractNumId w:val="24"/>
  </w:num>
  <w:num w:numId="18" w16cid:durableId="377054002">
    <w:abstractNumId w:val="7"/>
  </w:num>
  <w:num w:numId="19" w16cid:durableId="513375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2"/>
  </w:num>
  <w:num w:numId="21" w16cid:durableId="299457719">
    <w:abstractNumId w:val="8"/>
  </w:num>
  <w:num w:numId="22" w16cid:durableId="1575044381">
    <w:abstractNumId w:val="18"/>
  </w:num>
  <w:num w:numId="23" w16cid:durableId="1550071572">
    <w:abstractNumId w:val="25"/>
  </w:num>
  <w:num w:numId="24" w16cid:durableId="1200505831">
    <w:abstractNumId w:val="23"/>
  </w:num>
  <w:num w:numId="25" w16cid:durableId="1501195848">
    <w:abstractNumId w:val="3"/>
  </w:num>
  <w:num w:numId="26" w16cid:durableId="2028407665">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4042"/>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3ACA"/>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C21"/>
    <w:rsid w:val="002A2C5B"/>
    <w:rsid w:val="002A5C1C"/>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0AB"/>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385D"/>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344C"/>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91CF0"/>
    <w:rsid w:val="006A11FA"/>
    <w:rsid w:val="006A2484"/>
    <w:rsid w:val="006A3912"/>
    <w:rsid w:val="006A60E9"/>
    <w:rsid w:val="006B0F53"/>
    <w:rsid w:val="006B1305"/>
    <w:rsid w:val="006B1C19"/>
    <w:rsid w:val="006B3919"/>
    <w:rsid w:val="006B7D6A"/>
    <w:rsid w:val="006C0A7F"/>
    <w:rsid w:val="006C7AC4"/>
    <w:rsid w:val="006D008D"/>
    <w:rsid w:val="006D06A4"/>
    <w:rsid w:val="006D4B4F"/>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16B70"/>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4B1"/>
    <w:rsid w:val="00A7575B"/>
    <w:rsid w:val="00A76763"/>
    <w:rsid w:val="00A812B6"/>
    <w:rsid w:val="00A822A5"/>
    <w:rsid w:val="00A9005E"/>
    <w:rsid w:val="00A975BD"/>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1D7E"/>
    <w:rsid w:val="00B02718"/>
    <w:rsid w:val="00B02A8E"/>
    <w:rsid w:val="00B03805"/>
    <w:rsid w:val="00B07616"/>
    <w:rsid w:val="00B1514C"/>
    <w:rsid w:val="00B201CD"/>
    <w:rsid w:val="00B20C03"/>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32C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7A3"/>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37A38"/>
    <w:rsid w:val="00D4136D"/>
    <w:rsid w:val="00D4198D"/>
    <w:rsid w:val="00D43546"/>
    <w:rsid w:val="00D43D85"/>
    <w:rsid w:val="00D441C5"/>
    <w:rsid w:val="00D50FD8"/>
    <w:rsid w:val="00D5241D"/>
    <w:rsid w:val="00D5423C"/>
    <w:rsid w:val="00D558E2"/>
    <w:rsid w:val="00D57548"/>
    <w:rsid w:val="00D60805"/>
    <w:rsid w:val="00D60F57"/>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840EF"/>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diagramData" Target="diagrams/data1.xml"/><Relationship Id="rId39" Type="http://schemas.openxmlformats.org/officeDocument/2006/relationships/hyperlink" Target="https://doi.org/10.9734/jerr/2020/v18i117198" TargetMode="External"/><Relationship Id="rId21" Type="http://schemas.openxmlformats.org/officeDocument/2006/relationships/image" Target="media/image3.jpeg"/><Relationship Id="rId34" Type="http://schemas.openxmlformats.org/officeDocument/2006/relationships/hyperlink" Target="https://doi.org/10.1155/2019/4623109" TargetMode="External"/><Relationship Id="rId42" Type="http://schemas.openxmlformats.org/officeDocument/2006/relationships/hyperlink" Target="https://doi.org/10.1016/j.mehy.2015.08.006" TargetMode="External"/><Relationship Id="rId47" Type="http://schemas.openxmlformats.org/officeDocument/2006/relationships/hyperlink" Target="https://doi.org/10.1037/a0023987"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diagramColors" Target="diagrams/colors1.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32" Type="http://schemas.openxmlformats.org/officeDocument/2006/relationships/hyperlink" Target="https://asjp.cerist.dz/index.php/en/article/246370" TargetMode="External"/><Relationship Id="rId37" Type="http://schemas.openxmlformats.org/officeDocument/2006/relationships/hyperlink" Target="https://doi.org/10.1037/bul0000124" TargetMode="External"/><Relationship Id="rId40" Type="http://schemas.openxmlformats.org/officeDocument/2006/relationships/hyperlink" Target="https://doi.org/10.33003/jees.2024.0102/05" TargetMode="External"/><Relationship Id="rId45" Type="http://schemas.openxmlformats.org/officeDocument/2006/relationships/hyperlink" Target="https://doi.org/10.1016/j.apacoust.2016.07.012"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300" TargetMode="External"/><Relationship Id="rId28" Type="http://schemas.openxmlformats.org/officeDocument/2006/relationships/diagramQuickStyle" Target="diagrams/quickStyle1.xml"/><Relationship Id="rId36" Type="http://schemas.openxmlformats.org/officeDocument/2006/relationships/hyperlink" Target="https://doi.org/10.1016/j.jenvp.2021.101646" TargetMode="External"/><Relationship Id="rId49"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4.jpeg"/><Relationship Id="rId44" Type="http://schemas.openxmlformats.org/officeDocument/2006/relationships/hyperlink" Target="https://doi.org/10.1016/j.envint.2019.01.043"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300" TargetMode="External"/><Relationship Id="rId27" Type="http://schemas.openxmlformats.org/officeDocument/2006/relationships/diagramLayout" Target="diagrams/layout1.xml"/><Relationship Id="rId30" Type="http://schemas.microsoft.com/office/2007/relationships/diagramDrawing" Target="diagrams/drawing1.xml"/><Relationship Id="rId35" Type="http://schemas.openxmlformats.org/officeDocument/2006/relationships/hyperlink" Target="https://doi.org/10.1002/biof.1506" TargetMode="External"/><Relationship Id="rId43" Type="http://schemas.openxmlformats.org/officeDocument/2006/relationships/hyperlink" Target="https://doi.org/10.3389/fpsyg.2014.01249" TargetMode="External"/><Relationship Id="rId48" Type="http://schemas.openxmlformats.org/officeDocument/2006/relationships/fontTable" Target="fontTable.xml"/><Relationship Id="rId8" Type="http://schemas.openxmlformats.org/officeDocument/2006/relationships/hyperlink" Target="mailto:omhspace@gmail.com"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33" Type="http://schemas.openxmlformats.org/officeDocument/2006/relationships/hyperlink" Target="https://doi.org/10.1080/09640568.2017.1385448" TargetMode="External"/><Relationship Id="rId38" Type="http://schemas.openxmlformats.org/officeDocument/2006/relationships/hyperlink" Target="https://doi.org/10.1080/03075079.2023.2271513" TargetMode="External"/><Relationship Id="rId46" Type="http://schemas.openxmlformats.org/officeDocument/2006/relationships/hyperlink" Target="https://doi.org/10.1038/s41598-025-85855-w" TargetMode="External"/><Relationship Id="rId20" Type="http://schemas.openxmlformats.org/officeDocument/2006/relationships/footer" Target="footer6.xml"/><Relationship Id="rId41" Type="http://schemas.openxmlformats.org/officeDocument/2006/relationships/hyperlink" Target="https://gjbeses.org/ses-journal/index.php/gjbe/article/view/45"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D56357D-046D-4C5A-A5C1-2036C9A53120}"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NG"/>
        </a:p>
      </dgm:t>
    </dgm:pt>
    <dgm:pt modelId="{6F071D1F-CB72-4249-B919-07F747C41A2E}">
      <dgm:prSet phldrT="[Text]" custT="1">
        <dgm:style>
          <a:lnRef idx="2">
            <a:schemeClr val="dk1"/>
          </a:lnRef>
          <a:fillRef idx="1">
            <a:schemeClr val="lt1"/>
          </a:fillRef>
          <a:effectRef idx="0">
            <a:schemeClr val="dk1"/>
          </a:effectRef>
          <a:fontRef idx="minor">
            <a:schemeClr val="dk1"/>
          </a:fontRef>
        </dgm:style>
      </dgm:prSet>
      <dgm:spPr>
        <a:xfrm>
          <a:off x="208102" y="41784"/>
          <a:ext cx="2325118" cy="514959"/>
        </a:xfrm>
        <a:prstGeom prst="rect">
          <a:avLst/>
        </a:prstGeom>
        <a:solidFill>
          <a:sysClr val="window" lastClr="FFFFFF"/>
        </a:solidFill>
        <a:ln w="19050" cap="flat" cmpd="sng" algn="ctr">
          <a:solidFill>
            <a:sysClr val="windowText" lastClr="000000"/>
          </a:solidFill>
          <a:prstDash val="solid"/>
          <a:miter lim="800000"/>
        </a:ln>
        <a:effectLst/>
      </dgm:spPr>
      <dgm:t>
        <a:bodyPr/>
        <a:lstStyle/>
        <a:p>
          <a:pPr>
            <a:buNone/>
          </a:pPr>
          <a:r>
            <a:rPr lang="en-NG" sz="900">
              <a:solidFill>
                <a:sysClr val="windowText" lastClr="000000"/>
              </a:solidFill>
              <a:latin typeface="Garamond" panose="02020404030301010803" pitchFamily="18" charset="0"/>
              <a:ea typeface="+mn-ea"/>
              <a:cs typeface="+mn-cs"/>
            </a:rPr>
            <a:t>Assessed for eligibility (n ≈ 50, via campus posters and announcements)</a:t>
          </a:r>
        </a:p>
      </dgm:t>
    </dgm:pt>
    <dgm:pt modelId="{92FA2726-AAFB-475F-92B2-E37616D015F0}" type="parTrans" cxnId="{750E1959-A15C-4351-9959-ECDAE2067213}">
      <dgm:prSet/>
      <dgm:spPr/>
      <dgm:t>
        <a:bodyPr/>
        <a:lstStyle/>
        <a:p>
          <a:endParaRPr lang="en-NG" sz="900">
            <a:latin typeface="Garamond" panose="02020404030301010803" pitchFamily="18" charset="0"/>
          </a:endParaRPr>
        </a:p>
      </dgm:t>
    </dgm:pt>
    <dgm:pt modelId="{A4D70FD0-FA42-4A35-9DA2-EF9EC7713E5C}" type="sibTrans" cxnId="{750E1959-A15C-4351-9959-ECDAE2067213}">
      <dgm:prSet/>
      <dgm:spPr/>
      <dgm:t>
        <a:bodyPr/>
        <a:lstStyle/>
        <a:p>
          <a:endParaRPr lang="en-NG" sz="900">
            <a:latin typeface="Garamond" panose="02020404030301010803" pitchFamily="18" charset="0"/>
          </a:endParaRPr>
        </a:p>
      </dgm:t>
    </dgm:pt>
    <dgm:pt modelId="{B614CCE1-BFD8-49DF-B1F6-B36E13C1DA0A}" type="asst">
      <dgm:prSet phldrT="[Text]" custT="1">
        <dgm:style>
          <a:lnRef idx="2">
            <a:schemeClr val="dk1"/>
          </a:lnRef>
          <a:fillRef idx="1">
            <a:schemeClr val="lt1"/>
          </a:fillRef>
          <a:effectRef idx="0">
            <a:schemeClr val="dk1"/>
          </a:effectRef>
          <a:fontRef idx="minor">
            <a:schemeClr val="dk1"/>
          </a:fontRef>
        </dgm:style>
      </dgm:prSet>
      <dgm:spPr>
        <a:xfrm>
          <a:off x="1407190" y="668078"/>
          <a:ext cx="2051019" cy="570922"/>
        </a:xfrm>
        <a:prstGeom prst="rect">
          <a:avLst/>
        </a:prstGeom>
        <a:solidFill>
          <a:sysClr val="window" lastClr="FFFFFF"/>
        </a:solidFill>
        <a:ln w="19050" cap="flat" cmpd="sng" algn="ctr">
          <a:solidFill>
            <a:sysClr val="windowText" lastClr="000000"/>
          </a:solidFill>
          <a:prstDash val="solid"/>
          <a:miter lim="800000"/>
        </a:ln>
        <a:effectLst/>
      </dgm:spPr>
      <dgm:t>
        <a:bodyPr/>
        <a:lstStyle/>
        <a:p>
          <a:pPr>
            <a:buSzPts val="1000"/>
            <a:buFont typeface="Symbol" panose="05050102010706020507" pitchFamily="18" charset="2"/>
            <a:buNone/>
          </a:pPr>
          <a:r>
            <a:rPr lang="en-NG" sz="900">
              <a:solidFill>
                <a:sysClr val="windowText" lastClr="000000"/>
              </a:solidFill>
              <a:latin typeface="Garamond" panose="02020404030301010803" pitchFamily="18" charset="0"/>
              <a:ea typeface="+mn-ea"/>
              <a:cs typeface="+mn-cs"/>
            </a:rPr>
            <a:t>Excluded (n ≈ 10)</a:t>
          </a:r>
        </a:p>
        <a:p>
          <a:pPr>
            <a:buSzPts val="1000"/>
            <a:buFont typeface="Symbol" panose="05050102010706020507" pitchFamily="18" charset="2"/>
            <a:buNone/>
          </a:pPr>
          <a:r>
            <a:rPr lang="en-NG" sz="900">
              <a:solidFill>
                <a:sysClr val="windowText" lastClr="000000"/>
              </a:solidFill>
              <a:latin typeface="Garamond" panose="02020404030301010803" pitchFamily="18" charset="0"/>
              <a:ea typeface="+mn-ea"/>
              <a:cs typeface="+mn-cs"/>
            </a:rPr>
            <a:t>Did not meet inclusion criteria or met exclusion criteria (n ≈ 10; e.g., scheduling conflicts, recent caffeine/alcohol)</a:t>
          </a:r>
          <a:endParaRPr lang="en-NG" sz="900" b="1">
            <a:solidFill>
              <a:sysClr val="windowText" lastClr="000000"/>
            </a:solidFill>
            <a:latin typeface="Garamond" panose="02020404030301010803" pitchFamily="18" charset="0"/>
            <a:ea typeface="+mn-ea"/>
            <a:cs typeface="+mn-cs"/>
          </a:endParaRPr>
        </a:p>
      </dgm:t>
    </dgm:pt>
    <dgm:pt modelId="{B4A776B4-BC30-42F9-BE83-38C15ED324D0}" type="parTrans" cxnId="{A50E16FE-0CDD-4972-BCB4-C4128763E1C0}">
      <dgm:prSet>
        <dgm:style>
          <a:lnRef idx="1">
            <a:schemeClr val="dk1"/>
          </a:lnRef>
          <a:fillRef idx="0">
            <a:schemeClr val="dk1"/>
          </a:fillRef>
          <a:effectRef idx="0">
            <a:schemeClr val="dk1"/>
          </a:effectRef>
          <a:fontRef idx="minor">
            <a:schemeClr val="tx1"/>
          </a:fontRef>
        </dgm:style>
      </dgm:prSet>
      <dgm:spPr>
        <a:xfrm>
          <a:off x="1324941" y="556743"/>
          <a:ext cx="91440" cy="396796"/>
        </a:xfrm>
        <a:custGeom>
          <a:avLst/>
          <a:gdLst/>
          <a:ahLst/>
          <a:cxnLst/>
          <a:rect l="0" t="0" r="0" b="0"/>
          <a:pathLst>
            <a:path>
              <a:moveTo>
                <a:pt x="45720" y="0"/>
              </a:moveTo>
              <a:lnTo>
                <a:pt x="45720" y="396796"/>
              </a:lnTo>
              <a:lnTo>
                <a:pt x="82248" y="396796"/>
              </a:lnTo>
            </a:path>
          </a:pathLst>
        </a:custGeom>
        <a:noFill/>
        <a:ln w="12700" cap="flat" cmpd="sng" algn="ctr">
          <a:solidFill>
            <a:sysClr val="windowText" lastClr="000000"/>
          </a:solidFill>
          <a:prstDash val="solid"/>
          <a:miter lim="800000"/>
        </a:ln>
        <a:effectLst/>
      </dgm:spPr>
      <dgm:t>
        <a:bodyPr/>
        <a:lstStyle/>
        <a:p>
          <a:endParaRPr lang="en-NG" sz="900">
            <a:latin typeface="Garamond" panose="02020404030301010803" pitchFamily="18" charset="0"/>
          </a:endParaRPr>
        </a:p>
      </dgm:t>
    </dgm:pt>
    <dgm:pt modelId="{A0911E61-8DD3-4542-B4F0-BC9073A365BB}" type="sibTrans" cxnId="{A50E16FE-0CDD-4972-BCB4-C4128763E1C0}">
      <dgm:prSet/>
      <dgm:spPr/>
      <dgm:t>
        <a:bodyPr/>
        <a:lstStyle/>
        <a:p>
          <a:endParaRPr lang="en-NG" sz="900">
            <a:latin typeface="Garamond" panose="02020404030301010803" pitchFamily="18" charset="0"/>
          </a:endParaRPr>
        </a:p>
      </dgm:t>
    </dgm:pt>
    <dgm:pt modelId="{AAA9F68F-C4F7-4FCD-BC83-2E341A57D674}">
      <dgm:prSet phldrT="[Text]" custT="1">
        <dgm:style>
          <a:lnRef idx="2">
            <a:schemeClr val="dk1"/>
          </a:lnRef>
          <a:fillRef idx="1">
            <a:schemeClr val="lt1"/>
          </a:fillRef>
          <a:effectRef idx="0">
            <a:schemeClr val="dk1"/>
          </a:effectRef>
          <a:fontRef idx="minor">
            <a:schemeClr val="dk1"/>
          </a:fontRef>
        </dgm:style>
      </dgm:prSet>
      <dgm:spPr>
        <a:xfrm>
          <a:off x="357331" y="1321955"/>
          <a:ext cx="2025022" cy="390524"/>
        </a:xfrm>
        <a:prstGeom prst="rect">
          <a:avLst/>
        </a:prstGeom>
        <a:solidFill>
          <a:sysClr val="window" lastClr="FFFFFF"/>
        </a:solidFill>
        <a:ln w="19050" cap="flat" cmpd="sng" algn="ctr">
          <a:solidFill>
            <a:sysClr val="windowText" lastClr="000000"/>
          </a:solidFill>
          <a:prstDash val="solid"/>
          <a:miter lim="800000"/>
        </a:ln>
        <a:effectLst/>
      </dgm:spPr>
      <dgm:t>
        <a:bodyPr/>
        <a:lstStyle/>
        <a:p>
          <a:pPr>
            <a:buNone/>
          </a:pPr>
          <a:r>
            <a:rPr lang="en-NG" sz="900">
              <a:solidFill>
                <a:sysClr val="windowText" lastClr="000000"/>
              </a:solidFill>
              <a:latin typeface="Garamond" panose="02020404030301010803" pitchFamily="18" charset="0"/>
              <a:ea typeface="+mn-ea"/>
              <a:cs typeface="+mn-cs"/>
            </a:rPr>
            <a:t>Enrolled and randomised to counterbalanced groups (n = 40)</a:t>
          </a:r>
          <a:endParaRPr lang="en-US" sz="900">
            <a:solidFill>
              <a:sysClr val="windowText" lastClr="000000"/>
            </a:solidFill>
            <a:latin typeface="Garamond" panose="02020404030301010803" pitchFamily="18" charset="0"/>
            <a:ea typeface="+mn-ea"/>
            <a:cs typeface="+mn-cs"/>
          </a:endParaRPr>
        </a:p>
      </dgm:t>
    </dgm:pt>
    <dgm:pt modelId="{62951D73-7A14-4D17-AA33-D5D5A7E0556A}" type="sibTrans" cxnId="{816C3715-5222-45ED-AF1C-F8B79A06C561}">
      <dgm:prSet/>
      <dgm:spPr/>
      <dgm:t>
        <a:bodyPr/>
        <a:lstStyle/>
        <a:p>
          <a:endParaRPr lang="en-NG" sz="900">
            <a:latin typeface="Garamond" panose="02020404030301010803" pitchFamily="18" charset="0"/>
          </a:endParaRPr>
        </a:p>
      </dgm:t>
    </dgm:pt>
    <dgm:pt modelId="{5937BF2E-8CAB-4D3D-897E-F8DAEBBF7AD0}" type="parTrans" cxnId="{816C3715-5222-45ED-AF1C-F8B79A06C561}">
      <dgm:prSet>
        <dgm:style>
          <a:lnRef idx="1">
            <a:schemeClr val="dk1"/>
          </a:lnRef>
          <a:fillRef idx="0">
            <a:schemeClr val="dk1"/>
          </a:fillRef>
          <a:effectRef idx="0">
            <a:schemeClr val="dk1"/>
          </a:effectRef>
          <a:fontRef idx="minor">
            <a:schemeClr val="tx1"/>
          </a:fontRef>
        </dgm:style>
      </dgm:prSet>
      <dgm:spPr>
        <a:xfrm>
          <a:off x="1324123" y="556743"/>
          <a:ext cx="91440" cy="765212"/>
        </a:xfrm>
        <a:custGeom>
          <a:avLst/>
          <a:gdLst/>
          <a:ahLst/>
          <a:cxnLst/>
          <a:rect l="0" t="0" r="0" b="0"/>
          <a:pathLst>
            <a:path>
              <a:moveTo>
                <a:pt x="46538" y="0"/>
              </a:moveTo>
              <a:lnTo>
                <a:pt x="46538" y="712188"/>
              </a:lnTo>
              <a:lnTo>
                <a:pt x="45720" y="712188"/>
              </a:lnTo>
              <a:lnTo>
                <a:pt x="45720" y="765212"/>
              </a:lnTo>
            </a:path>
          </a:pathLst>
        </a:custGeom>
        <a:noFill/>
        <a:ln w="12700" cap="flat" cmpd="sng" algn="ctr">
          <a:solidFill>
            <a:sysClr val="windowText" lastClr="000000"/>
          </a:solidFill>
          <a:prstDash val="solid"/>
          <a:miter lim="800000"/>
        </a:ln>
        <a:effectLst/>
      </dgm:spPr>
      <dgm:t>
        <a:bodyPr/>
        <a:lstStyle/>
        <a:p>
          <a:endParaRPr lang="en-NG" sz="900">
            <a:latin typeface="Garamond" panose="02020404030301010803" pitchFamily="18" charset="0"/>
          </a:endParaRPr>
        </a:p>
      </dgm:t>
    </dgm:pt>
    <dgm:pt modelId="{547528EB-242F-40BD-AA95-D5CEDE3FFF7E}">
      <dgm:prSet custT="1">
        <dgm:style>
          <a:lnRef idx="2">
            <a:schemeClr val="dk1"/>
          </a:lnRef>
          <a:fillRef idx="1">
            <a:schemeClr val="lt1"/>
          </a:fillRef>
          <a:effectRef idx="0">
            <a:schemeClr val="dk1"/>
          </a:effectRef>
          <a:fontRef idx="minor">
            <a:schemeClr val="dk1"/>
          </a:fontRef>
        </dgm:style>
      </dgm:prSet>
      <dgm:spPr>
        <a:xfrm>
          <a:off x="18127" y="1798161"/>
          <a:ext cx="2702432" cy="785682"/>
        </a:xfrm>
        <a:prstGeom prst="rect">
          <a:avLst/>
        </a:prstGeom>
        <a:solidFill>
          <a:sysClr val="window" lastClr="FFFFFF"/>
        </a:solidFill>
        <a:ln w="19050" cap="flat" cmpd="sng" algn="ctr">
          <a:solidFill>
            <a:sysClr val="windowText" lastClr="000000"/>
          </a:solidFill>
          <a:prstDash val="solid"/>
          <a:miter lim="800000"/>
        </a:ln>
        <a:effectLst/>
      </dgm:spPr>
      <dgm:t>
        <a:bodyPr/>
        <a:lstStyle/>
        <a:p>
          <a:pPr>
            <a:buNone/>
          </a:pPr>
          <a:r>
            <a:rPr lang="en-NG" sz="900">
              <a:solidFill>
                <a:sysClr val="windowText" lastClr="000000"/>
              </a:solidFill>
              <a:latin typeface="Garamond" panose="02020404030301010803" pitchFamily="18" charset="0"/>
              <a:ea typeface="+mn-ea"/>
              <a:cs typeface="+mn-cs"/>
            </a:rPr>
            <a:t>Allocated to all conditions (within-subjects; n = 40)</a:t>
          </a:r>
          <a:r>
            <a:rPr lang="en-US" sz="900">
              <a:solidFill>
                <a:sysClr val="windowText" lastClr="000000"/>
              </a:solidFill>
              <a:latin typeface="Garamond" panose="02020404030301010803" pitchFamily="18" charset="0"/>
              <a:ea typeface="+mn-ea"/>
              <a:cs typeface="+mn-cs"/>
            </a:rPr>
            <a:t> </a:t>
          </a:r>
        </a:p>
        <a:p>
          <a:pPr>
            <a:buNone/>
          </a:pPr>
          <a:r>
            <a:rPr lang="en-NG" sz="900">
              <a:solidFill>
                <a:sysClr val="windowText" lastClr="000000"/>
              </a:solidFill>
              <a:latin typeface="Garamond" panose="02020404030301010803" pitchFamily="18" charset="0"/>
              <a:ea typeface="+mn-ea"/>
              <a:cs typeface="+mn-cs"/>
            </a:rPr>
            <a:t>Received quiet, steady-state, and intermittent noise exposures in assigned order</a:t>
          </a:r>
        </a:p>
      </dgm:t>
    </dgm:pt>
    <dgm:pt modelId="{5179F4D2-A0F6-4784-95C9-41BA8ED27579}" type="parTrans" cxnId="{3973CEEC-3C99-4CFB-986E-35CEAE846D92}">
      <dgm:prSet>
        <dgm:style>
          <a:lnRef idx="1">
            <a:schemeClr val="dk1"/>
          </a:lnRef>
          <a:fillRef idx="0">
            <a:schemeClr val="dk1"/>
          </a:fillRef>
          <a:effectRef idx="0">
            <a:schemeClr val="dk1"/>
          </a:effectRef>
          <a:fontRef idx="minor">
            <a:schemeClr val="tx1"/>
          </a:fontRef>
        </dgm:style>
      </dgm:prSet>
      <dgm:spPr>
        <a:xfrm>
          <a:off x="1323623" y="1666760"/>
          <a:ext cx="91440" cy="91440"/>
        </a:xfrm>
        <a:custGeom>
          <a:avLst/>
          <a:gdLst/>
          <a:ahLst/>
          <a:cxnLst/>
          <a:rect l="0" t="0" r="0" b="0"/>
          <a:pathLst>
            <a:path>
              <a:moveTo>
                <a:pt x="46219" y="45720"/>
              </a:moveTo>
              <a:lnTo>
                <a:pt x="46219" y="78377"/>
              </a:lnTo>
              <a:lnTo>
                <a:pt x="45720" y="78377"/>
              </a:lnTo>
              <a:lnTo>
                <a:pt x="45720" y="131401"/>
              </a:lnTo>
            </a:path>
          </a:pathLst>
        </a:custGeom>
        <a:noFill/>
        <a:ln w="12700" cap="flat" cmpd="sng" algn="ctr">
          <a:solidFill>
            <a:sysClr val="windowText" lastClr="000000"/>
          </a:solidFill>
          <a:prstDash val="solid"/>
          <a:miter lim="800000"/>
        </a:ln>
        <a:effectLst/>
      </dgm:spPr>
      <dgm:t>
        <a:bodyPr/>
        <a:lstStyle/>
        <a:p>
          <a:endParaRPr lang="en-NG" sz="900">
            <a:latin typeface="Garamond" panose="02020404030301010803" pitchFamily="18" charset="0"/>
          </a:endParaRPr>
        </a:p>
      </dgm:t>
    </dgm:pt>
    <dgm:pt modelId="{454E9AF8-FE6E-4FAB-99A0-721D8F6CD330}" type="sibTrans" cxnId="{3973CEEC-3C99-4CFB-986E-35CEAE846D92}">
      <dgm:prSet/>
      <dgm:spPr/>
      <dgm:t>
        <a:bodyPr/>
        <a:lstStyle/>
        <a:p>
          <a:endParaRPr lang="en-NG" sz="900">
            <a:latin typeface="Garamond" panose="02020404030301010803" pitchFamily="18" charset="0"/>
          </a:endParaRPr>
        </a:p>
      </dgm:t>
    </dgm:pt>
    <dgm:pt modelId="{06F432AB-00B7-4299-A600-F91AD10CAB54}">
      <dgm:prSet custT="1">
        <dgm:style>
          <a:lnRef idx="2">
            <a:schemeClr val="dk1"/>
          </a:lnRef>
          <a:fillRef idx="1">
            <a:schemeClr val="lt1"/>
          </a:fillRef>
          <a:effectRef idx="0">
            <a:schemeClr val="dk1"/>
          </a:effectRef>
          <a:fontRef idx="minor">
            <a:schemeClr val="dk1"/>
          </a:fontRef>
        </dgm:style>
      </dgm:prSet>
      <dgm:spPr>
        <a:xfrm>
          <a:off x="541050" y="2694914"/>
          <a:ext cx="1659202" cy="382207"/>
        </a:xfrm>
        <a:prstGeom prst="rect">
          <a:avLst/>
        </a:prstGeom>
        <a:solidFill>
          <a:sysClr val="window" lastClr="FFFFFF"/>
        </a:solidFill>
        <a:ln w="19050" cap="flat" cmpd="sng" algn="ctr">
          <a:solidFill>
            <a:sysClr val="windowText" lastClr="000000"/>
          </a:solidFill>
          <a:prstDash val="solid"/>
          <a:miter lim="800000"/>
        </a:ln>
        <a:effectLst/>
      </dgm:spPr>
      <dgm:t>
        <a:bodyPr/>
        <a:lstStyle/>
        <a:p>
          <a:pPr>
            <a:buNone/>
          </a:pPr>
          <a:r>
            <a:rPr lang="en-NG" sz="900">
              <a:solidFill>
                <a:sysClr val="windowText" lastClr="000000"/>
              </a:solidFill>
              <a:latin typeface="Garamond" panose="02020404030301010803" pitchFamily="18" charset="0"/>
              <a:ea typeface="+mn-ea"/>
              <a:cs typeface="+mn-cs"/>
            </a:rPr>
            <a:t>Completed all conditions and tasks (n = 40)</a:t>
          </a:r>
        </a:p>
      </dgm:t>
    </dgm:pt>
    <dgm:pt modelId="{D3D64844-BDFF-4876-90AD-8996ADD3186D}" type="parTrans" cxnId="{D7EE883F-6C43-4956-B5B7-6F7995E50210}">
      <dgm:prSet>
        <dgm:style>
          <a:lnRef idx="1">
            <a:schemeClr val="dk1"/>
          </a:lnRef>
          <a:fillRef idx="0">
            <a:schemeClr val="dk1"/>
          </a:fillRef>
          <a:effectRef idx="0">
            <a:schemeClr val="dk1"/>
          </a:effectRef>
          <a:fontRef idx="minor">
            <a:schemeClr val="tx1"/>
          </a:fontRef>
        </dgm:style>
      </dgm:prSet>
      <dgm:spPr>
        <a:xfrm>
          <a:off x="1323623" y="2583844"/>
          <a:ext cx="91440" cy="111070"/>
        </a:xfrm>
        <a:custGeom>
          <a:avLst/>
          <a:gdLst/>
          <a:ahLst/>
          <a:cxnLst/>
          <a:rect l="0" t="0" r="0" b="0"/>
          <a:pathLst>
            <a:path>
              <a:moveTo>
                <a:pt x="45720" y="0"/>
              </a:moveTo>
              <a:lnTo>
                <a:pt x="45720" y="58046"/>
              </a:lnTo>
              <a:lnTo>
                <a:pt x="47027" y="58046"/>
              </a:lnTo>
              <a:lnTo>
                <a:pt x="47027" y="111070"/>
              </a:lnTo>
            </a:path>
          </a:pathLst>
        </a:custGeom>
        <a:noFill/>
        <a:ln w="12700" cap="flat" cmpd="sng" algn="ctr">
          <a:solidFill>
            <a:sysClr val="windowText" lastClr="000000"/>
          </a:solidFill>
          <a:prstDash val="solid"/>
          <a:miter lim="800000"/>
        </a:ln>
        <a:effectLst/>
      </dgm:spPr>
      <dgm:t>
        <a:bodyPr/>
        <a:lstStyle/>
        <a:p>
          <a:endParaRPr lang="en-NG" sz="900">
            <a:latin typeface="Garamond" panose="02020404030301010803" pitchFamily="18" charset="0"/>
          </a:endParaRPr>
        </a:p>
      </dgm:t>
    </dgm:pt>
    <dgm:pt modelId="{BD3D0C0D-F661-4FB4-9505-70796AC8CE71}" type="sibTrans" cxnId="{D7EE883F-6C43-4956-B5B7-6F7995E50210}">
      <dgm:prSet/>
      <dgm:spPr/>
      <dgm:t>
        <a:bodyPr/>
        <a:lstStyle/>
        <a:p>
          <a:endParaRPr lang="en-NG" sz="900">
            <a:latin typeface="Garamond" panose="02020404030301010803" pitchFamily="18" charset="0"/>
          </a:endParaRPr>
        </a:p>
      </dgm:t>
    </dgm:pt>
    <dgm:pt modelId="{31480BBA-86FC-4D90-AD34-2B70D6C31003}">
      <dgm:prSet custT="1">
        <dgm:style>
          <a:lnRef idx="2">
            <a:schemeClr val="dk1"/>
          </a:lnRef>
          <a:fillRef idx="1">
            <a:schemeClr val="lt1"/>
          </a:fillRef>
          <a:effectRef idx="0">
            <a:schemeClr val="dk1"/>
          </a:effectRef>
          <a:fontRef idx="minor">
            <a:schemeClr val="dk1"/>
          </a:fontRef>
        </dgm:style>
      </dgm:prSet>
      <dgm:spPr>
        <a:xfrm>
          <a:off x="705420" y="3184780"/>
          <a:ext cx="1659202" cy="540726"/>
        </a:xfrm>
        <a:prstGeom prst="rect">
          <a:avLst/>
        </a:prstGeom>
        <a:solidFill>
          <a:sysClr val="window" lastClr="FFFFFF"/>
        </a:solidFill>
        <a:ln w="19050" cap="flat" cmpd="sng" algn="ctr">
          <a:solidFill>
            <a:sysClr val="windowText" lastClr="000000"/>
          </a:solidFill>
          <a:prstDash val="solid"/>
          <a:miter lim="800000"/>
        </a:ln>
        <a:effectLst/>
      </dgm:spPr>
      <dgm:t>
        <a:bodyPr/>
        <a:lstStyle/>
        <a:p>
          <a:pPr>
            <a:buNone/>
          </a:pPr>
          <a:r>
            <a:rPr lang="en-NG" sz="900">
              <a:solidFill>
                <a:sysClr val="windowText" lastClr="000000"/>
              </a:solidFill>
              <a:latin typeface="Garamond" panose="02020404030301010803" pitchFamily="18" charset="0"/>
              <a:ea typeface="+mn-ea"/>
              <a:cs typeface="+mn-cs"/>
            </a:rPr>
            <a:t>Analysed (n = 40)</a:t>
          </a:r>
          <a:endParaRPr lang="en-US" sz="900">
            <a:solidFill>
              <a:sysClr val="windowText" lastClr="000000"/>
            </a:solidFill>
            <a:latin typeface="Garamond" panose="02020404030301010803" pitchFamily="18" charset="0"/>
            <a:ea typeface="+mn-ea"/>
            <a:cs typeface="+mn-cs"/>
          </a:endParaRPr>
        </a:p>
        <a:p>
          <a:pPr>
            <a:buNone/>
          </a:pPr>
          <a:r>
            <a:rPr lang="en-US" sz="900">
              <a:solidFill>
                <a:sysClr val="windowText" lastClr="000000"/>
              </a:solidFill>
              <a:latin typeface="Garamond" panose="02020404030301010803" pitchFamily="18" charset="0"/>
              <a:ea typeface="+mn-ea"/>
              <a:cs typeface="+mn-cs"/>
            </a:rPr>
            <a:t> </a:t>
          </a:r>
          <a:r>
            <a:rPr lang="en-NG" sz="900">
              <a:solidFill>
                <a:sysClr val="windowText" lastClr="000000"/>
              </a:solidFill>
              <a:latin typeface="Garamond" panose="02020404030301010803" pitchFamily="18" charset="0"/>
              <a:ea typeface="+mn-ea"/>
              <a:cs typeface="+mn-cs"/>
            </a:rPr>
            <a:t>N</a:t>
          </a:r>
          <a:r>
            <a:rPr lang="en-US" sz="900">
              <a:solidFill>
                <a:sysClr val="windowText" lastClr="000000"/>
              </a:solidFill>
              <a:latin typeface="Garamond" panose="02020404030301010803" pitchFamily="18" charset="0"/>
              <a:ea typeface="+mn-ea"/>
              <a:cs typeface="+mn-cs"/>
            </a:rPr>
            <a:t>o</a:t>
          </a:r>
          <a:r>
            <a:rPr lang="en-NG" sz="900">
              <a:solidFill>
                <a:sysClr val="windowText" lastClr="000000"/>
              </a:solidFill>
              <a:latin typeface="Garamond" panose="02020404030301010803" pitchFamily="18" charset="0"/>
              <a:ea typeface="+mn-ea"/>
              <a:cs typeface="+mn-cs"/>
            </a:rPr>
            <a:t> missing data or exclusions post-enrolment</a:t>
          </a:r>
        </a:p>
      </dgm:t>
    </dgm:pt>
    <dgm:pt modelId="{145D4BA0-32EC-4A91-8FDF-2DE1D684B3F3}" type="parTrans" cxnId="{1D714CF2-3414-429B-8AD9-D5807EFE2D8C}">
      <dgm:prSet>
        <dgm:style>
          <a:lnRef idx="1">
            <a:schemeClr val="dk1"/>
          </a:lnRef>
          <a:fillRef idx="0">
            <a:schemeClr val="dk1"/>
          </a:fillRef>
          <a:effectRef idx="0">
            <a:schemeClr val="dk1"/>
          </a:effectRef>
          <a:fontRef idx="minor">
            <a:schemeClr val="tx1"/>
          </a:fontRef>
        </dgm:style>
      </dgm:prSet>
      <dgm:spPr>
        <a:xfrm>
          <a:off x="659700" y="3077121"/>
          <a:ext cx="91440" cy="378022"/>
        </a:xfrm>
        <a:custGeom>
          <a:avLst/>
          <a:gdLst/>
          <a:ahLst/>
          <a:cxnLst/>
          <a:rect l="0" t="0" r="0" b="0"/>
          <a:pathLst>
            <a:path>
              <a:moveTo>
                <a:pt x="47269" y="0"/>
              </a:moveTo>
              <a:lnTo>
                <a:pt x="45720" y="378022"/>
              </a:lnTo>
            </a:path>
          </a:pathLst>
        </a:custGeom>
        <a:noFill/>
        <a:ln w="12700" cap="flat" cmpd="sng" algn="ctr">
          <a:solidFill>
            <a:sysClr val="windowText" lastClr="000000"/>
          </a:solidFill>
          <a:prstDash val="solid"/>
          <a:miter lim="800000"/>
        </a:ln>
        <a:effectLst/>
      </dgm:spPr>
      <dgm:t>
        <a:bodyPr/>
        <a:lstStyle/>
        <a:p>
          <a:endParaRPr lang="en-NG" sz="900">
            <a:latin typeface="Garamond" panose="02020404030301010803" pitchFamily="18" charset="0"/>
          </a:endParaRPr>
        </a:p>
      </dgm:t>
    </dgm:pt>
    <dgm:pt modelId="{C18C6A75-CDFD-4CC9-A381-253BB54BD2B8}" type="sibTrans" cxnId="{1D714CF2-3414-429B-8AD9-D5807EFE2D8C}">
      <dgm:prSet/>
      <dgm:spPr/>
      <dgm:t>
        <a:bodyPr/>
        <a:lstStyle/>
        <a:p>
          <a:endParaRPr lang="en-NG" sz="900">
            <a:latin typeface="Garamond" panose="02020404030301010803" pitchFamily="18" charset="0"/>
          </a:endParaRPr>
        </a:p>
      </dgm:t>
    </dgm:pt>
    <dgm:pt modelId="{93FF38D0-E16B-48C7-9CA9-BEC024846543}" type="pres">
      <dgm:prSet presAssocID="{4D56357D-046D-4C5A-A5C1-2036C9A53120}" presName="hierChild1" presStyleCnt="0">
        <dgm:presLayoutVars>
          <dgm:orgChart val="1"/>
          <dgm:chPref val="1"/>
          <dgm:dir/>
          <dgm:animOne val="branch"/>
          <dgm:animLvl val="lvl"/>
          <dgm:resizeHandles/>
        </dgm:presLayoutVars>
      </dgm:prSet>
      <dgm:spPr/>
    </dgm:pt>
    <dgm:pt modelId="{20959344-3819-4479-8A96-8051AFF6598A}" type="pres">
      <dgm:prSet presAssocID="{6F071D1F-CB72-4249-B919-07F747C41A2E}" presName="hierRoot1" presStyleCnt="0">
        <dgm:presLayoutVars>
          <dgm:hierBranch val="init"/>
        </dgm:presLayoutVars>
      </dgm:prSet>
      <dgm:spPr/>
    </dgm:pt>
    <dgm:pt modelId="{F136AB75-C0A9-405D-9356-4F3AC8E4C78D}" type="pres">
      <dgm:prSet presAssocID="{6F071D1F-CB72-4249-B919-07F747C41A2E}" presName="rootComposite1" presStyleCnt="0"/>
      <dgm:spPr/>
    </dgm:pt>
    <dgm:pt modelId="{58F87A65-CDAB-4CC2-AAF3-BA56640A316B}" type="pres">
      <dgm:prSet presAssocID="{6F071D1F-CB72-4249-B919-07F747C41A2E}" presName="rootText1" presStyleLbl="node0" presStyleIdx="0" presStyleCnt="1" custScaleX="460428" custScaleY="203948" custLinFactX="-45519" custLinFactNeighborX="-100000" custLinFactNeighborY="13129">
        <dgm:presLayoutVars>
          <dgm:chPref val="3"/>
        </dgm:presLayoutVars>
      </dgm:prSet>
      <dgm:spPr/>
    </dgm:pt>
    <dgm:pt modelId="{BBA926DC-3168-45DD-8D9C-5B87E9247FF4}" type="pres">
      <dgm:prSet presAssocID="{6F071D1F-CB72-4249-B919-07F747C41A2E}" presName="rootConnector1" presStyleLbl="node1" presStyleIdx="0" presStyleCnt="0"/>
      <dgm:spPr/>
    </dgm:pt>
    <dgm:pt modelId="{0AE201C8-1EF3-47BE-8591-D60A7C7CBCC9}" type="pres">
      <dgm:prSet presAssocID="{6F071D1F-CB72-4249-B919-07F747C41A2E}" presName="hierChild2" presStyleCnt="0"/>
      <dgm:spPr/>
    </dgm:pt>
    <dgm:pt modelId="{B75F386D-30B6-44F7-A069-5BC1877EF8F6}" type="pres">
      <dgm:prSet presAssocID="{5937BF2E-8CAB-4D3D-897E-F8DAEBBF7AD0}" presName="Name37" presStyleLbl="parChTrans1D2" presStyleIdx="0" presStyleCnt="2"/>
      <dgm:spPr/>
    </dgm:pt>
    <dgm:pt modelId="{295D6EA9-A0C7-4080-AEBE-5F5C407B8C58}" type="pres">
      <dgm:prSet presAssocID="{AAA9F68F-C4F7-4FCD-BC83-2E341A57D674}" presName="hierRoot2" presStyleCnt="0">
        <dgm:presLayoutVars>
          <dgm:hierBranch val="init"/>
        </dgm:presLayoutVars>
      </dgm:prSet>
      <dgm:spPr/>
    </dgm:pt>
    <dgm:pt modelId="{FAB54473-B137-49C3-A25D-FFC8CD3F9D1F}" type="pres">
      <dgm:prSet presAssocID="{AAA9F68F-C4F7-4FCD-BC83-2E341A57D674}" presName="rootComposite" presStyleCnt="0"/>
      <dgm:spPr/>
    </dgm:pt>
    <dgm:pt modelId="{AA7AF1A6-893D-49F6-A154-66FB7A913073}" type="pres">
      <dgm:prSet presAssocID="{AAA9F68F-C4F7-4FCD-BC83-2E341A57D674}" presName="rootText" presStyleLbl="node2" presStyleIdx="0" presStyleCnt="1" custScaleX="401002" custScaleY="154666" custLinFactX="-45681" custLinFactNeighborX="-100000" custLinFactNeighborY="6077">
        <dgm:presLayoutVars>
          <dgm:chPref val="3"/>
        </dgm:presLayoutVars>
      </dgm:prSet>
      <dgm:spPr/>
    </dgm:pt>
    <dgm:pt modelId="{74A1D78C-CB6F-4A01-B406-431DE26DBE21}" type="pres">
      <dgm:prSet presAssocID="{AAA9F68F-C4F7-4FCD-BC83-2E341A57D674}" presName="rootConnector" presStyleLbl="node2" presStyleIdx="0" presStyleCnt="1"/>
      <dgm:spPr/>
    </dgm:pt>
    <dgm:pt modelId="{684FD9D4-D57E-4A4F-92F0-EF6A4E67C491}" type="pres">
      <dgm:prSet presAssocID="{AAA9F68F-C4F7-4FCD-BC83-2E341A57D674}" presName="hierChild4" presStyleCnt="0"/>
      <dgm:spPr/>
    </dgm:pt>
    <dgm:pt modelId="{347745CA-4891-4F55-BDBD-1C8EB8CC9F26}" type="pres">
      <dgm:prSet presAssocID="{5179F4D2-A0F6-4784-95C9-41BA8ED27579}" presName="Name37" presStyleLbl="parChTrans1D3" presStyleIdx="0" presStyleCnt="1"/>
      <dgm:spPr/>
    </dgm:pt>
    <dgm:pt modelId="{F359AB5E-3E23-4F71-B42A-C5D9BE703DCE}" type="pres">
      <dgm:prSet presAssocID="{547528EB-242F-40BD-AA95-D5CEDE3FFF7E}" presName="hierRoot2" presStyleCnt="0">
        <dgm:presLayoutVars>
          <dgm:hierBranch val="init"/>
        </dgm:presLayoutVars>
      </dgm:prSet>
      <dgm:spPr/>
    </dgm:pt>
    <dgm:pt modelId="{55E3E0ED-9F9A-4D3E-86BD-AB1587FC9818}" type="pres">
      <dgm:prSet presAssocID="{547528EB-242F-40BD-AA95-D5CEDE3FFF7E}" presName="rootComposite" presStyleCnt="0"/>
      <dgm:spPr/>
    </dgm:pt>
    <dgm:pt modelId="{A186A72F-1840-44B9-9F20-935250F9EEAC}" type="pres">
      <dgm:prSet presAssocID="{547528EB-242F-40BD-AA95-D5CEDE3FFF7E}" presName="rootText" presStyleLbl="node3" presStyleIdx="0" presStyleCnt="1" custScaleX="535145" custScaleY="311167" custLinFactX="-45780" custLinFactNeighborX="-100000" custLinFactNeighborY="-1989">
        <dgm:presLayoutVars>
          <dgm:chPref val="3"/>
        </dgm:presLayoutVars>
      </dgm:prSet>
      <dgm:spPr/>
    </dgm:pt>
    <dgm:pt modelId="{CA5E27FC-5E3C-4D47-860B-D88E131F529A}" type="pres">
      <dgm:prSet presAssocID="{547528EB-242F-40BD-AA95-D5CEDE3FFF7E}" presName="rootConnector" presStyleLbl="node3" presStyleIdx="0" presStyleCnt="1"/>
      <dgm:spPr/>
    </dgm:pt>
    <dgm:pt modelId="{257DC3FB-F99D-45B2-AB0E-6396B7EFF57D}" type="pres">
      <dgm:prSet presAssocID="{547528EB-242F-40BD-AA95-D5CEDE3FFF7E}" presName="hierChild4" presStyleCnt="0"/>
      <dgm:spPr/>
    </dgm:pt>
    <dgm:pt modelId="{C4E3848A-7E01-4DB0-8CD4-84C947B49FE4}" type="pres">
      <dgm:prSet presAssocID="{D3D64844-BDFF-4876-90AD-8996ADD3186D}" presName="Name37" presStyleLbl="parChTrans1D4" presStyleIdx="0" presStyleCnt="2"/>
      <dgm:spPr/>
    </dgm:pt>
    <dgm:pt modelId="{F81DF4AD-C644-45B5-BAEB-9E7C2922119E}" type="pres">
      <dgm:prSet presAssocID="{06F432AB-00B7-4299-A600-F91AD10CAB54}" presName="hierRoot2" presStyleCnt="0">
        <dgm:presLayoutVars>
          <dgm:hierBranch val="init"/>
        </dgm:presLayoutVars>
      </dgm:prSet>
      <dgm:spPr/>
    </dgm:pt>
    <dgm:pt modelId="{5639FF6B-B22A-4E18-8F68-CFE5AFDDC2D1}" type="pres">
      <dgm:prSet presAssocID="{06F432AB-00B7-4299-A600-F91AD10CAB54}" presName="rootComposite" presStyleCnt="0"/>
      <dgm:spPr/>
    </dgm:pt>
    <dgm:pt modelId="{95048235-64EF-49AD-9962-8E5305EE3FF3}" type="pres">
      <dgm:prSet presAssocID="{06F432AB-00B7-4299-A600-F91AD10CAB54}" presName="rootText" presStyleLbl="node4" presStyleIdx="0" presStyleCnt="2" custScaleX="328561" custScaleY="151372" custLinFactX="-45521" custLinFactNeighborX="-100000">
        <dgm:presLayoutVars>
          <dgm:chPref val="3"/>
        </dgm:presLayoutVars>
      </dgm:prSet>
      <dgm:spPr/>
    </dgm:pt>
    <dgm:pt modelId="{4FC10D47-C420-411B-AADA-675798C84124}" type="pres">
      <dgm:prSet presAssocID="{06F432AB-00B7-4299-A600-F91AD10CAB54}" presName="rootConnector" presStyleLbl="node4" presStyleIdx="0" presStyleCnt="2"/>
      <dgm:spPr/>
    </dgm:pt>
    <dgm:pt modelId="{AE0D84C9-B5CC-4822-86B0-6B5F46919AE5}" type="pres">
      <dgm:prSet presAssocID="{06F432AB-00B7-4299-A600-F91AD10CAB54}" presName="hierChild4" presStyleCnt="0"/>
      <dgm:spPr/>
    </dgm:pt>
    <dgm:pt modelId="{274B9921-6763-4ACC-8649-FFBF3F016777}" type="pres">
      <dgm:prSet presAssocID="{145D4BA0-32EC-4A91-8FDF-2DE1D684B3F3}" presName="Name37" presStyleLbl="parChTrans1D4" presStyleIdx="1" presStyleCnt="2"/>
      <dgm:spPr/>
    </dgm:pt>
    <dgm:pt modelId="{36B498DC-BD02-4B01-B253-F7C47FD7A8B3}" type="pres">
      <dgm:prSet presAssocID="{31480BBA-86FC-4D90-AD34-2B70D6C31003}" presName="hierRoot2" presStyleCnt="0">
        <dgm:presLayoutVars>
          <dgm:hierBranch val="init"/>
        </dgm:presLayoutVars>
      </dgm:prSet>
      <dgm:spPr/>
    </dgm:pt>
    <dgm:pt modelId="{AA892F7E-7F2E-4633-89DB-278109C09656}" type="pres">
      <dgm:prSet presAssocID="{31480BBA-86FC-4D90-AD34-2B70D6C31003}" presName="rootComposite" presStyleCnt="0"/>
      <dgm:spPr/>
    </dgm:pt>
    <dgm:pt modelId="{C981C7BD-1328-4151-AC14-836BEB0385BF}" type="pres">
      <dgm:prSet presAssocID="{31480BBA-86FC-4D90-AD34-2B70D6C31003}" presName="rootText" presStyleLbl="node4" presStyleIdx="1" presStyleCnt="2" custScaleX="328561" custScaleY="214153" custLinFactX="-95112" custLinFactNeighborX="-100000" custLinFactNeighborY="638">
        <dgm:presLayoutVars>
          <dgm:chPref val="3"/>
        </dgm:presLayoutVars>
      </dgm:prSet>
      <dgm:spPr/>
    </dgm:pt>
    <dgm:pt modelId="{7F29EB7F-D8A5-4D3B-A60B-545E028F40A5}" type="pres">
      <dgm:prSet presAssocID="{31480BBA-86FC-4D90-AD34-2B70D6C31003}" presName="rootConnector" presStyleLbl="node4" presStyleIdx="1" presStyleCnt="2"/>
      <dgm:spPr/>
    </dgm:pt>
    <dgm:pt modelId="{60A41DEA-C576-483C-8A45-B240402B3E67}" type="pres">
      <dgm:prSet presAssocID="{31480BBA-86FC-4D90-AD34-2B70D6C31003}" presName="hierChild4" presStyleCnt="0"/>
      <dgm:spPr/>
    </dgm:pt>
    <dgm:pt modelId="{C23F4988-348E-481B-AF1E-8911FD55A724}" type="pres">
      <dgm:prSet presAssocID="{31480BBA-86FC-4D90-AD34-2B70D6C31003}" presName="hierChild5" presStyleCnt="0"/>
      <dgm:spPr/>
    </dgm:pt>
    <dgm:pt modelId="{D60C51FD-CC3A-4E31-A00C-8E5205CF58E1}" type="pres">
      <dgm:prSet presAssocID="{06F432AB-00B7-4299-A600-F91AD10CAB54}" presName="hierChild5" presStyleCnt="0"/>
      <dgm:spPr/>
    </dgm:pt>
    <dgm:pt modelId="{E5A7F7B2-17A8-4582-9A7E-CBD6EDB977A9}" type="pres">
      <dgm:prSet presAssocID="{547528EB-242F-40BD-AA95-D5CEDE3FFF7E}" presName="hierChild5" presStyleCnt="0"/>
      <dgm:spPr/>
    </dgm:pt>
    <dgm:pt modelId="{DDE3CA4E-377B-4B7F-9EA5-B3C1FBE02484}" type="pres">
      <dgm:prSet presAssocID="{AAA9F68F-C4F7-4FCD-BC83-2E341A57D674}" presName="hierChild5" presStyleCnt="0"/>
      <dgm:spPr/>
    </dgm:pt>
    <dgm:pt modelId="{E79BDFED-07A3-4F7D-A82D-9C7F78C426AB}" type="pres">
      <dgm:prSet presAssocID="{6F071D1F-CB72-4249-B919-07F747C41A2E}" presName="hierChild3" presStyleCnt="0"/>
      <dgm:spPr/>
    </dgm:pt>
    <dgm:pt modelId="{39B71A8C-526F-4C3A-9907-4917DBA2B59F}" type="pres">
      <dgm:prSet presAssocID="{B4A776B4-BC30-42F9-BE83-38C15ED324D0}" presName="Name111" presStyleLbl="parChTrans1D2" presStyleIdx="1" presStyleCnt="2"/>
      <dgm:spPr/>
    </dgm:pt>
    <dgm:pt modelId="{96A94920-58EE-4EFA-AB74-77C5D89BECB1}" type="pres">
      <dgm:prSet presAssocID="{B614CCE1-BFD8-49DF-B1F6-B36E13C1DA0A}" presName="hierRoot3" presStyleCnt="0">
        <dgm:presLayoutVars>
          <dgm:hierBranch val="init"/>
        </dgm:presLayoutVars>
      </dgm:prSet>
      <dgm:spPr/>
    </dgm:pt>
    <dgm:pt modelId="{99963AA5-E5E4-468E-A9E6-C767EC7A50F7}" type="pres">
      <dgm:prSet presAssocID="{B614CCE1-BFD8-49DF-B1F6-B36E13C1DA0A}" presName="rootComposite3" presStyleCnt="0"/>
      <dgm:spPr/>
    </dgm:pt>
    <dgm:pt modelId="{281136BD-E3DF-4B6F-861E-6A24CFAFE6FD}" type="pres">
      <dgm:prSet presAssocID="{B614CCE1-BFD8-49DF-B1F6-B36E13C1DA0A}" presName="rootText3" presStyleLbl="asst1" presStyleIdx="0" presStyleCnt="1" custScaleX="406150" custScaleY="275921" custLinFactX="174706" custLinFactNeighborX="200000" custLinFactNeighborY="15223">
        <dgm:presLayoutVars>
          <dgm:chPref val="3"/>
        </dgm:presLayoutVars>
      </dgm:prSet>
      <dgm:spPr/>
    </dgm:pt>
    <dgm:pt modelId="{042BD30B-0A06-48AD-820D-E05EA9EEF2D0}" type="pres">
      <dgm:prSet presAssocID="{B614CCE1-BFD8-49DF-B1F6-B36E13C1DA0A}" presName="rootConnector3" presStyleLbl="asst1" presStyleIdx="0" presStyleCnt="1"/>
      <dgm:spPr/>
    </dgm:pt>
    <dgm:pt modelId="{6596CAE2-EE77-4D81-871D-858F8B12E3E2}" type="pres">
      <dgm:prSet presAssocID="{B614CCE1-BFD8-49DF-B1F6-B36E13C1DA0A}" presName="hierChild6" presStyleCnt="0"/>
      <dgm:spPr/>
    </dgm:pt>
    <dgm:pt modelId="{015B654C-3C43-4997-B511-1A2B9660E4AE}" type="pres">
      <dgm:prSet presAssocID="{B614CCE1-BFD8-49DF-B1F6-B36E13C1DA0A}" presName="hierChild7" presStyleCnt="0"/>
      <dgm:spPr/>
    </dgm:pt>
  </dgm:ptLst>
  <dgm:cxnLst>
    <dgm:cxn modelId="{816C3715-5222-45ED-AF1C-F8B79A06C561}" srcId="{6F071D1F-CB72-4249-B919-07F747C41A2E}" destId="{AAA9F68F-C4F7-4FCD-BC83-2E341A57D674}" srcOrd="1" destOrd="0" parTransId="{5937BF2E-8CAB-4D3D-897E-F8DAEBBF7AD0}" sibTransId="{62951D73-7A14-4D17-AA33-D5D5A7E0556A}"/>
    <dgm:cxn modelId="{7D92D515-0332-419E-9F6B-BF83DECB094D}" type="presOf" srcId="{31480BBA-86FC-4D90-AD34-2B70D6C31003}" destId="{C981C7BD-1328-4151-AC14-836BEB0385BF}" srcOrd="0" destOrd="0" presId="urn:microsoft.com/office/officeart/2005/8/layout/orgChart1"/>
    <dgm:cxn modelId="{EA281B1F-8D22-40A2-8BCE-6DB0EEE59914}" type="presOf" srcId="{547528EB-242F-40BD-AA95-D5CEDE3FFF7E}" destId="{A186A72F-1840-44B9-9F20-935250F9EEAC}" srcOrd="0" destOrd="0" presId="urn:microsoft.com/office/officeart/2005/8/layout/orgChart1"/>
    <dgm:cxn modelId="{E38FB02B-6616-46A7-A5A1-0C1953F08FC2}" type="presOf" srcId="{D3D64844-BDFF-4876-90AD-8996ADD3186D}" destId="{C4E3848A-7E01-4DB0-8CD4-84C947B49FE4}" srcOrd="0" destOrd="0" presId="urn:microsoft.com/office/officeart/2005/8/layout/orgChart1"/>
    <dgm:cxn modelId="{9F85AF34-06C6-43C9-A58B-5CB0B74E7877}" type="presOf" srcId="{6F071D1F-CB72-4249-B919-07F747C41A2E}" destId="{BBA926DC-3168-45DD-8D9C-5B87E9247FF4}" srcOrd="1" destOrd="0" presId="urn:microsoft.com/office/officeart/2005/8/layout/orgChart1"/>
    <dgm:cxn modelId="{A6FFD134-5E85-4209-9428-D82133CCCA12}" type="presOf" srcId="{AAA9F68F-C4F7-4FCD-BC83-2E341A57D674}" destId="{AA7AF1A6-893D-49F6-A154-66FB7A913073}" srcOrd="0" destOrd="0" presId="urn:microsoft.com/office/officeart/2005/8/layout/orgChart1"/>
    <dgm:cxn modelId="{AB949C3A-03E6-4262-A98D-441DA267A0FD}" type="presOf" srcId="{AAA9F68F-C4F7-4FCD-BC83-2E341A57D674}" destId="{74A1D78C-CB6F-4A01-B406-431DE26DBE21}" srcOrd="1" destOrd="0" presId="urn:microsoft.com/office/officeart/2005/8/layout/orgChart1"/>
    <dgm:cxn modelId="{D7EE883F-6C43-4956-B5B7-6F7995E50210}" srcId="{547528EB-242F-40BD-AA95-D5CEDE3FFF7E}" destId="{06F432AB-00B7-4299-A600-F91AD10CAB54}" srcOrd="0" destOrd="0" parTransId="{D3D64844-BDFF-4876-90AD-8996ADD3186D}" sibTransId="{BD3D0C0D-F661-4FB4-9505-70796AC8CE71}"/>
    <dgm:cxn modelId="{5A3DE951-A9A1-4023-89B2-C12E3FC0C400}" type="presOf" srcId="{4D56357D-046D-4C5A-A5C1-2036C9A53120}" destId="{93FF38D0-E16B-48C7-9CA9-BEC024846543}" srcOrd="0" destOrd="0" presId="urn:microsoft.com/office/officeart/2005/8/layout/orgChart1"/>
    <dgm:cxn modelId="{CF117B52-597E-4BE1-9CB9-EBEC7CA073E4}" type="presOf" srcId="{145D4BA0-32EC-4A91-8FDF-2DE1D684B3F3}" destId="{274B9921-6763-4ACC-8649-FFBF3F016777}" srcOrd="0" destOrd="0" presId="urn:microsoft.com/office/officeart/2005/8/layout/orgChart1"/>
    <dgm:cxn modelId="{750E1959-A15C-4351-9959-ECDAE2067213}" srcId="{4D56357D-046D-4C5A-A5C1-2036C9A53120}" destId="{6F071D1F-CB72-4249-B919-07F747C41A2E}" srcOrd="0" destOrd="0" parTransId="{92FA2726-AAFB-475F-92B2-E37616D015F0}" sibTransId="{A4D70FD0-FA42-4A35-9DA2-EF9EC7713E5C}"/>
    <dgm:cxn modelId="{8A17CD5C-8AD8-4205-9A3E-35CA12350BB3}" type="presOf" srcId="{B4A776B4-BC30-42F9-BE83-38C15ED324D0}" destId="{39B71A8C-526F-4C3A-9907-4917DBA2B59F}" srcOrd="0" destOrd="0" presId="urn:microsoft.com/office/officeart/2005/8/layout/orgChart1"/>
    <dgm:cxn modelId="{154DC75E-024C-4C40-BA6B-3EF5C78F5A34}" type="presOf" srcId="{06F432AB-00B7-4299-A600-F91AD10CAB54}" destId="{95048235-64EF-49AD-9962-8E5305EE3FF3}" srcOrd="0" destOrd="0" presId="urn:microsoft.com/office/officeart/2005/8/layout/orgChart1"/>
    <dgm:cxn modelId="{598F1B66-1954-4209-BF55-42D030A9E44B}" type="presOf" srcId="{5179F4D2-A0F6-4784-95C9-41BA8ED27579}" destId="{347745CA-4891-4F55-BDBD-1C8EB8CC9F26}" srcOrd="0" destOrd="0" presId="urn:microsoft.com/office/officeart/2005/8/layout/orgChart1"/>
    <dgm:cxn modelId="{00A1FE6F-B87D-490C-AFF5-67489590A381}" type="presOf" srcId="{06F432AB-00B7-4299-A600-F91AD10CAB54}" destId="{4FC10D47-C420-411B-AADA-675798C84124}" srcOrd="1" destOrd="0" presId="urn:microsoft.com/office/officeart/2005/8/layout/orgChart1"/>
    <dgm:cxn modelId="{138F1E73-E1CE-4D6F-A006-E3D25698EC32}" type="presOf" srcId="{31480BBA-86FC-4D90-AD34-2B70D6C31003}" destId="{7F29EB7F-D8A5-4D3B-A60B-545E028F40A5}" srcOrd="1" destOrd="0" presId="urn:microsoft.com/office/officeart/2005/8/layout/orgChart1"/>
    <dgm:cxn modelId="{648B3B7D-9ABA-466F-A584-D5FC97D0A6B0}" type="presOf" srcId="{5937BF2E-8CAB-4D3D-897E-F8DAEBBF7AD0}" destId="{B75F386D-30B6-44F7-A069-5BC1877EF8F6}" srcOrd="0" destOrd="0" presId="urn:microsoft.com/office/officeart/2005/8/layout/orgChart1"/>
    <dgm:cxn modelId="{E92E9CA6-3059-4FC2-865A-267B429C235C}" type="presOf" srcId="{547528EB-242F-40BD-AA95-D5CEDE3FFF7E}" destId="{CA5E27FC-5E3C-4D47-860B-D88E131F529A}" srcOrd="1" destOrd="0" presId="urn:microsoft.com/office/officeart/2005/8/layout/orgChart1"/>
    <dgm:cxn modelId="{6378D8D9-3E0A-4632-A50D-0DBADD3FB949}" type="presOf" srcId="{6F071D1F-CB72-4249-B919-07F747C41A2E}" destId="{58F87A65-CDAB-4CC2-AAF3-BA56640A316B}" srcOrd="0" destOrd="0" presId="urn:microsoft.com/office/officeart/2005/8/layout/orgChart1"/>
    <dgm:cxn modelId="{0C3470E1-5CB8-4353-9128-807F5EB94C25}" type="presOf" srcId="{B614CCE1-BFD8-49DF-B1F6-B36E13C1DA0A}" destId="{281136BD-E3DF-4B6F-861E-6A24CFAFE6FD}" srcOrd="0" destOrd="0" presId="urn:microsoft.com/office/officeart/2005/8/layout/orgChart1"/>
    <dgm:cxn modelId="{3973CEEC-3C99-4CFB-986E-35CEAE846D92}" srcId="{AAA9F68F-C4F7-4FCD-BC83-2E341A57D674}" destId="{547528EB-242F-40BD-AA95-D5CEDE3FFF7E}" srcOrd="0" destOrd="0" parTransId="{5179F4D2-A0F6-4784-95C9-41BA8ED27579}" sibTransId="{454E9AF8-FE6E-4FAB-99A0-721D8F6CD330}"/>
    <dgm:cxn modelId="{1D714CF2-3414-429B-8AD9-D5807EFE2D8C}" srcId="{06F432AB-00B7-4299-A600-F91AD10CAB54}" destId="{31480BBA-86FC-4D90-AD34-2B70D6C31003}" srcOrd="0" destOrd="0" parTransId="{145D4BA0-32EC-4A91-8FDF-2DE1D684B3F3}" sibTransId="{C18C6A75-CDFD-4CC9-A381-253BB54BD2B8}"/>
    <dgm:cxn modelId="{EF8A3CFA-8857-432D-9F50-D5F4F628EAB2}" type="presOf" srcId="{B614CCE1-BFD8-49DF-B1F6-B36E13C1DA0A}" destId="{042BD30B-0A06-48AD-820D-E05EA9EEF2D0}" srcOrd="1" destOrd="0" presId="urn:microsoft.com/office/officeart/2005/8/layout/orgChart1"/>
    <dgm:cxn modelId="{A50E16FE-0CDD-4972-BCB4-C4128763E1C0}" srcId="{6F071D1F-CB72-4249-B919-07F747C41A2E}" destId="{B614CCE1-BFD8-49DF-B1F6-B36E13C1DA0A}" srcOrd="0" destOrd="0" parTransId="{B4A776B4-BC30-42F9-BE83-38C15ED324D0}" sibTransId="{A0911E61-8DD3-4542-B4F0-BC9073A365BB}"/>
    <dgm:cxn modelId="{E8C23BF2-A3F3-4B13-A1C7-FDF2C992DA18}" type="presParOf" srcId="{93FF38D0-E16B-48C7-9CA9-BEC024846543}" destId="{20959344-3819-4479-8A96-8051AFF6598A}" srcOrd="0" destOrd="0" presId="urn:microsoft.com/office/officeart/2005/8/layout/orgChart1"/>
    <dgm:cxn modelId="{717F1AC1-3E0F-4C06-9782-A75445D49C07}" type="presParOf" srcId="{20959344-3819-4479-8A96-8051AFF6598A}" destId="{F136AB75-C0A9-405D-9356-4F3AC8E4C78D}" srcOrd="0" destOrd="0" presId="urn:microsoft.com/office/officeart/2005/8/layout/orgChart1"/>
    <dgm:cxn modelId="{79F3AACB-8F86-4166-AC76-9E4E94B512AB}" type="presParOf" srcId="{F136AB75-C0A9-405D-9356-4F3AC8E4C78D}" destId="{58F87A65-CDAB-4CC2-AAF3-BA56640A316B}" srcOrd="0" destOrd="0" presId="urn:microsoft.com/office/officeart/2005/8/layout/orgChart1"/>
    <dgm:cxn modelId="{8EB1CD58-F059-435B-9B88-F649FFEC3B36}" type="presParOf" srcId="{F136AB75-C0A9-405D-9356-4F3AC8E4C78D}" destId="{BBA926DC-3168-45DD-8D9C-5B87E9247FF4}" srcOrd="1" destOrd="0" presId="urn:microsoft.com/office/officeart/2005/8/layout/orgChart1"/>
    <dgm:cxn modelId="{7170FB8B-6C13-4348-8198-DEA82FF63361}" type="presParOf" srcId="{20959344-3819-4479-8A96-8051AFF6598A}" destId="{0AE201C8-1EF3-47BE-8591-D60A7C7CBCC9}" srcOrd="1" destOrd="0" presId="urn:microsoft.com/office/officeart/2005/8/layout/orgChart1"/>
    <dgm:cxn modelId="{AA873053-6C3E-44E3-A472-C6E52C071A4F}" type="presParOf" srcId="{0AE201C8-1EF3-47BE-8591-D60A7C7CBCC9}" destId="{B75F386D-30B6-44F7-A069-5BC1877EF8F6}" srcOrd="0" destOrd="0" presId="urn:microsoft.com/office/officeart/2005/8/layout/orgChart1"/>
    <dgm:cxn modelId="{52FB7B19-D076-4D7B-97D8-5088562A21AC}" type="presParOf" srcId="{0AE201C8-1EF3-47BE-8591-D60A7C7CBCC9}" destId="{295D6EA9-A0C7-4080-AEBE-5F5C407B8C58}" srcOrd="1" destOrd="0" presId="urn:microsoft.com/office/officeart/2005/8/layout/orgChart1"/>
    <dgm:cxn modelId="{402E970E-F2AD-43F8-9E2B-66DC79D95650}" type="presParOf" srcId="{295D6EA9-A0C7-4080-AEBE-5F5C407B8C58}" destId="{FAB54473-B137-49C3-A25D-FFC8CD3F9D1F}" srcOrd="0" destOrd="0" presId="urn:microsoft.com/office/officeart/2005/8/layout/orgChart1"/>
    <dgm:cxn modelId="{028376A1-0246-4686-98DC-E2F2F3C9CB68}" type="presParOf" srcId="{FAB54473-B137-49C3-A25D-FFC8CD3F9D1F}" destId="{AA7AF1A6-893D-49F6-A154-66FB7A913073}" srcOrd="0" destOrd="0" presId="urn:microsoft.com/office/officeart/2005/8/layout/orgChart1"/>
    <dgm:cxn modelId="{EDABD2B4-119A-43EB-AED0-4E257B86C07B}" type="presParOf" srcId="{FAB54473-B137-49C3-A25D-FFC8CD3F9D1F}" destId="{74A1D78C-CB6F-4A01-B406-431DE26DBE21}" srcOrd="1" destOrd="0" presId="urn:microsoft.com/office/officeart/2005/8/layout/orgChart1"/>
    <dgm:cxn modelId="{B5834A61-C73C-4395-8F76-701E9AE6B1F1}" type="presParOf" srcId="{295D6EA9-A0C7-4080-AEBE-5F5C407B8C58}" destId="{684FD9D4-D57E-4A4F-92F0-EF6A4E67C491}" srcOrd="1" destOrd="0" presId="urn:microsoft.com/office/officeart/2005/8/layout/orgChart1"/>
    <dgm:cxn modelId="{974086A4-98E6-44F3-BB54-D50DBD81601C}" type="presParOf" srcId="{684FD9D4-D57E-4A4F-92F0-EF6A4E67C491}" destId="{347745CA-4891-4F55-BDBD-1C8EB8CC9F26}" srcOrd="0" destOrd="0" presId="urn:microsoft.com/office/officeart/2005/8/layout/orgChart1"/>
    <dgm:cxn modelId="{1DE34A79-C5F8-495C-8B76-957B1B10CE73}" type="presParOf" srcId="{684FD9D4-D57E-4A4F-92F0-EF6A4E67C491}" destId="{F359AB5E-3E23-4F71-B42A-C5D9BE703DCE}" srcOrd="1" destOrd="0" presId="urn:microsoft.com/office/officeart/2005/8/layout/orgChart1"/>
    <dgm:cxn modelId="{9D8EA45F-3DCB-4F00-8D79-D48DE15E940F}" type="presParOf" srcId="{F359AB5E-3E23-4F71-B42A-C5D9BE703DCE}" destId="{55E3E0ED-9F9A-4D3E-86BD-AB1587FC9818}" srcOrd="0" destOrd="0" presId="urn:microsoft.com/office/officeart/2005/8/layout/orgChart1"/>
    <dgm:cxn modelId="{3135E908-5BDF-48E5-95CE-0852DAEEED1B}" type="presParOf" srcId="{55E3E0ED-9F9A-4D3E-86BD-AB1587FC9818}" destId="{A186A72F-1840-44B9-9F20-935250F9EEAC}" srcOrd="0" destOrd="0" presId="urn:microsoft.com/office/officeart/2005/8/layout/orgChart1"/>
    <dgm:cxn modelId="{437907B5-E070-4670-8F83-78C0C8594E53}" type="presParOf" srcId="{55E3E0ED-9F9A-4D3E-86BD-AB1587FC9818}" destId="{CA5E27FC-5E3C-4D47-860B-D88E131F529A}" srcOrd="1" destOrd="0" presId="urn:microsoft.com/office/officeart/2005/8/layout/orgChart1"/>
    <dgm:cxn modelId="{6F370D65-15D3-4FE5-9899-7BA3980F19AC}" type="presParOf" srcId="{F359AB5E-3E23-4F71-B42A-C5D9BE703DCE}" destId="{257DC3FB-F99D-45B2-AB0E-6396B7EFF57D}" srcOrd="1" destOrd="0" presId="urn:microsoft.com/office/officeart/2005/8/layout/orgChart1"/>
    <dgm:cxn modelId="{D774D78A-0634-4F17-A9E7-E41FCFAF3325}" type="presParOf" srcId="{257DC3FB-F99D-45B2-AB0E-6396B7EFF57D}" destId="{C4E3848A-7E01-4DB0-8CD4-84C947B49FE4}" srcOrd="0" destOrd="0" presId="urn:microsoft.com/office/officeart/2005/8/layout/orgChart1"/>
    <dgm:cxn modelId="{031472F0-233E-4356-92D1-515443C23DC6}" type="presParOf" srcId="{257DC3FB-F99D-45B2-AB0E-6396B7EFF57D}" destId="{F81DF4AD-C644-45B5-BAEB-9E7C2922119E}" srcOrd="1" destOrd="0" presId="urn:microsoft.com/office/officeart/2005/8/layout/orgChart1"/>
    <dgm:cxn modelId="{3DCDDD0A-71E3-442F-AC75-22B8C0B31E21}" type="presParOf" srcId="{F81DF4AD-C644-45B5-BAEB-9E7C2922119E}" destId="{5639FF6B-B22A-4E18-8F68-CFE5AFDDC2D1}" srcOrd="0" destOrd="0" presId="urn:microsoft.com/office/officeart/2005/8/layout/orgChart1"/>
    <dgm:cxn modelId="{2115A76E-DAE2-4EDE-B26F-E32F03661D36}" type="presParOf" srcId="{5639FF6B-B22A-4E18-8F68-CFE5AFDDC2D1}" destId="{95048235-64EF-49AD-9962-8E5305EE3FF3}" srcOrd="0" destOrd="0" presId="urn:microsoft.com/office/officeart/2005/8/layout/orgChart1"/>
    <dgm:cxn modelId="{E3C67EE0-0A70-4A4A-B0B0-1944F50479EA}" type="presParOf" srcId="{5639FF6B-B22A-4E18-8F68-CFE5AFDDC2D1}" destId="{4FC10D47-C420-411B-AADA-675798C84124}" srcOrd="1" destOrd="0" presId="urn:microsoft.com/office/officeart/2005/8/layout/orgChart1"/>
    <dgm:cxn modelId="{1FEFC9D2-2D73-4F38-B134-938A56BBEEB8}" type="presParOf" srcId="{F81DF4AD-C644-45B5-BAEB-9E7C2922119E}" destId="{AE0D84C9-B5CC-4822-86B0-6B5F46919AE5}" srcOrd="1" destOrd="0" presId="urn:microsoft.com/office/officeart/2005/8/layout/orgChart1"/>
    <dgm:cxn modelId="{48B3D821-ABD9-4FE9-B6E0-C2DFA48EE599}" type="presParOf" srcId="{AE0D84C9-B5CC-4822-86B0-6B5F46919AE5}" destId="{274B9921-6763-4ACC-8649-FFBF3F016777}" srcOrd="0" destOrd="0" presId="urn:microsoft.com/office/officeart/2005/8/layout/orgChart1"/>
    <dgm:cxn modelId="{E78597F9-A1C5-41FD-9C9B-580B3E90B640}" type="presParOf" srcId="{AE0D84C9-B5CC-4822-86B0-6B5F46919AE5}" destId="{36B498DC-BD02-4B01-B253-F7C47FD7A8B3}" srcOrd="1" destOrd="0" presId="urn:microsoft.com/office/officeart/2005/8/layout/orgChart1"/>
    <dgm:cxn modelId="{02470F99-2534-493F-BF74-1BAEA0A91A61}" type="presParOf" srcId="{36B498DC-BD02-4B01-B253-F7C47FD7A8B3}" destId="{AA892F7E-7F2E-4633-89DB-278109C09656}" srcOrd="0" destOrd="0" presId="urn:microsoft.com/office/officeart/2005/8/layout/orgChart1"/>
    <dgm:cxn modelId="{7D559FD7-9761-4194-A515-89B2FFA940FA}" type="presParOf" srcId="{AA892F7E-7F2E-4633-89DB-278109C09656}" destId="{C981C7BD-1328-4151-AC14-836BEB0385BF}" srcOrd="0" destOrd="0" presId="urn:microsoft.com/office/officeart/2005/8/layout/orgChart1"/>
    <dgm:cxn modelId="{65563122-B156-4DFC-A70E-19FECF5B3014}" type="presParOf" srcId="{AA892F7E-7F2E-4633-89DB-278109C09656}" destId="{7F29EB7F-D8A5-4D3B-A60B-545E028F40A5}" srcOrd="1" destOrd="0" presId="urn:microsoft.com/office/officeart/2005/8/layout/orgChart1"/>
    <dgm:cxn modelId="{4158EE10-F6B0-4ECF-9F70-B9F1CE3DEF7C}" type="presParOf" srcId="{36B498DC-BD02-4B01-B253-F7C47FD7A8B3}" destId="{60A41DEA-C576-483C-8A45-B240402B3E67}" srcOrd="1" destOrd="0" presId="urn:microsoft.com/office/officeart/2005/8/layout/orgChart1"/>
    <dgm:cxn modelId="{51A16ED9-6807-42A4-B5B1-F96E3A7A1A43}" type="presParOf" srcId="{36B498DC-BD02-4B01-B253-F7C47FD7A8B3}" destId="{C23F4988-348E-481B-AF1E-8911FD55A724}" srcOrd="2" destOrd="0" presId="urn:microsoft.com/office/officeart/2005/8/layout/orgChart1"/>
    <dgm:cxn modelId="{9F53024D-4507-497D-A5EC-35ACFDC58C98}" type="presParOf" srcId="{F81DF4AD-C644-45B5-BAEB-9E7C2922119E}" destId="{D60C51FD-CC3A-4E31-A00C-8E5205CF58E1}" srcOrd="2" destOrd="0" presId="urn:microsoft.com/office/officeart/2005/8/layout/orgChart1"/>
    <dgm:cxn modelId="{89938336-96FA-44B4-B9F9-EB3652A2477A}" type="presParOf" srcId="{F359AB5E-3E23-4F71-B42A-C5D9BE703DCE}" destId="{E5A7F7B2-17A8-4582-9A7E-CBD6EDB977A9}" srcOrd="2" destOrd="0" presId="urn:microsoft.com/office/officeart/2005/8/layout/orgChart1"/>
    <dgm:cxn modelId="{C80A1693-BA7D-485B-90CD-0579BFC24778}" type="presParOf" srcId="{295D6EA9-A0C7-4080-AEBE-5F5C407B8C58}" destId="{DDE3CA4E-377B-4B7F-9EA5-B3C1FBE02484}" srcOrd="2" destOrd="0" presId="urn:microsoft.com/office/officeart/2005/8/layout/orgChart1"/>
    <dgm:cxn modelId="{CD245945-725D-4C6E-90D7-64226FC0250B}" type="presParOf" srcId="{20959344-3819-4479-8A96-8051AFF6598A}" destId="{E79BDFED-07A3-4F7D-A82D-9C7F78C426AB}" srcOrd="2" destOrd="0" presId="urn:microsoft.com/office/officeart/2005/8/layout/orgChart1"/>
    <dgm:cxn modelId="{B103F4C3-6CBF-4684-87BE-5F1D92A150E2}" type="presParOf" srcId="{E79BDFED-07A3-4F7D-A82D-9C7F78C426AB}" destId="{39B71A8C-526F-4C3A-9907-4917DBA2B59F}" srcOrd="0" destOrd="0" presId="urn:microsoft.com/office/officeart/2005/8/layout/orgChart1"/>
    <dgm:cxn modelId="{32308E54-9716-4F0F-AF63-EA3941A5DE88}" type="presParOf" srcId="{E79BDFED-07A3-4F7D-A82D-9C7F78C426AB}" destId="{96A94920-58EE-4EFA-AB74-77C5D89BECB1}" srcOrd="1" destOrd="0" presId="urn:microsoft.com/office/officeart/2005/8/layout/orgChart1"/>
    <dgm:cxn modelId="{609BD260-A8B3-4A0E-A677-FBABB82DAF1F}" type="presParOf" srcId="{96A94920-58EE-4EFA-AB74-77C5D89BECB1}" destId="{99963AA5-E5E4-468E-A9E6-C767EC7A50F7}" srcOrd="0" destOrd="0" presId="urn:microsoft.com/office/officeart/2005/8/layout/orgChart1"/>
    <dgm:cxn modelId="{D25DA24A-DA7A-4361-BFC7-7AE2F95EA61D}" type="presParOf" srcId="{99963AA5-E5E4-468E-A9E6-C767EC7A50F7}" destId="{281136BD-E3DF-4B6F-861E-6A24CFAFE6FD}" srcOrd="0" destOrd="0" presId="urn:microsoft.com/office/officeart/2005/8/layout/orgChart1"/>
    <dgm:cxn modelId="{2AFB2A5C-70E0-44AA-920C-0F9E3D6D8D13}" type="presParOf" srcId="{99963AA5-E5E4-468E-A9E6-C767EC7A50F7}" destId="{042BD30B-0A06-48AD-820D-E05EA9EEF2D0}" srcOrd="1" destOrd="0" presId="urn:microsoft.com/office/officeart/2005/8/layout/orgChart1"/>
    <dgm:cxn modelId="{4368D313-CCB0-46FC-BC72-7348B7233825}" type="presParOf" srcId="{96A94920-58EE-4EFA-AB74-77C5D89BECB1}" destId="{6596CAE2-EE77-4D81-871D-858F8B12E3E2}" srcOrd="1" destOrd="0" presId="urn:microsoft.com/office/officeart/2005/8/layout/orgChart1"/>
    <dgm:cxn modelId="{D5A3FE43-575D-4670-B0EC-3EAC91F968AB}" type="presParOf" srcId="{96A94920-58EE-4EFA-AB74-77C5D89BECB1}" destId="{015B654C-3C43-4997-B511-1A2B9660E4AE}" srcOrd="2" destOrd="0" presId="urn:microsoft.com/office/officeart/2005/8/layout/orgChart1"/>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9B71A8C-526F-4C3A-9907-4917DBA2B59F}">
      <dsp:nvSpPr>
        <dsp:cNvPr id="0" name=""/>
        <dsp:cNvSpPr/>
      </dsp:nvSpPr>
      <dsp:spPr>
        <a:xfrm>
          <a:off x="1172421" y="879619"/>
          <a:ext cx="91440" cy="408528"/>
        </a:xfrm>
        <a:custGeom>
          <a:avLst/>
          <a:gdLst/>
          <a:ahLst/>
          <a:cxnLst/>
          <a:rect l="0" t="0" r="0" b="0"/>
          <a:pathLst>
            <a:path>
              <a:moveTo>
                <a:pt x="45720" y="0"/>
              </a:moveTo>
              <a:lnTo>
                <a:pt x="45720" y="396796"/>
              </a:lnTo>
              <a:lnTo>
                <a:pt x="82248" y="396796"/>
              </a:lnTo>
            </a:path>
          </a:pathLst>
        </a:custGeom>
        <a:noFill/>
        <a:ln w="12700" cap="flat" cmpd="sng" algn="ctr">
          <a:solidFill>
            <a:sysClr val="windowText" lastClr="000000"/>
          </a:solidFill>
          <a:prstDash val="solid"/>
          <a:miter lim="800000"/>
        </a:ln>
        <a:effectLst/>
      </dsp:spPr>
      <dsp:style>
        <a:lnRef idx="1">
          <a:schemeClr val="dk1"/>
        </a:lnRef>
        <a:fillRef idx="0">
          <a:schemeClr val="dk1"/>
        </a:fillRef>
        <a:effectRef idx="0">
          <a:schemeClr val="dk1"/>
        </a:effectRef>
        <a:fontRef idx="minor">
          <a:schemeClr val="tx1"/>
        </a:fontRef>
      </dsp:style>
    </dsp:sp>
    <dsp:sp modelId="{274B9921-6763-4ACC-8649-FFBF3F016777}">
      <dsp:nvSpPr>
        <dsp:cNvPr id="0" name=""/>
        <dsp:cNvSpPr/>
      </dsp:nvSpPr>
      <dsp:spPr>
        <a:xfrm>
          <a:off x="581205" y="3231314"/>
          <a:ext cx="91440" cy="335957"/>
        </a:xfrm>
        <a:custGeom>
          <a:avLst/>
          <a:gdLst/>
          <a:ahLst/>
          <a:cxnLst/>
          <a:rect l="0" t="0" r="0" b="0"/>
          <a:pathLst>
            <a:path>
              <a:moveTo>
                <a:pt x="47269" y="0"/>
              </a:moveTo>
              <a:lnTo>
                <a:pt x="45720" y="378022"/>
              </a:lnTo>
            </a:path>
          </a:pathLst>
        </a:custGeom>
        <a:noFill/>
        <a:ln w="12700" cap="flat" cmpd="sng" algn="ctr">
          <a:solidFill>
            <a:sysClr val="windowText" lastClr="000000"/>
          </a:solidFill>
          <a:prstDash val="solid"/>
          <a:miter lim="800000"/>
        </a:ln>
        <a:effectLst/>
      </dsp:spPr>
      <dsp:style>
        <a:lnRef idx="1">
          <a:schemeClr val="dk1"/>
        </a:lnRef>
        <a:fillRef idx="0">
          <a:schemeClr val="dk1"/>
        </a:fillRef>
        <a:effectRef idx="0">
          <a:schemeClr val="dk1"/>
        </a:effectRef>
        <a:fontRef idx="minor">
          <a:schemeClr val="tx1"/>
        </a:fontRef>
      </dsp:style>
    </dsp:sp>
    <dsp:sp modelId="{C4E3848A-7E01-4DB0-8CD4-84C947B49FE4}">
      <dsp:nvSpPr>
        <dsp:cNvPr id="0" name=""/>
        <dsp:cNvSpPr/>
      </dsp:nvSpPr>
      <dsp:spPr>
        <a:xfrm>
          <a:off x="1171250" y="2792926"/>
          <a:ext cx="91440" cy="98710"/>
        </a:xfrm>
        <a:custGeom>
          <a:avLst/>
          <a:gdLst/>
          <a:ahLst/>
          <a:cxnLst/>
          <a:rect l="0" t="0" r="0" b="0"/>
          <a:pathLst>
            <a:path>
              <a:moveTo>
                <a:pt x="45720" y="0"/>
              </a:moveTo>
              <a:lnTo>
                <a:pt x="45720" y="58046"/>
              </a:lnTo>
              <a:lnTo>
                <a:pt x="47027" y="58046"/>
              </a:lnTo>
              <a:lnTo>
                <a:pt x="47027" y="111070"/>
              </a:lnTo>
            </a:path>
          </a:pathLst>
        </a:custGeom>
        <a:noFill/>
        <a:ln w="12700" cap="flat" cmpd="sng" algn="ctr">
          <a:solidFill>
            <a:sysClr val="windowText" lastClr="000000"/>
          </a:solidFill>
          <a:prstDash val="solid"/>
          <a:miter lim="800000"/>
        </a:ln>
        <a:effectLst/>
      </dsp:spPr>
      <dsp:style>
        <a:lnRef idx="1">
          <a:schemeClr val="dk1"/>
        </a:lnRef>
        <a:fillRef idx="0">
          <a:schemeClr val="dk1"/>
        </a:fillRef>
        <a:effectRef idx="0">
          <a:schemeClr val="dk1"/>
        </a:effectRef>
        <a:fontRef idx="minor">
          <a:schemeClr val="tx1"/>
        </a:fontRef>
      </dsp:style>
    </dsp:sp>
    <dsp:sp modelId="{347745CA-4891-4F55-BDBD-1C8EB8CC9F26}">
      <dsp:nvSpPr>
        <dsp:cNvPr id="0" name=""/>
        <dsp:cNvSpPr/>
      </dsp:nvSpPr>
      <dsp:spPr>
        <a:xfrm>
          <a:off x="1171250" y="1972802"/>
          <a:ext cx="91440" cy="91440"/>
        </a:xfrm>
        <a:custGeom>
          <a:avLst/>
          <a:gdLst/>
          <a:ahLst/>
          <a:cxnLst/>
          <a:rect l="0" t="0" r="0" b="0"/>
          <a:pathLst>
            <a:path>
              <a:moveTo>
                <a:pt x="46219" y="45720"/>
              </a:moveTo>
              <a:lnTo>
                <a:pt x="46219" y="78377"/>
              </a:lnTo>
              <a:lnTo>
                <a:pt x="45720" y="78377"/>
              </a:lnTo>
              <a:lnTo>
                <a:pt x="45720" y="131401"/>
              </a:lnTo>
            </a:path>
          </a:pathLst>
        </a:custGeom>
        <a:noFill/>
        <a:ln w="12700" cap="flat" cmpd="sng" algn="ctr">
          <a:solidFill>
            <a:sysClr val="windowText" lastClr="000000"/>
          </a:solidFill>
          <a:prstDash val="solid"/>
          <a:miter lim="800000"/>
        </a:ln>
        <a:effectLst/>
      </dsp:spPr>
      <dsp:style>
        <a:lnRef idx="1">
          <a:schemeClr val="dk1"/>
        </a:lnRef>
        <a:fillRef idx="0">
          <a:schemeClr val="dk1"/>
        </a:fillRef>
        <a:effectRef idx="0">
          <a:schemeClr val="dk1"/>
        </a:effectRef>
        <a:fontRef idx="minor">
          <a:schemeClr val="tx1"/>
        </a:fontRef>
      </dsp:style>
    </dsp:sp>
    <dsp:sp modelId="{B75F386D-30B6-44F7-A069-5BC1877EF8F6}">
      <dsp:nvSpPr>
        <dsp:cNvPr id="0" name=""/>
        <dsp:cNvSpPr/>
      </dsp:nvSpPr>
      <dsp:spPr>
        <a:xfrm>
          <a:off x="1171694" y="879619"/>
          <a:ext cx="91440" cy="791834"/>
        </a:xfrm>
        <a:custGeom>
          <a:avLst/>
          <a:gdLst/>
          <a:ahLst/>
          <a:cxnLst/>
          <a:rect l="0" t="0" r="0" b="0"/>
          <a:pathLst>
            <a:path>
              <a:moveTo>
                <a:pt x="46538" y="0"/>
              </a:moveTo>
              <a:lnTo>
                <a:pt x="46538" y="712188"/>
              </a:lnTo>
              <a:lnTo>
                <a:pt x="45720" y="712188"/>
              </a:lnTo>
              <a:lnTo>
                <a:pt x="45720" y="765212"/>
              </a:lnTo>
            </a:path>
          </a:pathLst>
        </a:custGeom>
        <a:noFill/>
        <a:ln w="12700" cap="flat" cmpd="sng" algn="ctr">
          <a:solidFill>
            <a:sysClr val="windowText" lastClr="000000"/>
          </a:solidFill>
          <a:prstDash val="solid"/>
          <a:miter lim="800000"/>
        </a:ln>
        <a:effectLst/>
      </dsp:spPr>
      <dsp:style>
        <a:lnRef idx="1">
          <a:schemeClr val="dk1"/>
        </a:lnRef>
        <a:fillRef idx="0">
          <a:schemeClr val="dk1"/>
        </a:fillRef>
        <a:effectRef idx="0">
          <a:schemeClr val="dk1"/>
        </a:effectRef>
        <a:fontRef idx="minor">
          <a:schemeClr val="tx1"/>
        </a:fontRef>
      </dsp:style>
    </dsp:sp>
    <dsp:sp modelId="{58F87A65-CDAB-4CC2-AAF3-BA56640A316B}">
      <dsp:nvSpPr>
        <dsp:cNvPr id="0" name=""/>
        <dsp:cNvSpPr/>
      </dsp:nvSpPr>
      <dsp:spPr>
        <a:xfrm>
          <a:off x="184945" y="421961"/>
          <a:ext cx="2066392" cy="457657"/>
        </a:xfrm>
        <a:prstGeom prst="rect">
          <a:avLst/>
        </a:prstGeom>
        <a:solidFill>
          <a:sysClr val="window" lastClr="FFFFFF"/>
        </a:solidFill>
        <a:ln w="19050" cap="flat" cmpd="sng" algn="ctr">
          <a:solidFill>
            <a:sysClr val="windowText" lastClr="000000"/>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NG" sz="900" kern="1200">
              <a:solidFill>
                <a:sysClr val="windowText" lastClr="000000"/>
              </a:solidFill>
              <a:latin typeface="Garamond" panose="02020404030301010803" pitchFamily="18" charset="0"/>
              <a:ea typeface="+mn-ea"/>
              <a:cs typeface="+mn-cs"/>
            </a:rPr>
            <a:t>Assessed for eligibility (n ≈ 50, via campus posters and announcements)</a:t>
          </a:r>
        </a:p>
      </dsp:txBody>
      <dsp:txXfrm>
        <a:off x="184945" y="421961"/>
        <a:ext cx="2066392" cy="457657"/>
      </dsp:txXfrm>
    </dsp:sp>
    <dsp:sp modelId="{AA7AF1A6-893D-49F6-A154-66FB7A913073}">
      <dsp:nvSpPr>
        <dsp:cNvPr id="0" name=""/>
        <dsp:cNvSpPr/>
      </dsp:nvSpPr>
      <dsp:spPr>
        <a:xfrm>
          <a:off x="317570" y="1671453"/>
          <a:ext cx="1799689" cy="347069"/>
        </a:xfrm>
        <a:prstGeom prst="rect">
          <a:avLst/>
        </a:prstGeom>
        <a:solidFill>
          <a:sysClr val="window" lastClr="FFFFFF"/>
        </a:solidFill>
        <a:ln w="19050" cap="flat" cmpd="sng" algn="ctr">
          <a:solidFill>
            <a:sysClr val="windowText" lastClr="000000"/>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NG" sz="900" kern="1200">
              <a:solidFill>
                <a:sysClr val="windowText" lastClr="000000"/>
              </a:solidFill>
              <a:latin typeface="Garamond" panose="02020404030301010803" pitchFamily="18" charset="0"/>
              <a:ea typeface="+mn-ea"/>
              <a:cs typeface="+mn-cs"/>
            </a:rPr>
            <a:t>Enrolled and randomised to counterbalanced groups (n = 40)</a:t>
          </a:r>
          <a:endParaRPr lang="en-US" sz="900" kern="1200">
            <a:solidFill>
              <a:sysClr val="windowText" lastClr="000000"/>
            </a:solidFill>
            <a:latin typeface="Garamond" panose="02020404030301010803" pitchFamily="18" charset="0"/>
            <a:ea typeface="+mn-ea"/>
            <a:cs typeface="+mn-cs"/>
          </a:endParaRPr>
        </a:p>
      </dsp:txBody>
      <dsp:txXfrm>
        <a:off x="317570" y="1671453"/>
        <a:ext cx="1799689" cy="347069"/>
      </dsp:txXfrm>
    </dsp:sp>
    <dsp:sp modelId="{A186A72F-1840-44B9-9F20-935250F9EEAC}">
      <dsp:nvSpPr>
        <dsp:cNvPr id="0" name=""/>
        <dsp:cNvSpPr/>
      </dsp:nvSpPr>
      <dsp:spPr>
        <a:xfrm>
          <a:off x="16110" y="2094670"/>
          <a:ext cx="2401721" cy="698255"/>
        </a:xfrm>
        <a:prstGeom prst="rect">
          <a:avLst/>
        </a:prstGeom>
        <a:solidFill>
          <a:sysClr val="window" lastClr="FFFFFF"/>
        </a:solidFill>
        <a:ln w="19050" cap="flat" cmpd="sng" algn="ctr">
          <a:solidFill>
            <a:sysClr val="windowText" lastClr="000000"/>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NG" sz="900" kern="1200">
              <a:solidFill>
                <a:sysClr val="windowText" lastClr="000000"/>
              </a:solidFill>
              <a:latin typeface="Garamond" panose="02020404030301010803" pitchFamily="18" charset="0"/>
              <a:ea typeface="+mn-ea"/>
              <a:cs typeface="+mn-cs"/>
            </a:rPr>
            <a:t>Allocated to all conditions (within-subjects; n = 40)</a:t>
          </a:r>
          <a:r>
            <a:rPr lang="en-US" sz="900" kern="1200">
              <a:solidFill>
                <a:sysClr val="windowText" lastClr="000000"/>
              </a:solidFill>
              <a:latin typeface="Garamond" panose="02020404030301010803" pitchFamily="18" charset="0"/>
              <a:ea typeface="+mn-ea"/>
              <a:cs typeface="+mn-cs"/>
            </a:rPr>
            <a:t> </a:t>
          </a:r>
        </a:p>
        <a:p>
          <a:pPr marL="0" lvl="0" indent="0" algn="ctr" defTabSz="400050">
            <a:lnSpc>
              <a:spcPct val="90000"/>
            </a:lnSpc>
            <a:spcBef>
              <a:spcPct val="0"/>
            </a:spcBef>
            <a:spcAft>
              <a:spcPct val="35000"/>
            </a:spcAft>
            <a:buNone/>
          </a:pPr>
          <a:r>
            <a:rPr lang="en-NG" sz="900" kern="1200">
              <a:solidFill>
                <a:sysClr val="windowText" lastClr="000000"/>
              </a:solidFill>
              <a:latin typeface="Garamond" panose="02020404030301010803" pitchFamily="18" charset="0"/>
              <a:ea typeface="+mn-ea"/>
              <a:cs typeface="+mn-cs"/>
            </a:rPr>
            <a:t>Received quiet, steady-state, and intermittent noise exposures in assigned order</a:t>
          </a:r>
        </a:p>
      </dsp:txBody>
      <dsp:txXfrm>
        <a:off x="16110" y="2094670"/>
        <a:ext cx="2401721" cy="698255"/>
      </dsp:txXfrm>
    </dsp:sp>
    <dsp:sp modelId="{95048235-64EF-49AD-9962-8E5305EE3FF3}">
      <dsp:nvSpPr>
        <dsp:cNvPr id="0" name=""/>
        <dsp:cNvSpPr/>
      </dsp:nvSpPr>
      <dsp:spPr>
        <a:xfrm>
          <a:off x="480845" y="2891637"/>
          <a:ext cx="1474575" cy="339677"/>
        </a:xfrm>
        <a:prstGeom prst="rect">
          <a:avLst/>
        </a:prstGeom>
        <a:solidFill>
          <a:sysClr val="window" lastClr="FFFFFF"/>
        </a:solidFill>
        <a:ln w="19050" cap="flat" cmpd="sng" algn="ctr">
          <a:solidFill>
            <a:sysClr val="windowText" lastClr="000000"/>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NG" sz="900" kern="1200">
              <a:solidFill>
                <a:sysClr val="windowText" lastClr="000000"/>
              </a:solidFill>
              <a:latin typeface="Garamond" panose="02020404030301010803" pitchFamily="18" charset="0"/>
              <a:ea typeface="+mn-ea"/>
              <a:cs typeface="+mn-cs"/>
            </a:rPr>
            <a:t>Completed all conditions and tasks (n = 40)</a:t>
          </a:r>
        </a:p>
      </dsp:txBody>
      <dsp:txXfrm>
        <a:off x="480845" y="2891637"/>
        <a:ext cx="1474575" cy="339677"/>
      </dsp:txXfrm>
    </dsp:sp>
    <dsp:sp modelId="{C981C7BD-1328-4151-AC14-836BEB0385BF}">
      <dsp:nvSpPr>
        <dsp:cNvPr id="0" name=""/>
        <dsp:cNvSpPr/>
      </dsp:nvSpPr>
      <dsp:spPr>
        <a:xfrm>
          <a:off x="626925" y="3326994"/>
          <a:ext cx="1474575" cy="480557"/>
        </a:xfrm>
        <a:prstGeom prst="rect">
          <a:avLst/>
        </a:prstGeom>
        <a:solidFill>
          <a:sysClr val="window" lastClr="FFFFFF"/>
        </a:solidFill>
        <a:ln w="19050" cap="flat" cmpd="sng" algn="ctr">
          <a:solidFill>
            <a:sysClr val="windowText" lastClr="000000"/>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NG" sz="900" kern="1200">
              <a:solidFill>
                <a:sysClr val="windowText" lastClr="000000"/>
              </a:solidFill>
              <a:latin typeface="Garamond" panose="02020404030301010803" pitchFamily="18" charset="0"/>
              <a:ea typeface="+mn-ea"/>
              <a:cs typeface="+mn-cs"/>
            </a:rPr>
            <a:t>Analysed (n = 40)</a:t>
          </a:r>
          <a:endParaRPr lang="en-US" sz="900" kern="1200">
            <a:solidFill>
              <a:sysClr val="windowText" lastClr="000000"/>
            </a:solidFill>
            <a:latin typeface="Garamond" panose="02020404030301010803" pitchFamily="18" charset="0"/>
            <a:ea typeface="+mn-ea"/>
            <a:cs typeface="+mn-cs"/>
          </a:endParaRPr>
        </a:p>
        <a:p>
          <a:pPr marL="0" lvl="0" indent="0" algn="ctr" defTabSz="400050">
            <a:lnSpc>
              <a:spcPct val="90000"/>
            </a:lnSpc>
            <a:spcBef>
              <a:spcPct val="0"/>
            </a:spcBef>
            <a:spcAft>
              <a:spcPct val="35000"/>
            </a:spcAft>
            <a:buNone/>
          </a:pPr>
          <a:r>
            <a:rPr lang="en-US" sz="900" kern="1200">
              <a:solidFill>
                <a:sysClr val="windowText" lastClr="000000"/>
              </a:solidFill>
              <a:latin typeface="Garamond" panose="02020404030301010803" pitchFamily="18" charset="0"/>
              <a:ea typeface="+mn-ea"/>
              <a:cs typeface="+mn-cs"/>
            </a:rPr>
            <a:t> </a:t>
          </a:r>
          <a:r>
            <a:rPr lang="en-NG" sz="900" kern="1200">
              <a:solidFill>
                <a:sysClr val="windowText" lastClr="000000"/>
              </a:solidFill>
              <a:latin typeface="Garamond" panose="02020404030301010803" pitchFamily="18" charset="0"/>
              <a:ea typeface="+mn-ea"/>
              <a:cs typeface="+mn-cs"/>
            </a:rPr>
            <a:t>N</a:t>
          </a:r>
          <a:r>
            <a:rPr lang="en-US" sz="900" kern="1200">
              <a:solidFill>
                <a:sysClr val="windowText" lastClr="000000"/>
              </a:solidFill>
              <a:latin typeface="Garamond" panose="02020404030301010803" pitchFamily="18" charset="0"/>
              <a:ea typeface="+mn-ea"/>
              <a:cs typeface="+mn-cs"/>
            </a:rPr>
            <a:t>o</a:t>
          </a:r>
          <a:r>
            <a:rPr lang="en-NG" sz="900" kern="1200">
              <a:solidFill>
                <a:sysClr val="windowText" lastClr="000000"/>
              </a:solidFill>
              <a:latin typeface="Garamond" panose="02020404030301010803" pitchFamily="18" charset="0"/>
              <a:ea typeface="+mn-ea"/>
              <a:cs typeface="+mn-cs"/>
            </a:rPr>
            <a:t> missing data or exclusions post-enrolment</a:t>
          </a:r>
        </a:p>
      </dsp:txBody>
      <dsp:txXfrm>
        <a:off x="626925" y="3326994"/>
        <a:ext cx="1474575" cy="480557"/>
      </dsp:txXfrm>
    </dsp:sp>
    <dsp:sp modelId="{281136BD-E3DF-4B6F-861E-6A24CFAFE6FD}">
      <dsp:nvSpPr>
        <dsp:cNvPr id="0" name=""/>
        <dsp:cNvSpPr/>
      </dsp:nvSpPr>
      <dsp:spPr>
        <a:xfrm>
          <a:off x="1250606" y="978565"/>
          <a:ext cx="1822793" cy="619164"/>
        </a:xfrm>
        <a:prstGeom prst="rect">
          <a:avLst/>
        </a:prstGeom>
        <a:solidFill>
          <a:sysClr val="window" lastClr="FFFFFF"/>
        </a:solidFill>
        <a:ln w="19050" cap="flat" cmpd="sng" algn="ctr">
          <a:solidFill>
            <a:sysClr val="windowText" lastClr="000000"/>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SzPts val="1000"/>
            <a:buFont typeface="Symbol" panose="05050102010706020507" pitchFamily="18" charset="2"/>
            <a:buNone/>
          </a:pPr>
          <a:r>
            <a:rPr lang="en-NG" sz="900" kern="1200">
              <a:solidFill>
                <a:sysClr val="windowText" lastClr="000000"/>
              </a:solidFill>
              <a:latin typeface="Garamond" panose="02020404030301010803" pitchFamily="18" charset="0"/>
              <a:ea typeface="+mn-ea"/>
              <a:cs typeface="+mn-cs"/>
            </a:rPr>
            <a:t>Excluded (n ≈ 10)</a:t>
          </a:r>
        </a:p>
        <a:p>
          <a:pPr marL="0" lvl="0" indent="0" algn="ctr" defTabSz="400050">
            <a:lnSpc>
              <a:spcPct val="90000"/>
            </a:lnSpc>
            <a:spcBef>
              <a:spcPct val="0"/>
            </a:spcBef>
            <a:spcAft>
              <a:spcPct val="35000"/>
            </a:spcAft>
            <a:buSzPts val="1000"/>
            <a:buFont typeface="Symbol" panose="05050102010706020507" pitchFamily="18" charset="2"/>
            <a:buNone/>
          </a:pPr>
          <a:r>
            <a:rPr lang="en-NG" sz="900" kern="1200">
              <a:solidFill>
                <a:sysClr val="windowText" lastClr="000000"/>
              </a:solidFill>
              <a:latin typeface="Garamond" panose="02020404030301010803" pitchFamily="18" charset="0"/>
              <a:ea typeface="+mn-ea"/>
              <a:cs typeface="+mn-cs"/>
            </a:rPr>
            <a:t>Did not meet inclusion criteria or met exclusion criteria (n ≈ 10; e.g., scheduling conflicts, recent caffeine/alcohol)</a:t>
          </a:r>
          <a:endParaRPr lang="en-NG" sz="900" b="1" kern="1200">
            <a:solidFill>
              <a:sysClr val="windowText" lastClr="000000"/>
            </a:solidFill>
            <a:latin typeface="Garamond" panose="02020404030301010803" pitchFamily="18" charset="0"/>
            <a:ea typeface="+mn-ea"/>
            <a:cs typeface="+mn-cs"/>
          </a:endParaRPr>
        </a:p>
      </dsp:txBody>
      <dsp:txXfrm>
        <a:off x="1250606" y="978565"/>
        <a:ext cx="1822793" cy="61916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5132</Words>
  <Characters>29253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2026-04-06T07:15:00Z</dcterms:created>
  <dcterms:modified xsi:type="dcterms:W3CDTF">2026-04-06T07:15:00Z</dcterms:modified>
</cp:coreProperties>
</file>