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0CD18C11">
                <wp:simplePos x="0" y="0"/>
                <wp:positionH relativeFrom="column">
                  <wp:posOffset>-239486</wp:posOffset>
                </wp:positionH>
                <wp:positionV relativeFrom="paragraph">
                  <wp:posOffset>121104</wp:posOffset>
                </wp:positionV>
                <wp:extent cx="6419850" cy="1055914"/>
                <wp:effectExtent l="0" t="0" r="19050" b="11430"/>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1055914"/>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108BD31" id="Round Diagonal Corner Rectangle 262" o:spid="_x0000_s1026" style="position:absolute;margin-left:-18.85pt;margin-top:9.55pt;width:505.5pt;height:83.1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10559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" path="m175989,l6419850,r,l6419850,879925v,97196,-78793,175989,-175989,175989l,1055914r,l,175989c,78793,78793,,175989,xe" fillcolor="#1a601c" strokecolor="#385723" strokeweight="1pt">
                <v:stroke joinstyle="miter"/>
                <v:path arrowok="t" o:connecttype="custom" o:connectlocs="175989,0;6419850,0;6419850,0;6419850,879925;6243861,1055914;0,1055914;0,1055914;0,175989;175989,0" o:connectangles="0,0,0,0,0,0,0,0,0"/>
              </v:shape>
            </w:pict>
          </mc:Fallback>
        </mc:AlternateContent>
      </w:r>
    </w:p>
    <w:p w14:paraId="7FABE7AA" w14:textId="77777777" w:rsidR="00C271AB" w:rsidRDefault="00C271AB" w:rsidP="009E5406">
      <w:pPr>
        <w:pBdr>
          <w:bottom w:val="single" w:sz="6" w:space="1" w:color="auto"/>
        </w:pBdr>
        <w:jc w:val="both"/>
        <w:rPr>
          <w:rFonts w:ascii="Garamond" w:hAnsi="Garamond" w:cs="Times New Roman"/>
          <w:b/>
          <w:bCs/>
          <w:i/>
          <w:iCs/>
          <w:color w:val="FFFFFF" w:themeColor="background1"/>
          <w:sz w:val="22"/>
          <w:szCs w:val="22"/>
          <w:vertAlign w:val="superscript"/>
          <w:lang w:val="en-NG"/>
        </w:rPr>
      </w:pPr>
      <w:bookmarkStart w:id="1" w:name="_top"/>
      <w:bookmarkStart w:id="2" w:name="_Hlk209348096"/>
      <w:bookmarkEnd w:id="1"/>
      <w:r w:rsidRPr="00CE4040">
        <w:rPr>
          <w:rFonts w:ascii="Garamond" w:hAnsi="Garamond" w:cs="Times New Roman"/>
          <w:b/>
          <w:bCs/>
          <w:color w:val="FFFFFF" w:themeColor="background1"/>
          <w:sz w:val="32"/>
          <w:szCs w:val="32"/>
          <w:lang w:val="en-NG"/>
        </w:rPr>
        <w:t>Pattern of Anti-hypertensive Prescription and Adherence to Anti- Hypertensive Medications among Patients with Chronic Kidney Disease in A Tertiary Health Care Facility in Southern Nigeria</w:t>
      </w:r>
      <w:r w:rsidRPr="00CE4040">
        <w:rPr>
          <w:rFonts w:ascii="Garamond" w:hAnsi="Garamond" w:cs="Times New Roman"/>
          <w:b/>
          <w:bCs/>
          <w:i/>
          <w:iCs/>
          <w:color w:val="FFFFFF" w:themeColor="background1"/>
          <w:sz w:val="22"/>
          <w:szCs w:val="22"/>
          <w:vertAlign w:val="superscript"/>
          <w:lang w:val="en-NG"/>
        </w:rPr>
        <w:t xml:space="preserve"> </w:t>
      </w:r>
    </w:p>
    <w:p w14:paraId="36AF2176" w14:textId="75FCD608" w:rsidR="00C271AB" w:rsidRDefault="00C271AB" w:rsidP="009E5406">
      <w:pPr>
        <w:pBdr>
          <w:bottom w:val="single" w:sz="6" w:space="1" w:color="auto"/>
        </w:pBdr>
        <w:jc w:val="both"/>
        <w:rPr>
          <w:rFonts w:ascii="Garamond" w:hAnsi="Garamond"/>
          <w:bCs/>
          <w:i/>
          <w:iCs/>
          <w:sz w:val="20"/>
          <w:szCs w:val="20"/>
          <w:vertAlign w:val="superscript"/>
        </w:rPr>
      </w:pPr>
      <w:r w:rsidRPr="00CE4040">
        <w:rPr>
          <w:rFonts w:ascii="Garamond" w:hAnsi="Garamond" w:cs="Times New Roman"/>
          <w:b/>
          <w:bCs/>
          <w:i/>
          <w:iCs/>
          <w:color w:val="FFFFFF" w:themeColor="background1"/>
          <w:sz w:val="22"/>
          <w:szCs w:val="22"/>
          <w:vertAlign w:val="superscript"/>
          <w:lang w:val="en-NG"/>
        </w:rPr>
        <w:t>1</w:t>
      </w:r>
      <w:r w:rsidRPr="00CE4040">
        <w:rPr>
          <w:rFonts w:ascii="Garamond" w:hAnsi="Garamond" w:cs="Times New Roman"/>
          <w:b/>
          <w:bCs/>
          <w:i/>
          <w:iCs/>
          <w:color w:val="FFFFFF" w:themeColor="background1"/>
          <w:sz w:val="22"/>
          <w:szCs w:val="22"/>
          <w:lang w:val="en-NG"/>
        </w:rPr>
        <w:t xml:space="preserve">Tams Isaac Tamunobelema, </w:t>
      </w:r>
      <w:r w:rsidRPr="00CE4040">
        <w:rPr>
          <w:rFonts w:ascii="Garamond" w:hAnsi="Garamond" w:cs="Times New Roman"/>
          <w:b/>
          <w:bCs/>
          <w:i/>
          <w:iCs/>
          <w:color w:val="FFFFFF" w:themeColor="background1"/>
          <w:sz w:val="22"/>
          <w:szCs w:val="22"/>
          <w:vertAlign w:val="superscript"/>
          <w:lang w:val="en-NG"/>
        </w:rPr>
        <w:t>2</w:t>
      </w:r>
      <w:r w:rsidRPr="00CE4040">
        <w:rPr>
          <w:rFonts w:ascii="Garamond" w:hAnsi="Garamond" w:cs="Times New Roman"/>
          <w:b/>
          <w:bCs/>
          <w:i/>
          <w:iCs/>
          <w:color w:val="FFFFFF" w:themeColor="background1"/>
          <w:sz w:val="22"/>
          <w:szCs w:val="22"/>
          <w:lang w:val="en-NG"/>
        </w:rPr>
        <w:t xml:space="preserve">Pedro Chimezie Emem-Chioma, </w:t>
      </w:r>
      <w:r w:rsidRPr="00CE4040">
        <w:rPr>
          <w:rFonts w:ascii="Garamond" w:hAnsi="Garamond" w:cs="Times New Roman"/>
          <w:b/>
          <w:bCs/>
          <w:i/>
          <w:iCs/>
          <w:color w:val="FFFFFF" w:themeColor="background1"/>
          <w:sz w:val="22"/>
          <w:szCs w:val="22"/>
          <w:vertAlign w:val="superscript"/>
          <w:lang w:val="en-NG"/>
        </w:rPr>
        <w:t>3</w:t>
      </w:r>
      <w:r w:rsidRPr="00CE4040">
        <w:rPr>
          <w:rFonts w:ascii="Garamond" w:hAnsi="Garamond" w:cs="Times New Roman"/>
          <w:b/>
          <w:bCs/>
          <w:i/>
          <w:iCs/>
          <w:color w:val="FFFFFF" w:themeColor="background1"/>
          <w:sz w:val="22"/>
          <w:szCs w:val="22"/>
          <w:lang w:val="en-NG"/>
        </w:rPr>
        <w:t xml:space="preserve">Lauretta Deinma Tamunobelema, </w:t>
      </w:r>
      <w:r w:rsidRPr="00CE4040">
        <w:rPr>
          <w:rFonts w:ascii="Garamond" w:hAnsi="Garamond" w:cs="Times New Roman"/>
          <w:b/>
          <w:bCs/>
          <w:i/>
          <w:iCs/>
          <w:color w:val="FFFFFF" w:themeColor="background1"/>
          <w:sz w:val="22"/>
          <w:szCs w:val="22"/>
          <w:vertAlign w:val="superscript"/>
          <w:lang w:val="en-NG"/>
        </w:rPr>
        <w:t>4</w:t>
      </w:r>
      <w:r w:rsidRPr="00CE4040">
        <w:rPr>
          <w:rFonts w:ascii="Garamond" w:hAnsi="Garamond" w:cs="Times New Roman"/>
          <w:b/>
          <w:bCs/>
          <w:i/>
          <w:iCs/>
          <w:color w:val="FFFFFF" w:themeColor="background1"/>
          <w:sz w:val="22"/>
          <w:szCs w:val="22"/>
          <w:lang w:val="en-NG"/>
        </w:rPr>
        <w:t>Tebu Oghenerukevwe</w:t>
      </w:r>
      <w:r w:rsidRPr="009E5406">
        <w:rPr>
          <w:rFonts w:ascii="Garamond" w:hAnsi="Garamond"/>
          <w:bCs/>
          <w:i/>
          <w:iCs/>
          <w:sz w:val="20"/>
          <w:szCs w:val="20"/>
          <w:vertAlign w:val="superscript"/>
        </w:rPr>
        <w:t xml:space="preserve"> </w:t>
      </w:r>
    </w:p>
    <w:p w14:paraId="6F1759DC" w14:textId="77777777" w:rsidR="00C271AB" w:rsidRDefault="00C271AB" w:rsidP="009E5406">
      <w:pPr>
        <w:pBdr>
          <w:bottom w:val="single" w:sz="6" w:space="1" w:color="auto"/>
        </w:pBdr>
        <w:jc w:val="both"/>
        <w:rPr>
          <w:rFonts w:ascii="Garamond" w:hAnsi="Garamond"/>
          <w:bCs/>
          <w:i/>
          <w:iCs/>
          <w:sz w:val="20"/>
          <w:szCs w:val="20"/>
          <w:vertAlign w:val="superscript"/>
        </w:rPr>
      </w:pPr>
    </w:p>
    <w:p w14:paraId="52635872" w14:textId="5DF730C8" w:rsidR="009E5406" w:rsidRPr="009E5406" w:rsidRDefault="009E5406" w:rsidP="009E5406">
      <w:pPr>
        <w:pBdr>
          <w:bottom w:val="single" w:sz="6" w:space="1" w:color="auto"/>
        </w:pBdr>
        <w:jc w:val="both"/>
        <w:rPr>
          <w:rFonts w:ascii="Garamond" w:hAnsi="Garamond"/>
          <w:bCs/>
          <w:i/>
          <w:iCs/>
          <w:sz w:val="20"/>
          <w:szCs w:val="20"/>
        </w:rPr>
      </w:pPr>
      <w:r w:rsidRPr="009E5406">
        <w:rPr>
          <w:rFonts w:ascii="Garamond" w:hAnsi="Garamond"/>
          <w:bCs/>
          <w:i/>
          <w:iCs/>
          <w:sz w:val="20"/>
          <w:szCs w:val="20"/>
          <w:vertAlign w:val="superscript"/>
        </w:rPr>
        <w:t>1</w:t>
      </w:r>
      <w:r w:rsidRPr="009E5406">
        <w:rPr>
          <w:rFonts w:ascii="Garamond" w:hAnsi="Garamond"/>
          <w:bCs/>
          <w:i/>
          <w:iCs/>
          <w:sz w:val="20"/>
          <w:szCs w:val="20"/>
        </w:rPr>
        <w:t>Nephrology Unit, Department of Internal Medicine, University of Port Harcourt Teaching Hospital, Port Harcourt, Rivers State, Nigeria.</w:t>
      </w:r>
    </w:p>
    <w:p w14:paraId="4844E215" w14:textId="6CBB943D" w:rsidR="009E5406" w:rsidRPr="009E5406" w:rsidRDefault="009E5406" w:rsidP="009E5406">
      <w:pPr>
        <w:pBdr>
          <w:bottom w:val="single" w:sz="6" w:space="1" w:color="auto"/>
        </w:pBdr>
        <w:jc w:val="both"/>
        <w:rPr>
          <w:rFonts w:ascii="Garamond" w:hAnsi="Garamond"/>
          <w:bCs/>
          <w:i/>
          <w:iCs/>
          <w:sz w:val="20"/>
          <w:szCs w:val="20"/>
        </w:rPr>
      </w:pPr>
      <w:r w:rsidRPr="009E5406">
        <w:rPr>
          <w:rFonts w:ascii="Garamond" w:hAnsi="Garamond"/>
          <w:bCs/>
          <w:i/>
          <w:iCs/>
          <w:sz w:val="20"/>
          <w:szCs w:val="20"/>
          <w:vertAlign w:val="superscript"/>
        </w:rPr>
        <w:t>2</w:t>
      </w:r>
      <w:r w:rsidRPr="009E5406">
        <w:rPr>
          <w:rFonts w:ascii="Garamond" w:hAnsi="Garamond"/>
          <w:bCs/>
          <w:i/>
          <w:iCs/>
          <w:sz w:val="20"/>
          <w:szCs w:val="20"/>
        </w:rPr>
        <w:t>Nephrology Unit, Department of Internal Medicine, University of Port Harcourt Teaching Hospital/Professor of Internal Medicine and Nephrology, University of Port Harcourt, Rivers State, Nigeria.</w:t>
      </w:r>
    </w:p>
    <w:p w14:paraId="15A22336" w14:textId="77777777" w:rsidR="009E5406" w:rsidRPr="009E5406" w:rsidRDefault="009E5406" w:rsidP="009E5406">
      <w:pPr>
        <w:pBdr>
          <w:bottom w:val="single" w:sz="6" w:space="1" w:color="auto"/>
        </w:pBdr>
        <w:jc w:val="both"/>
        <w:rPr>
          <w:rFonts w:ascii="Garamond" w:hAnsi="Garamond"/>
          <w:bCs/>
          <w:i/>
          <w:iCs/>
          <w:sz w:val="20"/>
          <w:szCs w:val="20"/>
        </w:rPr>
      </w:pPr>
      <w:r w:rsidRPr="009E5406">
        <w:rPr>
          <w:rFonts w:ascii="Garamond" w:hAnsi="Garamond"/>
          <w:bCs/>
          <w:i/>
          <w:iCs/>
          <w:sz w:val="20"/>
          <w:szCs w:val="20"/>
          <w:vertAlign w:val="superscript"/>
        </w:rPr>
        <w:t>3</w:t>
      </w:r>
      <w:r w:rsidRPr="009E5406">
        <w:rPr>
          <w:rFonts w:ascii="Garamond" w:hAnsi="Garamond"/>
          <w:bCs/>
          <w:i/>
          <w:iCs/>
          <w:sz w:val="20"/>
          <w:szCs w:val="20"/>
        </w:rPr>
        <w:t xml:space="preserve">Department of Community Medicine, Rivers State University Teaching Hospital, Port Harcourt, Rivers State, Nigeria. </w:t>
      </w:r>
    </w:p>
    <w:p w14:paraId="082D9175" w14:textId="42078568" w:rsidR="009E5406" w:rsidRPr="009E5406" w:rsidRDefault="009E5406" w:rsidP="009E5406">
      <w:pPr>
        <w:pBdr>
          <w:bottom w:val="single" w:sz="6" w:space="1" w:color="auto"/>
        </w:pBdr>
        <w:jc w:val="both"/>
        <w:rPr>
          <w:rFonts w:ascii="Garamond" w:hAnsi="Garamond"/>
          <w:bCs/>
          <w:i/>
          <w:iCs/>
          <w:sz w:val="20"/>
          <w:szCs w:val="20"/>
        </w:rPr>
      </w:pPr>
      <w:r w:rsidRPr="009E5406">
        <w:rPr>
          <w:rFonts w:ascii="Garamond" w:hAnsi="Garamond"/>
          <w:bCs/>
          <w:i/>
          <w:iCs/>
          <w:sz w:val="20"/>
          <w:szCs w:val="20"/>
          <w:vertAlign w:val="superscript"/>
        </w:rPr>
        <w:t>4</w:t>
      </w:r>
      <w:r w:rsidRPr="009E5406">
        <w:rPr>
          <w:rFonts w:ascii="Garamond" w:hAnsi="Garamond"/>
          <w:bCs/>
          <w:i/>
          <w:iCs/>
          <w:sz w:val="20"/>
          <w:szCs w:val="20"/>
        </w:rPr>
        <w:t>Department of Environmental Management and Toxicology, Federal University of Petroleum Resources, Delta State.</w:t>
      </w:r>
    </w:p>
    <w:p w14:paraId="5B942685" w14:textId="77777777" w:rsidR="002265FA" w:rsidRPr="00F20CA0" w:rsidRDefault="002265FA" w:rsidP="00F20CA0">
      <w:pPr>
        <w:pBdr>
          <w:bottom w:val="single" w:sz="6" w:space="1" w:color="auto"/>
        </w:pBdr>
        <w:jc w:val="both"/>
        <w:rPr>
          <w:rFonts w:ascii="Garamond" w:hAnsi="Garamond"/>
          <w:bCs/>
          <w:i/>
          <w:iCs/>
          <w:sz w:val="20"/>
          <w:szCs w:val="20"/>
        </w:rPr>
      </w:pPr>
    </w:p>
    <w:bookmarkEnd w:id="2"/>
    <w:p w14:paraId="0EC5D584" w14:textId="51B31E99" w:rsidR="00A06A34" w:rsidRPr="00A06A34" w:rsidRDefault="001D4D3C" w:rsidP="00A06A34">
      <w:pPr>
        <w:pBdr>
          <w:bottom w:val="single" w:sz="6" w:space="1" w:color="auto"/>
        </w:pBdr>
        <w:jc w:val="both"/>
        <w:rPr>
          <w:rFonts w:ascii="Garamond" w:hAnsi="Garamond"/>
          <w:bCs/>
          <w:sz w:val="20"/>
          <w:szCs w:val="20"/>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r w:rsidR="00A06A34" w:rsidRPr="00A06A34">
        <w:rPr>
          <w:rFonts w:ascii="Garamond" w:hAnsi="Garamond" w:cs="Segoe UI"/>
          <w:b/>
          <w:bCs/>
          <w:sz w:val="20"/>
          <w:szCs w:val="20"/>
          <w:shd w:val="clear" w:color="auto" w:fill="FFFFFF"/>
        </w:rPr>
        <w:t>Tams Isaac Tamunobelema</w:t>
      </w:r>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A06A34" w:rsidRPr="00A06A34">
        <w:rPr>
          <w:rFonts w:ascii="Garamond" w:hAnsi="Garamond"/>
          <w:bCs/>
          <w:sz w:val="20"/>
          <w:szCs w:val="20"/>
        </w:rPr>
        <w:t>Nephrology Unit, Department of Internal Medicine, University of Port Harcourt Teaching Hospital, Port Harcourt, Rivers State, Nigeria</w:t>
      </w:r>
      <w:r w:rsidR="00A06A34">
        <w:rPr>
          <w:rFonts w:ascii="Garamond" w:hAnsi="Garamond"/>
          <w:bCs/>
          <w:sz w:val="20"/>
          <w:szCs w:val="20"/>
        </w:rPr>
        <w:t xml:space="preserve">. </w:t>
      </w:r>
      <w:hyperlink r:id="rId8" w:history="1">
        <w:r w:rsidR="00A06A34" w:rsidRPr="00A06A34">
          <w:rPr>
            <w:rStyle w:val="Hyperlink"/>
            <w:rFonts w:ascii="Garamond" w:hAnsi="Garamond"/>
            <w:bCs/>
            <w:sz w:val="20"/>
            <w:szCs w:val="20"/>
          </w:rPr>
          <w:t>tamsbel@yahoo.com</w:t>
        </w:r>
      </w:hyperlink>
      <w:r w:rsidR="00A06A34">
        <w:rPr>
          <w:rFonts w:ascii="Garamond" w:hAnsi="Garamond"/>
          <w:bCs/>
          <w:sz w:val="20"/>
          <w:szCs w:val="20"/>
        </w:rPr>
        <w:t>:</w:t>
      </w:r>
      <w:r w:rsidR="00A06A34" w:rsidRPr="00A06A34">
        <w:rPr>
          <w:rFonts w:ascii="Garamond" w:hAnsi="Garamond"/>
          <w:bCs/>
          <w:sz w:val="20"/>
          <w:szCs w:val="20"/>
        </w:rPr>
        <w:t>+2348035494299</w:t>
      </w:r>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445AEE73"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E34213">
        <w:rPr>
          <w:rFonts w:ascii="Garamond" w:hAnsi="Garamond"/>
          <w:sz w:val="16"/>
          <w:szCs w:val="16"/>
        </w:rPr>
        <w:t>0</w:t>
      </w:r>
      <w:r w:rsidR="00A06A34">
        <w:rPr>
          <w:rFonts w:ascii="Garamond" w:hAnsi="Garamond"/>
          <w:sz w:val="16"/>
          <w:szCs w:val="16"/>
        </w:rPr>
        <w:t>5</w:t>
      </w:r>
      <w:r w:rsidR="00943E61" w:rsidRPr="00F30FAF">
        <w:rPr>
          <w:rFonts w:ascii="Garamond" w:hAnsi="Garamond"/>
          <w:sz w:val="16"/>
          <w:szCs w:val="16"/>
        </w:rPr>
        <w:t xml:space="preserve"> </w:t>
      </w:r>
      <w:r w:rsidR="00A06A34">
        <w:rPr>
          <w:rFonts w:ascii="Garamond" w:hAnsi="Garamond"/>
          <w:sz w:val="16"/>
          <w:szCs w:val="16"/>
        </w:rPr>
        <w:t>February</w:t>
      </w:r>
      <w:r w:rsidR="00943E61" w:rsidRPr="00F30FAF">
        <w:rPr>
          <w:rFonts w:ascii="Garamond" w:hAnsi="Garamond"/>
          <w:sz w:val="16"/>
          <w:szCs w:val="16"/>
        </w:rPr>
        <w:t xml:space="preserve"> 202</w:t>
      </w:r>
      <w:r w:rsidR="00A06A34">
        <w:rPr>
          <w:rFonts w:ascii="Garamond" w:hAnsi="Garamond"/>
          <w:sz w:val="16"/>
          <w:szCs w:val="16"/>
        </w:rPr>
        <w:t>6</w:t>
      </w:r>
      <w:r w:rsidR="00943E61" w:rsidRPr="00F30FAF">
        <w:rPr>
          <w:rFonts w:ascii="Garamond" w:hAnsi="Garamond"/>
          <w:sz w:val="16"/>
          <w:szCs w:val="16"/>
        </w:rPr>
        <w:t xml:space="preserve">, Reviewed </w:t>
      </w:r>
      <w:r w:rsidR="00A06A34">
        <w:rPr>
          <w:rFonts w:ascii="Garamond" w:hAnsi="Garamond"/>
          <w:sz w:val="16"/>
          <w:szCs w:val="16"/>
        </w:rPr>
        <w:t>28</w:t>
      </w:r>
      <w:r w:rsidR="00943E61" w:rsidRPr="00F30FAF">
        <w:rPr>
          <w:rFonts w:ascii="Garamond" w:hAnsi="Garamond"/>
          <w:sz w:val="16"/>
          <w:szCs w:val="16"/>
        </w:rPr>
        <w:t xml:space="preserve"> </w:t>
      </w:r>
      <w:r w:rsidR="00A06A34">
        <w:rPr>
          <w:rFonts w:ascii="Garamond" w:hAnsi="Garamond"/>
          <w:sz w:val="16"/>
          <w:szCs w:val="16"/>
        </w:rPr>
        <w:t>February</w:t>
      </w:r>
      <w:r w:rsidR="00943E61" w:rsidRPr="00F30FAF">
        <w:rPr>
          <w:rFonts w:ascii="Garamond" w:hAnsi="Garamond"/>
          <w:sz w:val="16"/>
          <w:szCs w:val="16"/>
        </w:rPr>
        <w:t xml:space="preserve"> 202</w:t>
      </w:r>
      <w:r w:rsidR="002E3587">
        <w:rPr>
          <w:rFonts w:ascii="Garamond" w:hAnsi="Garamond"/>
          <w:sz w:val="16"/>
          <w:szCs w:val="16"/>
        </w:rPr>
        <w:t>6</w:t>
      </w:r>
      <w:r w:rsidRPr="00F30FAF">
        <w:rPr>
          <w:rFonts w:ascii="Garamond" w:hAnsi="Garamond"/>
          <w:sz w:val="16"/>
          <w:szCs w:val="16"/>
        </w:rPr>
        <w:t>, Accepted for pub</w:t>
      </w:r>
      <w:r w:rsidR="00943E61" w:rsidRPr="00F30FAF">
        <w:rPr>
          <w:rFonts w:ascii="Garamond" w:hAnsi="Garamond"/>
          <w:sz w:val="16"/>
          <w:szCs w:val="16"/>
        </w:rPr>
        <w:t xml:space="preserve">lication </w:t>
      </w:r>
      <w:r w:rsidR="002E3587">
        <w:rPr>
          <w:rFonts w:ascii="Garamond" w:hAnsi="Garamond"/>
          <w:sz w:val="16"/>
          <w:szCs w:val="16"/>
        </w:rPr>
        <w:t>17</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206544C0" w:rsidR="006732D7" w:rsidRPr="000931E7" w:rsidRDefault="00B06F7D" w:rsidP="006732D7">
      <w:pPr>
        <w:jc w:val="both"/>
        <w:rPr>
          <w:rFonts w:ascii="Garamond" w:hAnsi="Garamond"/>
          <w:sz w:val="22"/>
          <w:szCs w:val="22"/>
        </w:rPr>
      </w:pPr>
      <w:r w:rsidRPr="000931E7">
        <w:rPr>
          <w:rFonts w:ascii="Garamond" w:hAnsi="Garamond"/>
          <w:b/>
          <w:sz w:val="22"/>
          <w:szCs w:val="20"/>
        </w:rPr>
        <w:t>ABSTRACT</w:t>
      </w:r>
    </w:p>
    <w:p w14:paraId="63BAA81F" w14:textId="77777777" w:rsidR="00C271AB" w:rsidRPr="00CE4040" w:rsidRDefault="00C271AB" w:rsidP="00C271AB">
      <w:pPr>
        <w:rPr>
          <w:rFonts w:ascii="Garamond" w:hAnsi="Garamond" w:cs="Times New Roman"/>
          <w:sz w:val="20"/>
          <w:szCs w:val="20"/>
          <w:lang w:val="en-NG"/>
        </w:rPr>
      </w:pPr>
      <w:r w:rsidRPr="00C271AB">
        <w:rPr>
          <w:rFonts w:ascii="Garamond" w:hAnsi="Garamond" w:cs="Times New Roman"/>
          <w:b/>
          <w:bCs/>
          <w:sz w:val="20"/>
          <w:szCs w:val="20"/>
          <w:lang w:val="en-NG"/>
        </w:rPr>
        <w:t>Background:</w:t>
      </w:r>
      <w:r w:rsidRPr="00CE4040">
        <w:rPr>
          <w:rFonts w:ascii="Garamond" w:hAnsi="Garamond" w:cs="Times New Roman"/>
          <w:sz w:val="20"/>
          <w:szCs w:val="20"/>
          <w:lang w:val="en-NG"/>
        </w:rPr>
        <w:t xml:space="preserve"> Patients with chronic kidney disease (CKD) often need pharmacological management for the rest of their lives. However, given the intricacy of specific regimens that call for the administration of various dosages, forms and frequency, sustaining continuous adherence is especially difficult. The aim of this study was to determine the level of medication adherence and factors associated with medical adherence among CKD patients in University of Port Harcourt Teaching Hospital (UPTH). </w:t>
      </w:r>
    </w:p>
    <w:p w14:paraId="0AD08DEC" w14:textId="6A5D027C" w:rsidR="00C271AB" w:rsidRPr="00CE4040" w:rsidRDefault="00C271AB" w:rsidP="00C271AB">
      <w:pPr>
        <w:rPr>
          <w:rFonts w:ascii="Garamond" w:hAnsi="Garamond" w:cs="Times New Roman"/>
          <w:sz w:val="20"/>
          <w:szCs w:val="20"/>
          <w:lang w:val="en-NG"/>
        </w:rPr>
      </w:pPr>
      <w:r w:rsidRPr="00C271AB">
        <w:rPr>
          <w:rFonts w:ascii="Garamond" w:hAnsi="Garamond" w:cs="Times New Roman"/>
          <w:b/>
          <w:bCs/>
          <w:sz w:val="20"/>
          <w:szCs w:val="20"/>
          <w:lang w:val="en-NG"/>
        </w:rPr>
        <w:t>Method</w:t>
      </w:r>
      <w:r>
        <w:rPr>
          <w:rFonts w:ascii="Garamond" w:hAnsi="Garamond" w:cs="Times New Roman"/>
          <w:b/>
          <w:bCs/>
          <w:sz w:val="20"/>
          <w:szCs w:val="20"/>
          <w:lang w:val="en-NG"/>
        </w:rPr>
        <w:t>s</w:t>
      </w:r>
      <w:r w:rsidRPr="00C271AB">
        <w:rPr>
          <w:rFonts w:ascii="Garamond" w:hAnsi="Garamond" w:cs="Times New Roman"/>
          <w:b/>
          <w:bCs/>
          <w:sz w:val="20"/>
          <w:szCs w:val="20"/>
          <w:lang w:val="en-NG"/>
        </w:rPr>
        <w:t>:</w:t>
      </w:r>
      <w:r w:rsidRPr="00CE4040">
        <w:rPr>
          <w:rFonts w:ascii="Garamond" w:hAnsi="Garamond" w:cs="Times New Roman"/>
          <w:sz w:val="20"/>
          <w:szCs w:val="20"/>
          <w:lang w:val="en-NG"/>
        </w:rPr>
        <w:t xml:space="preserve"> The study was a descriptive cross-sectional study conducted among 241 CKD patients in the renal outpatient clinic of UPTH who were selected by systematic sampling. The data on the variables were obtained using a semi-structured questionnaire. The data was analyzed using SPSS version 25. Categorical and numerical variables were summarized accordingly. Chi-square test was used to assess associations, with p &lt; 0.05 considered statistically significant. </w:t>
      </w:r>
    </w:p>
    <w:p w14:paraId="7DE15658" w14:textId="0D35461D" w:rsidR="00C271AB" w:rsidRPr="00CE4040" w:rsidRDefault="00C271AB" w:rsidP="00C271AB">
      <w:pPr>
        <w:rPr>
          <w:rFonts w:ascii="Garamond" w:hAnsi="Garamond" w:cs="Times New Roman"/>
          <w:sz w:val="20"/>
          <w:szCs w:val="20"/>
          <w:lang w:val="en-NG"/>
        </w:rPr>
      </w:pPr>
      <w:r w:rsidRPr="00C271AB">
        <w:rPr>
          <w:rFonts w:ascii="Garamond" w:hAnsi="Garamond" w:cs="Times New Roman"/>
          <w:b/>
          <w:bCs/>
          <w:sz w:val="20"/>
          <w:szCs w:val="20"/>
          <w:lang w:val="en-NG"/>
        </w:rPr>
        <w:t>Result</w:t>
      </w:r>
      <w:r>
        <w:rPr>
          <w:rFonts w:ascii="Garamond" w:hAnsi="Garamond" w:cs="Times New Roman"/>
          <w:b/>
          <w:bCs/>
          <w:sz w:val="20"/>
          <w:szCs w:val="20"/>
          <w:lang w:val="en-NG"/>
        </w:rPr>
        <w:t>s</w:t>
      </w:r>
      <w:r w:rsidRPr="00C271AB">
        <w:rPr>
          <w:rFonts w:ascii="Garamond" w:hAnsi="Garamond" w:cs="Times New Roman"/>
          <w:b/>
          <w:bCs/>
          <w:sz w:val="20"/>
          <w:szCs w:val="20"/>
          <w:lang w:val="en-NG"/>
        </w:rPr>
        <w:t>:</w:t>
      </w:r>
      <w:r w:rsidRPr="00CE4040">
        <w:rPr>
          <w:rFonts w:ascii="Garamond" w:hAnsi="Garamond" w:cs="Times New Roman"/>
          <w:sz w:val="20"/>
          <w:szCs w:val="20"/>
          <w:lang w:val="en-NG"/>
        </w:rPr>
        <w:t xml:space="preserve"> The result showed that 184 (76.3%) of the respondents take diuretics while 164(68%) and 110(45.6%) were on calcium channel and beta-blockers respectively. 169 (70.1%), 57(23.7%) had low and moderate adherence respectively while 15(6.2%) had high medication adherence. The factors associated with medication adherence were partners level of education p=0.005, average monthly income p=0.028, relationship status p=0.013, duration of diagnosis p&lt;0.001 and family history of CKD P=0.034. </w:t>
      </w:r>
    </w:p>
    <w:p w14:paraId="48BA7657" w14:textId="77777777" w:rsidR="00C271AB" w:rsidRPr="00CE4040" w:rsidRDefault="00C271AB" w:rsidP="00C271AB">
      <w:pPr>
        <w:rPr>
          <w:rFonts w:ascii="Garamond" w:hAnsi="Garamond" w:cs="Times New Roman"/>
          <w:sz w:val="20"/>
          <w:szCs w:val="20"/>
        </w:rPr>
      </w:pPr>
      <w:r w:rsidRPr="00C271AB">
        <w:rPr>
          <w:rFonts w:ascii="Garamond" w:hAnsi="Garamond" w:cs="Times New Roman"/>
          <w:b/>
          <w:bCs/>
          <w:sz w:val="20"/>
          <w:szCs w:val="20"/>
          <w:lang w:val="en-NG"/>
        </w:rPr>
        <w:t>Conclusion:</w:t>
      </w:r>
      <w:r w:rsidRPr="00CE4040">
        <w:rPr>
          <w:rFonts w:ascii="Garamond" w:hAnsi="Garamond" w:cs="Times New Roman"/>
          <w:sz w:val="20"/>
          <w:szCs w:val="20"/>
          <w:lang w:val="en-NG"/>
        </w:rPr>
        <w:t xml:space="preserve">  Diuretics and calcium channel blockers were the most frequently used anti-hypertensives. Medication adherence was comparatively low. Patient oriented management that takes into consideration patients' socioeconomic status, educational level, relationship status, family history of CKD, and duration of illness may improve adherence and treatment outcomes.</w:t>
      </w:r>
    </w:p>
    <w:p w14:paraId="13AC8C8A" w14:textId="77777777" w:rsidR="00451912" w:rsidRPr="00451912" w:rsidRDefault="00451912" w:rsidP="00451912">
      <w:pPr>
        <w:jc w:val="both"/>
        <w:rPr>
          <w:rFonts w:ascii="Garamond" w:eastAsiaTheme="minorHAnsi" w:hAnsi="Garamond" w:cstheme="minorHAnsi"/>
          <w:bCs/>
          <w:sz w:val="20"/>
          <w:szCs w:val="20"/>
        </w:rPr>
      </w:pPr>
    </w:p>
    <w:p w14:paraId="5D985369" w14:textId="7FF2BC70" w:rsidR="00451912" w:rsidRDefault="00451912" w:rsidP="00451912">
      <w:pPr>
        <w:jc w:val="both"/>
        <w:rPr>
          <w:rFonts w:ascii="Garamond" w:eastAsiaTheme="minorHAnsi" w:hAnsi="Garamond" w:cstheme="minorHAnsi"/>
          <w:bCs/>
          <w:sz w:val="20"/>
          <w:szCs w:val="20"/>
        </w:rPr>
      </w:pPr>
      <w:r w:rsidRPr="00451912">
        <w:rPr>
          <w:rFonts w:ascii="Garamond" w:eastAsiaTheme="minorHAnsi" w:hAnsi="Garamond" w:cstheme="minorHAnsi"/>
          <w:b/>
          <w:sz w:val="20"/>
          <w:szCs w:val="20"/>
        </w:rPr>
        <w:t>Keywords</w:t>
      </w:r>
      <w:r w:rsidRPr="00451912">
        <w:rPr>
          <w:rFonts w:ascii="Garamond" w:eastAsiaTheme="minorHAnsi" w:hAnsi="Garamond" w:cstheme="minorHAnsi"/>
          <w:bCs/>
          <w:sz w:val="20"/>
          <w:szCs w:val="20"/>
        </w:rPr>
        <w:t xml:space="preserve">: </w:t>
      </w:r>
      <w:r w:rsidR="00246E41">
        <w:rPr>
          <w:rFonts w:ascii="Garamond" w:eastAsiaTheme="minorHAnsi" w:hAnsi="Garamond" w:cstheme="minorHAnsi"/>
          <w:bCs/>
          <w:sz w:val="20"/>
          <w:szCs w:val="20"/>
        </w:rPr>
        <w:t xml:space="preserve">Chronic kidney disease, </w:t>
      </w:r>
      <w:r w:rsidRPr="00451912">
        <w:rPr>
          <w:rFonts w:ascii="Garamond" w:eastAsiaTheme="minorHAnsi" w:hAnsi="Garamond" w:cstheme="minorHAnsi"/>
          <w:bCs/>
          <w:sz w:val="20"/>
          <w:szCs w:val="20"/>
        </w:rPr>
        <w:t xml:space="preserve">CKD, </w:t>
      </w:r>
      <w:r w:rsidR="00246E41">
        <w:rPr>
          <w:rFonts w:ascii="Garamond" w:eastAsiaTheme="minorHAnsi" w:hAnsi="Garamond" w:cstheme="minorHAnsi"/>
          <w:bCs/>
          <w:sz w:val="20"/>
          <w:szCs w:val="20"/>
        </w:rPr>
        <w:t xml:space="preserve">anti-hypertensive, </w:t>
      </w:r>
      <w:r w:rsidRPr="00451912">
        <w:rPr>
          <w:rFonts w:ascii="Garamond" w:eastAsiaTheme="minorHAnsi" w:hAnsi="Garamond" w:cstheme="minorHAnsi"/>
          <w:bCs/>
          <w:sz w:val="20"/>
          <w:szCs w:val="20"/>
        </w:rPr>
        <w:t xml:space="preserve">medication adherence, UPTH </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246E41">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412"/>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7EA89543" w14:textId="795C08CA" w:rsidR="0080277A" w:rsidRPr="000931E7" w:rsidRDefault="006732D7"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r w:rsidRPr="000931E7">
        <w:rPr>
          <w:rFonts w:ascii="Garamond" w:hAnsi="Garamond"/>
          <w:noProof/>
          <w:sz w:val="20"/>
          <w:szCs w:val="20"/>
        </w:rPr>
        <w:drawing>
          <wp:inline distT="0" distB="0" distL="0" distR="0" wp14:anchorId="2CDA4C7E" wp14:editId="52C0449B">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41CD8238">
                <wp:simplePos x="0" y="0"/>
                <wp:positionH relativeFrom="margin">
                  <wp:posOffset>3254829</wp:posOffset>
                </wp:positionH>
                <wp:positionV relativeFrom="paragraph">
                  <wp:posOffset>23676</wp:posOffset>
                </wp:positionV>
                <wp:extent cx="2671639" cy="1306286"/>
                <wp:effectExtent l="0" t="0" r="8255" b="14605"/>
                <wp:wrapNone/>
                <wp:docPr id="8" name="Text Box 8"/>
                <wp:cNvGraphicFramePr/>
                <a:graphic xmlns:a="http://schemas.openxmlformats.org/drawingml/2006/main">
                  <a:graphicData uri="http://schemas.microsoft.com/office/word/2010/wordprocessingShape">
                    <wps:wsp>
                      <wps:cNvSpPr txBox="1"/>
                      <wps:spPr>
                        <a:xfrm>
                          <a:off x="0" y="0"/>
                          <a:ext cx="2671639" cy="1306286"/>
                        </a:xfrm>
                        <a:prstGeom prst="rect">
                          <a:avLst/>
                        </a:prstGeom>
                        <a:solidFill>
                          <a:sysClr val="window" lastClr="FFFFFF"/>
                        </a:solidFill>
                        <a:ln w="6350">
                          <a:solidFill>
                            <a:srgbClr val="70AD47">
                              <a:lumMod val="75000"/>
                            </a:srgbClr>
                          </a:solidFill>
                        </a:ln>
                      </wps:spPr>
                      <wps:txbx>
                        <w:txbxContent>
                          <w:p w14:paraId="65562D4D" w14:textId="775D73E8" w:rsidR="00576722" w:rsidRPr="00A06A34" w:rsidRDefault="00C271AB" w:rsidP="00246E41">
                            <w:pPr>
                              <w:pBdr>
                                <w:bottom w:val="single" w:sz="6" w:space="1" w:color="auto"/>
                              </w:pBdr>
                              <w:rPr>
                                <w:rFonts w:ascii="Garamond" w:hAnsi="Garamond" w:cs="Segoe UI"/>
                                <w:sz w:val="20"/>
                                <w:szCs w:val="20"/>
                                <w:shd w:val="clear" w:color="auto" w:fill="FFFFFF"/>
                              </w:rPr>
                            </w:pPr>
                            <w:r w:rsidRPr="00CE4040">
                              <w:rPr>
                                <w:rFonts w:ascii="Garamond" w:hAnsi="Garamond" w:cs="Times New Roman"/>
                                <w:i/>
                                <w:iCs/>
                                <w:sz w:val="20"/>
                                <w:szCs w:val="20"/>
                                <w:lang w:val="en-NG"/>
                              </w:rPr>
                              <w:t>Tamunobelema T.I, Emem-Chioma P.C, Tamunobelema, L.D., Oghenerukevwe T.</w:t>
                            </w:r>
                            <w:r w:rsidR="00A06A34" w:rsidRPr="00A06A34">
                              <w:rPr>
                                <w:rFonts w:ascii="Garamond" w:hAnsi="Garamond" w:cs="Segoe UI"/>
                                <w:bCs/>
                                <w:i/>
                                <w:iCs/>
                                <w:sz w:val="20"/>
                                <w:szCs w:val="20"/>
                                <w:shd w:val="clear" w:color="auto" w:fill="FFFFFF"/>
                              </w:rPr>
                              <w:t xml:space="preserve"> </w:t>
                            </w:r>
                            <w:r w:rsidRPr="00CE4040">
                              <w:rPr>
                                <w:rFonts w:ascii="Garamond" w:hAnsi="Garamond" w:cs="Times New Roman"/>
                                <w:sz w:val="20"/>
                                <w:szCs w:val="20"/>
                                <w:lang w:val="en-NG"/>
                              </w:rPr>
                              <w:t>Pattern of Anti-hypertensive Prescription and Adherence to Anti- Hypertensive Medications among Patients with Chronic Kidney Disease in A Tertiary Health Care Facility in Southern Nigeria</w:t>
                            </w:r>
                            <w:r w:rsidR="00B85FB9" w:rsidRPr="00A06A34">
                              <w:rPr>
                                <w:rFonts w:ascii="Garamond" w:hAnsi="Garamond" w:cs="Segoe UI"/>
                                <w:sz w:val="20"/>
                                <w:szCs w:val="20"/>
                                <w:shd w:val="clear" w:color="auto" w:fill="FFFFFF"/>
                              </w:rPr>
                              <w:t xml:space="preserve">. </w:t>
                            </w:r>
                            <w:r w:rsidR="00576722" w:rsidRPr="00A06A34">
                              <w:rPr>
                                <w:rFonts w:ascii="Garamond" w:hAnsi="Garamond" w:cs="Segoe UI"/>
                                <w:color w:val="000000" w:themeColor="text1"/>
                                <w:sz w:val="20"/>
                                <w:szCs w:val="20"/>
                                <w:shd w:val="clear" w:color="auto" w:fill="FFFFFF"/>
                              </w:rPr>
                              <w:t>The Nigerian Health Journal 202</w:t>
                            </w:r>
                            <w:r w:rsidR="00347612" w:rsidRPr="00A06A34">
                              <w:rPr>
                                <w:rFonts w:ascii="Garamond" w:hAnsi="Garamond" w:cs="Segoe UI"/>
                                <w:color w:val="000000" w:themeColor="text1"/>
                                <w:sz w:val="20"/>
                                <w:szCs w:val="20"/>
                                <w:shd w:val="clear" w:color="auto" w:fill="FFFFFF"/>
                              </w:rPr>
                              <w:t>6</w:t>
                            </w:r>
                            <w:r w:rsidR="00576722" w:rsidRPr="00A06A34">
                              <w:rPr>
                                <w:rFonts w:ascii="Garamond" w:hAnsi="Garamond" w:cs="Segoe UI"/>
                                <w:color w:val="000000" w:themeColor="text1"/>
                                <w:sz w:val="20"/>
                                <w:szCs w:val="20"/>
                                <w:shd w:val="clear" w:color="auto" w:fill="FFFFFF"/>
                              </w:rPr>
                              <w:t>; 2</w:t>
                            </w:r>
                            <w:r w:rsidR="00347612" w:rsidRPr="00A06A34">
                              <w:rPr>
                                <w:rFonts w:ascii="Garamond" w:hAnsi="Garamond" w:cs="Segoe UI"/>
                                <w:color w:val="000000" w:themeColor="text1"/>
                                <w:sz w:val="20"/>
                                <w:szCs w:val="20"/>
                                <w:shd w:val="clear" w:color="auto" w:fill="FFFFFF"/>
                              </w:rPr>
                              <w:t>6</w:t>
                            </w:r>
                            <w:r w:rsidR="00576722" w:rsidRPr="00A06A34">
                              <w:rPr>
                                <w:rFonts w:ascii="Garamond" w:hAnsi="Garamond" w:cs="Segoe UI"/>
                                <w:color w:val="000000" w:themeColor="text1"/>
                                <w:sz w:val="20"/>
                                <w:szCs w:val="20"/>
                                <w:shd w:val="clear" w:color="auto" w:fill="FFFFFF"/>
                              </w:rPr>
                              <w:t>(</w:t>
                            </w:r>
                            <w:r w:rsidR="00347612" w:rsidRPr="00A06A34">
                              <w:rPr>
                                <w:rFonts w:ascii="Garamond" w:hAnsi="Garamond" w:cs="Segoe UI"/>
                                <w:color w:val="000000" w:themeColor="text1"/>
                                <w:sz w:val="20"/>
                                <w:szCs w:val="20"/>
                                <w:shd w:val="clear" w:color="auto" w:fill="FFFFFF"/>
                              </w:rPr>
                              <w:t>1</w:t>
                            </w:r>
                            <w:r w:rsidR="00576722" w:rsidRPr="00A06A34">
                              <w:rPr>
                                <w:rFonts w:ascii="Garamond" w:hAnsi="Garamond" w:cs="Segoe UI"/>
                                <w:color w:val="000000" w:themeColor="text1"/>
                                <w:sz w:val="20"/>
                                <w:szCs w:val="20"/>
                                <w:shd w:val="clear" w:color="auto" w:fill="FFFFFF"/>
                              </w:rPr>
                              <w:t>)</w:t>
                            </w:r>
                            <w:r w:rsidR="00246E41">
                              <w:rPr>
                                <w:rFonts w:ascii="Garamond" w:hAnsi="Garamond" w:cs="Segoe UI"/>
                                <w:color w:val="000000" w:themeColor="text1"/>
                                <w:sz w:val="20"/>
                                <w:szCs w:val="20"/>
                                <w:shd w:val="clear" w:color="auto" w:fill="FFFFFF"/>
                              </w:rPr>
                              <w:t xml:space="preserve">: 412 – 420. </w:t>
                            </w:r>
                            <w:hyperlink r:id="rId22" w:history="1">
                              <w:r w:rsidR="00246E41" w:rsidRPr="008D4B15">
                                <w:rPr>
                                  <w:rStyle w:val="Hyperlink"/>
                                  <w:rFonts w:ascii="Garamond" w:hAnsi="Garamond" w:cs="Arial"/>
                                  <w:sz w:val="20"/>
                                  <w:szCs w:val="20"/>
                                </w:rPr>
                                <w:t>https://doi.org/10.71637/tnhj.v26i1.1330</w:t>
                              </w:r>
                            </w:hyperlink>
                          </w:p>
                          <w:p w14:paraId="68F037F5" w14:textId="77777777" w:rsidR="00DD3D36" w:rsidRPr="000720E5" w:rsidRDefault="00DD3D36" w:rsidP="00246E41">
                            <w:pPr>
                              <w:pBdr>
                                <w:bottom w:val="single" w:sz="6" w:space="1" w:color="auto"/>
                              </w:pBdr>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1.85pt;width:210.35pt;height:102.8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" fillcolor="window" strokecolor="#548235" strokeweight=".5pt">
                <v:textbox>
                  <w:txbxContent>
                    <w:p w14:paraId="65562D4D" w14:textId="775D73E8" w:rsidR="00576722" w:rsidRPr="00A06A34" w:rsidRDefault="00C271AB" w:rsidP="00246E41">
                      <w:pPr>
                        <w:pBdr>
                          <w:bottom w:val="single" w:sz="6" w:space="1" w:color="auto"/>
                        </w:pBdr>
                        <w:rPr>
                          <w:rFonts w:ascii="Garamond" w:hAnsi="Garamond" w:cs="Segoe UI"/>
                          <w:sz w:val="20"/>
                          <w:szCs w:val="20"/>
                          <w:shd w:val="clear" w:color="auto" w:fill="FFFFFF"/>
                        </w:rPr>
                      </w:pPr>
                      <w:r w:rsidRPr="00CE4040">
                        <w:rPr>
                          <w:rFonts w:ascii="Garamond" w:hAnsi="Garamond" w:cs="Times New Roman"/>
                          <w:i/>
                          <w:iCs/>
                          <w:sz w:val="20"/>
                          <w:szCs w:val="20"/>
                          <w:lang w:val="en-NG"/>
                        </w:rPr>
                        <w:t>Tamunobelema T.I, Emem-Chioma P.C, Tamunobelema, L.D., Oghenerukevwe T.</w:t>
                      </w:r>
                      <w:r w:rsidR="00A06A34" w:rsidRPr="00A06A34">
                        <w:rPr>
                          <w:rFonts w:ascii="Garamond" w:hAnsi="Garamond" w:cs="Segoe UI"/>
                          <w:bCs/>
                          <w:i/>
                          <w:iCs/>
                          <w:sz w:val="20"/>
                          <w:szCs w:val="20"/>
                          <w:shd w:val="clear" w:color="auto" w:fill="FFFFFF"/>
                        </w:rPr>
                        <w:t xml:space="preserve"> </w:t>
                      </w:r>
                      <w:r w:rsidRPr="00CE4040">
                        <w:rPr>
                          <w:rFonts w:ascii="Garamond" w:hAnsi="Garamond" w:cs="Times New Roman"/>
                          <w:sz w:val="20"/>
                          <w:szCs w:val="20"/>
                          <w:lang w:val="en-NG"/>
                        </w:rPr>
                        <w:t>Pattern of Anti-hypertensive Prescription and Adherence to Anti- Hypertensive Medications among Patients with Chronic Kidney Disease in A Tertiary Health Care Facility in Southern Nigeria</w:t>
                      </w:r>
                      <w:r w:rsidR="00B85FB9" w:rsidRPr="00A06A34">
                        <w:rPr>
                          <w:rFonts w:ascii="Garamond" w:hAnsi="Garamond" w:cs="Segoe UI"/>
                          <w:sz w:val="20"/>
                          <w:szCs w:val="20"/>
                          <w:shd w:val="clear" w:color="auto" w:fill="FFFFFF"/>
                        </w:rPr>
                        <w:t xml:space="preserve">. </w:t>
                      </w:r>
                      <w:r w:rsidR="00576722" w:rsidRPr="00A06A34">
                        <w:rPr>
                          <w:rFonts w:ascii="Garamond" w:hAnsi="Garamond" w:cs="Segoe UI"/>
                          <w:color w:val="000000" w:themeColor="text1"/>
                          <w:sz w:val="20"/>
                          <w:szCs w:val="20"/>
                          <w:shd w:val="clear" w:color="auto" w:fill="FFFFFF"/>
                        </w:rPr>
                        <w:t>The Nigerian Health Journal 202</w:t>
                      </w:r>
                      <w:r w:rsidR="00347612" w:rsidRPr="00A06A34">
                        <w:rPr>
                          <w:rFonts w:ascii="Garamond" w:hAnsi="Garamond" w:cs="Segoe UI"/>
                          <w:color w:val="000000" w:themeColor="text1"/>
                          <w:sz w:val="20"/>
                          <w:szCs w:val="20"/>
                          <w:shd w:val="clear" w:color="auto" w:fill="FFFFFF"/>
                        </w:rPr>
                        <w:t>6</w:t>
                      </w:r>
                      <w:r w:rsidR="00576722" w:rsidRPr="00A06A34">
                        <w:rPr>
                          <w:rFonts w:ascii="Garamond" w:hAnsi="Garamond" w:cs="Segoe UI"/>
                          <w:color w:val="000000" w:themeColor="text1"/>
                          <w:sz w:val="20"/>
                          <w:szCs w:val="20"/>
                          <w:shd w:val="clear" w:color="auto" w:fill="FFFFFF"/>
                        </w:rPr>
                        <w:t>; 2</w:t>
                      </w:r>
                      <w:r w:rsidR="00347612" w:rsidRPr="00A06A34">
                        <w:rPr>
                          <w:rFonts w:ascii="Garamond" w:hAnsi="Garamond" w:cs="Segoe UI"/>
                          <w:color w:val="000000" w:themeColor="text1"/>
                          <w:sz w:val="20"/>
                          <w:szCs w:val="20"/>
                          <w:shd w:val="clear" w:color="auto" w:fill="FFFFFF"/>
                        </w:rPr>
                        <w:t>6</w:t>
                      </w:r>
                      <w:r w:rsidR="00576722" w:rsidRPr="00A06A34">
                        <w:rPr>
                          <w:rFonts w:ascii="Garamond" w:hAnsi="Garamond" w:cs="Segoe UI"/>
                          <w:color w:val="000000" w:themeColor="text1"/>
                          <w:sz w:val="20"/>
                          <w:szCs w:val="20"/>
                          <w:shd w:val="clear" w:color="auto" w:fill="FFFFFF"/>
                        </w:rPr>
                        <w:t>(</w:t>
                      </w:r>
                      <w:r w:rsidR="00347612" w:rsidRPr="00A06A34">
                        <w:rPr>
                          <w:rFonts w:ascii="Garamond" w:hAnsi="Garamond" w:cs="Segoe UI"/>
                          <w:color w:val="000000" w:themeColor="text1"/>
                          <w:sz w:val="20"/>
                          <w:szCs w:val="20"/>
                          <w:shd w:val="clear" w:color="auto" w:fill="FFFFFF"/>
                        </w:rPr>
                        <w:t>1</w:t>
                      </w:r>
                      <w:r w:rsidR="00576722" w:rsidRPr="00A06A34">
                        <w:rPr>
                          <w:rFonts w:ascii="Garamond" w:hAnsi="Garamond" w:cs="Segoe UI"/>
                          <w:color w:val="000000" w:themeColor="text1"/>
                          <w:sz w:val="20"/>
                          <w:szCs w:val="20"/>
                          <w:shd w:val="clear" w:color="auto" w:fill="FFFFFF"/>
                        </w:rPr>
                        <w:t>)</w:t>
                      </w:r>
                      <w:r w:rsidR="00246E41">
                        <w:rPr>
                          <w:rFonts w:ascii="Garamond" w:hAnsi="Garamond" w:cs="Segoe UI"/>
                          <w:color w:val="000000" w:themeColor="text1"/>
                          <w:sz w:val="20"/>
                          <w:szCs w:val="20"/>
                          <w:shd w:val="clear" w:color="auto" w:fill="FFFFFF"/>
                        </w:rPr>
                        <w:t xml:space="preserve">: 412 – 420. </w:t>
                      </w:r>
                      <w:hyperlink r:id="rId23" w:history="1">
                        <w:r w:rsidR="00246E41" w:rsidRPr="008D4B15">
                          <w:rPr>
                            <w:rStyle w:val="Hyperlink"/>
                            <w:rFonts w:ascii="Garamond" w:hAnsi="Garamond" w:cs="Arial"/>
                            <w:sz w:val="20"/>
                            <w:szCs w:val="20"/>
                          </w:rPr>
                          <w:t>https://doi.org/10.71637/tnhj.v26i1.1330</w:t>
                        </w:r>
                      </w:hyperlink>
                    </w:p>
                    <w:p w14:paraId="68F037F5" w14:textId="77777777" w:rsidR="00DD3D36" w:rsidRPr="000720E5" w:rsidRDefault="00DD3D36" w:rsidP="00246E41">
                      <w:pPr>
                        <w:pBdr>
                          <w:bottom w:val="single" w:sz="6" w:space="1" w:color="auto"/>
                        </w:pBdr>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&#13;&#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6991D79E" w:rsidR="000720E5" w:rsidRDefault="00B06F7D"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47E0C5E7" w14:textId="1B09AFCD" w:rsid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Chronic kidney disease (CKD) is a condition that is characterized by a chronic decrease in kidney function and can progress to kidney failure. Kidney failure can be life-limiting and disabling, and the most common treatment modality (hemodialysis) requires tri-weekly, hours-long sessions, which often have a severe impact on quality of life.</w:t>
      </w:r>
      <w:r w:rsidRPr="00451912">
        <w:rPr>
          <w:rFonts w:ascii="Garamond" w:hAnsi="Garamond"/>
          <w:bCs/>
          <w:iCs/>
          <w:sz w:val="20"/>
          <w:szCs w:val="20"/>
        </w:rPr>
        <w:fldChar w:fldCharType="begin"/>
      </w:r>
      <w:r w:rsidRPr="00451912">
        <w:rPr>
          <w:rFonts w:ascii="Garamond" w:hAnsi="Garamond"/>
          <w:bCs/>
          <w:iCs/>
          <w:sz w:val="20"/>
          <w:szCs w:val="20"/>
        </w:rPr>
        <w:instrText xml:space="preserve"> ADDIN ZOTERO_ITEM CSL_CITATION {"citationID":"mYrldUai","properties":{"formattedCitation":"\\super 1,2\\nosupersub{}","plainCitation":"1,2","noteIndex":0},"citationItems":[{"id":6580,"uris":["http://zotero.org/users/10955591/items/4H3DPNQK"],"itemData":{"id":6580,"type":"article-journal","abstract":"Rationale &amp; Objective\nAdherence to recommended medical treatment is critical in chronic kidney disease (CKD) to prevent complications and progression to kidney failure. Overall adherence to treatment is low in CKD, and as few as 40% of patients with kidney failure receive any documented CKD-related care. The purpose of this study was to explore the experiences of patients with CKD and their adherence to CKD treatment plans, and the role their health care providers played in supporting their adherence.\n\nStudy Design\nOne-on-one interviews were conducted in 2019-2020 using a semi-structured interview guide. Participants described experiences with adherence to treatment plans and what they did when experiencing difficulty.\n\nSetting &amp; Participants\nParticipants were recruited from the Chronic Renal Insufficiency Cohort (CRIC) study. All CRIC participants were older than 21 years with CKD stages 2-4; this sample consisted of participants from the University of Pennsylvania CRIC site.\n\nAnalytical Approach\nInterviews were recorded, transcribed, and coded using conventional content analysis. Data were organized into themes using NVivo 12.\n\nResults\nThe sample (n = 32) had a mean age of 67 years, 53% were women, 59% were non-White, with a mean estimated glomerular filtration rate of 56.6 mL/min/1.73 m2. From analysis of factors relevant to treatment planning and adherence, following 4 major themes emerged: patient factors (multiple chronic conditions, motivation, outlook), provider factors (attentiveness, availability/accessibility, communication), treatment planning factors (lack of plan, proactive research, provider-focused treatment goals, and shared decision making), and treatment plan responses (disagreeing with treatment, perceived capability deficit, lack of information, and positive feedback).\n\nLimitations\nThe sample was drawn from the CRIC study, which may not be representative of the general population with CKD.\n\nConclusions\nThese themes align with Behavioral Learning Theory, which includes concepts of internal antecedents (patient factors), external antecedents (provider factors), behavior (treatment planning factors), and consequences (treatment plan responses). In particular, the treatment plan responses point to innovative potential intervention approaches to support treatment adherence in CKD.","container-title":"Kidney Medicine","DOI":"10.1016/j.xkme.2022.100545","ISSN":"2590-0595","issue":"11","journalAbbreviation":"Kidney Med","note":"PMID: 36339664\nPMCID: PMC9630784","page":"100545","source":"PubMed Central","title":"Treatment Adherence in CKD and Support From Health care Providers: A Qualitative Study","title-short":"Treatment Adherence in CKD and Support From Health care Providers","volume":"4","author":[{"family":"Rivera","given":"Eleanor"},{"family":"Clark-Cutaia","given":"Maya N."},{"family":"Schrauben","given":"Sarah J."},{"family":"Townsend","given":"Raymond R."},{"family":"Lash","given":"James P."},{"family":"Hannan","given":"Mary"},{"family":"Jaar","given":"Bernard G."},{"family":"Rincon-Choles","given":"Hernan"},{"family":"Kansal","given":"Sheru"},{"family":"He","given":"Jiang"},{"family":"Chen","given":"Jing"},{"family":"Hirschman","given":"Karen B."}],"issued":{"date-parts":[["2022",9,20]]}}},{"id":6583,"uris":["http://zotero.org/users/10955591/items/9PJ2Q9HE"],"itemData":{"id":6583,"type":"article-journal","container-title":"International Journal of Nephrology and Renovascular Disease","DOI":"10.2147/IJNRD.S37766","ISSN":"1178-7058","journalAbbreviation":"IJNRD","language":"en","license":"http://creativecommons.org/licenses/by-nc/3.0/","page":"151","source":"DOI.org (Crossref)","title":"High burden and unmet patient needs in chronic kidney disease","author":[{"family":"Sood","given":"Vipan"},{"literal":"Braun"},{"literal":"Hogue"},{"literal":"Lieberman"},{"literal":"Copley-Merriman"}],"issued":{"date-parts":[["2012",12]]}}}],"schema":"https://github.com/citation-style-language/schema/raw/master/csl-citation.json"} </w:instrText>
      </w:r>
      <w:r w:rsidRPr="00451912">
        <w:rPr>
          <w:rFonts w:ascii="Garamond" w:hAnsi="Garamond"/>
          <w:bCs/>
          <w:iCs/>
          <w:sz w:val="20"/>
          <w:szCs w:val="20"/>
        </w:rPr>
        <w:fldChar w:fldCharType="separate"/>
      </w:r>
      <w:r w:rsidRPr="00451912">
        <w:rPr>
          <w:rFonts w:ascii="Garamond" w:hAnsi="Garamond"/>
          <w:bCs/>
          <w:iCs/>
          <w:sz w:val="20"/>
          <w:szCs w:val="20"/>
          <w:vertAlign w:val="superscript"/>
        </w:rPr>
        <w:t>1,2</w:t>
      </w:r>
      <w:r w:rsidRPr="00451912">
        <w:rPr>
          <w:rFonts w:ascii="Garamond" w:hAnsi="Garamond"/>
          <w:bCs/>
          <w:iCs/>
          <w:sz w:val="20"/>
          <w:szCs w:val="20"/>
        </w:rPr>
        <w:fldChar w:fldCharType="end"/>
      </w:r>
      <w:r w:rsidRPr="00451912">
        <w:rPr>
          <w:rFonts w:ascii="Garamond" w:hAnsi="Garamond"/>
          <w:bCs/>
          <w:iCs/>
          <w:sz w:val="20"/>
          <w:szCs w:val="20"/>
        </w:rPr>
        <w:t xml:space="preserve">  CKD is growing in prevalence all over the world.</w:t>
      </w:r>
      <w:r w:rsidRPr="00451912">
        <w:rPr>
          <w:rFonts w:ascii="Garamond" w:hAnsi="Garamond"/>
          <w:bCs/>
          <w:iCs/>
          <w:sz w:val="20"/>
          <w:szCs w:val="20"/>
        </w:rPr>
        <w:fldChar w:fldCharType="begin"/>
      </w:r>
      <w:r w:rsidRPr="00451912">
        <w:rPr>
          <w:rFonts w:ascii="Garamond" w:hAnsi="Garamond"/>
          <w:bCs/>
          <w:iCs/>
          <w:sz w:val="20"/>
          <w:szCs w:val="20"/>
        </w:rPr>
        <w:instrText xml:space="preserve"> ADDIN ZOTERO_ITEM CSL_CITATION {"citationID":"u0iNdfil","properties":{"formattedCitation":"\\super 3,4\\nosupersub{}","plainCitation":"3,4","noteIndex":0},"citationItems":[{"id":6585,"uris":["http://zotero.org/users/10955591/items/ILAR97PK"],"itemData":{"id":6585,"type":"article-journal","container-title":"American Journal of Kidney Diseases","DOI":"10.1053/j.ajkd.2019.01.001","ISSN":"02726386","issue":"3","journalAbbreviation":"American Journal of Kidney Diseases","language":"en","page":"A7-A8","source":"DOI.org (Crossref)","title":"US Renal Data System 2018 Annual Data Report: Epidemiology of Kidney Disease in the United States","title-short":"US Renal Data System 2018 Annual Data Report","volume":"73","author":[{"family":"Saran","given":"Rajiv"},{"family":"Robinson","given":"Bruce"},{"family":"Abbott","given":"Kevin C."},{"family":"Agodoa","given":"Lawrence Y.C."},{"family":"Bragg-Gresham","given":"Jennifer"},{"family":"Balkrishnan","given":"Rajesh"},{"family":"Bhave","given":"Nicole"},{"family":"Dietrich","given":"Xue"},{"family":"Ding","given":"Zhechen"},{"family":"Eggers","given":"Paul W."},{"family":"Gaipov","given":"Abduzhappar"},{"family":"Gillen","given":"Daniel"},{"family":"Gipson","given":"Debbie"},{"family":"Gu","given":"Haoyu"},{"family":"Guro","given":"Paula"},{"family":"Haggerty","given":"Diana"},{"family":"Han","given":"Yun"},{"family":"He","given":"Kevin"},{"family":"Herman","given":"William"},{"family":"Heung","given":"Michael"},{"family":"Hirth","given":"Richard A."},{"family":"Hsiung","given":"Jui-Ting"},{"family":"Hutton","given":"David"},{"family":"Inoue","given":"Aya"},{"family":"Jacobsen","given":"Steven J."},{"family":"Jin","given":"Yan"},{"family":"Kalantar-Zadeh","given":"Kamyar"},{"family":"Kapke","given":"Alissa"},{"family":"Kleine","given":"Carola-Ellen"},{"family":"Kovesdy","given":"Csaba P."},{"family":"Krueter","given":"William"},{"family":"Kurtz","given":"Vivian"},{"family":"Li","given":"Yiting"},{"family":"Liu","given":"Sai"},{"family":"Marroquin","given":"Maria V."},{"family":"McCullough","given":"Keith"},{"family":"Molnar","given":"Miklos Z."},{"family":"Modi","given":"Zubin"},{"family":"Montez-Rath","given":"Maria"},{"family":"Moradi","given":"Hamid"},{"family":"Morgenstern","given":"Hal"},{"family":"Mukhopadhyay","given":"Purna"},{"family":"Nallamothu","given":"Brahmajee"},{"family":"Nguyen","given":"Danh V."},{"family":"Norris","given":"Keith C."},{"family":"O’Hare","given":"Ann M."},{"family":"Obi","given":"Yoshitsugu"},{"family":"Park","given":"Christina"},{"family":"Pearson","given":"Jeffrey"},{"family":"Pisoni","given":"Ronald"},{"family":"Potukuchi","given":"Praveen K."},{"family":"Repeck","given":"Kaitlyn"},{"family":"Rhee","given":"Connie M."},{"family":"Schaubel","given":"Douglas E."},{"family":"Schrager","given":"Jillian"},{"family":"Selewski","given":"David T."},{"family":"Shamraj","given":"Ruth"},{"family":"Shaw","given":"Sally F."},{"family":"Shi","given":"Jiaxiao M."},{"family":"Shieu","given":"Monica"},{"family":"Sim","given":"John J."},{"family":"Soohoo","given":"Melissa"},{"family":"Steffick","given":"Diane"},{"family":"Streja","given":"Elani"},{"family":"Sumida","given":"Keiichi"},{"family":"Kurella Tamura","given":"Manjula"},{"family":"Tilea","given":"Anca"},{"family":"Turf","given":"Megan"},{"family":"Wang","given":"Dongyu"},{"family":"Weng","given":"Wenjing"},{"family":"Woodside","given":"Kenneth J."},{"family":"Wyncott","given":"April"},{"family":"Xiang","given":"Jie"},{"family":"Xin","given":"Xin"},{"family":"Yin","given":"Maggie"},{"family":"You","given":"Amy S."},{"family":"Zhang","given":"Xiaosong"},{"family":"Zhou","given":"Hui"},{"family":"Shahinian","given":"Vahakn"}],"issued":{"date-parts":[["2019",3]]}}},{"id":4469,"uris":["http://zotero.org/users/10955591/items/3GZECZA5"],"itemData":{"id":4469,"type":"article-journal","container-title":"The Lancet Regional Health – Europe","DOI":"10.1016/j.lanepe.2022.100438","ISSN":"2666-7762","journalAbbreviation":"The Lancet Regional Health – Europe","language":"English","note":"publisher: Elsevier","source":"www.thelancet.com","title":"Prevalence, outcomes, and cost of chronic kidney disease in a contemporary population of 2·4 million patients from 11 countries: The CaReMe CKD study","title-short":"Prevalence, outcomes, and cost of chronic kidney disease in a contemporary population of 2·4 million patients from 11 countries","URL":"https://www.thelancet.com/journals/lanepe/article/PIIS2666-7762(22)00132-6/fulltext","volume":"20","author":[{"family":"Sundström","given":"Johan"},{"family":"Bodegard","given":"Johan"},{"family":"Bollmann","given":"Andreas"},{"family":"Vervloet","given":"Marc G."},{"family":"Mark","given":"Patrick B."},{"family":"Karasik","given":"Avraham"},{"family":"Taveira-Gomes","given":"Tiago"},{"family":"Botana","given":"Manuel"},{"family":"Birkeland","given":"Kåre I."},{"family":"Thuresson","given":"Marcus"},{"family":"Jäger","given":"Levy"},{"family":"Sood","given":"Manish M."},{"family":"VanPottelbergh","given":"Gijs"},{"family":"Tangri","given":"Navdeep"}],"accessed":{"date-parts":[["2023",3,15]]},"issued":{"date-parts":[["2022",9,1]]}}}],"schema":"https://github.com/citation-style-language/schema/raw/master/csl-citation.json"} </w:instrText>
      </w:r>
      <w:r w:rsidRPr="00451912">
        <w:rPr>
          <w:rFonts w:ascii="Garamond" w:hAnsi="Garamond"/>
          <w:bCs/>
          <w:iCs/>
          <w:sz w:val="20"/>
          <w:szCs w:val="20"/>
        </w:rPr>
        <w:fldChar w:fldCharType="separate"/>
      </w:r>
      <w:r w:rsidRPr="00451912">
        <w:rPr>
          <w:rFonts w:ascii="Garamond" w:hAnsi="Garamond"/>
          <w:bCs/>
          <w:iCs/>
          <w:sz w:val="20"/>
          <w:szCs w:val="20"/>
          <w:vertAlign w:val="superscript"/>
        </w:rPr>
        <w:t>3,4</w:t>
      </w:r>
      <w:r w:rsidRPr="00451912">
        <w:rPr>
          <w:rFonts w:ascii="Garamond" w:hAnsi="Garamond"/>
          <w:bCs/>
          <w:iCs/>
          <w:sz w:val="20"/>
          <w:szCs w:val="20"/>
        </w:rPr>
        <w:fldChar w:fldCharType="end"/>
      </w:r>
      <w:r w:rsidRPr="00451912">
        <w:rPr>
          <w:rFonts w:ascii="Garamond" w:hAnsi="Garamond"/>
          <w:bCs/>
          <w:iCs/>
          <w:sz w:val="20"/>
          <w:szCs w:val="20"/>
        </w:rPr>
        <w:t xml:space="preserve"> The pooled prevalence for CKD was 16% in West Africa, the highest in the continent. CKD is characterized by the young age of patients in Africa, huge morbidity, and premature deaths. About 90% of patients with CKD die within 90</w:t>
      </w:r>
      <w:r w:rsidRPr="00451912">
        <w:rPr>
          <w:rFonts w:ascii="Times New Roman" w:hAnsi="Times New Roman" w:cs="Times New Roman"/>
          <w:bCs/>
          <w:iCs/>
          <w:sz w:val="20"/>
          <w:szCs w:val="20"/>
        </w:rPr>
        <w:t> </w:t>
      </w:r>
      <w:r w:rsidRPr="00451912">
        <w:rPr>
          <w:rFonts w:ascii="Garamond" w:hAnsi="Garamond"/>
          <w:bCs/>
          <w:iCs/>
          <w:sz w:val="20"/>
          <w:szCs w:val="20"/>
        </w:rPr>
        <w:t>days of starting dialysis.</w:t>
      </w:r>
      <w:r w:rsidRPr="00451912">
        <w:rPr>
          <w:rFonts w:ascii="Garamond" w:hAnsi="Garamond" w:cs="Garamond"/>
          <w:bCs/>
          <w:iCs/>
          <w:sz w:val="20"/>
          <w:szCs w:val="20"/>
        </w:rPr>
        <w:t> </w:t>
      </w:r>
      <w:r w:rsidRPr="00451912">
        <w:rPr>
          <w:rFonts w:ascii="Garamond" w:hAnsi="Garamond"/>
          <w:bCs/>
          <w:iCs/>
          <w:sz w:val="20"/>
          <w:szCs w:val="20"/>
        </w:rPr>
        <w:fldChar w:fldCharType="begin"/>
      </w:r>
      <w:r w:rsidRPr="00451912">
        <w:rPr>
          <w:rFonts w:ascii="Garamond" w:hAnsi="Garamond"/>
          <w:bCs/>
          <w:iCs/>
          <w:sz w:val="20"/>
          <w:szCs w:val="20"/>
        </w:rPr>
        <w:instrText xml:space="preserve"> ADDIN ZOTERO_ITEM CSL_CITATION {"citationID":"2zgVhEbR","properties":{"formattedCitation":"\\super 5\\nosupersub{}","plainCitation":"5","noteIndex":0},"citationItems":[{"id":4479,"uris":["http://zotero.org/users/10955591/items/Q2MGEYS6"],"itemData":{"id":4479,"type":"article-journal","abstract":"Chronic kidney disease (CKD) is a growing challenge in low- and middle-income countries, particularly in sub-Saharan Africa. There is insufficient population-based data on CKD in Nigeria that is required to estimate its true burden, and to design prevention and management strategies. The study aims to determine the prevalence of CKD and its risk factors in Nigeria.","container-title":"BMC Nephrology","DOI":"10.1186/s12882-020-02126-8","ISSN":"1471-2369","issue":"1","journalAbbreviation":"BMC Nephrology","page":"467","source":"BioMed Central","title":"Prevalence of chronic kidney disease and risk factors in North-Central Nigeria: a population-based survey","title-short":"Prevalence of chronic kidney disease and risk factors in North-Central Nigeria","volume":"21","author":[{"family":"Olanrewaju","given":"Timothy Olusegun"},{"family":"Aderibigbe","given":"Ademola"},{"family":"Popoola","given":"Ademola Alabi"},{"family":"Braimoh","given":"Kolawole Thomas"},{"family":"Buhari","given":"Mikhail Olayinka"},{"family":"Adedoyin","given":"Olanrewaju Timothy"},{"family":"Kuranga","given":"Sulyman Alege"},{"family":"Biliaminu","given":"Sikiru Abayomi"},{"family":"Chijioke","given":"Adindu"},{"family":"Ajape","given":"Abdulwahab Akanbi"},{"family":"Grobbee","given":"Diederick E"},{"family":"Blankestijn","given":"Peter J"},{"family":"Klipstein-Grobusch","given":"Kerstin"},{"literal":"the Ilorin Renal Study Group"}],"issued":{"date-parts":[["2020",11,10]]}}}],"schema":"https://github.com/citation-style-language/schema/raw/master/csl-citation.json"} </w:instrText>
      </w:r>
      <w:r w:rsidRPr="00451912">
        <w:rPr>
          <w:rFonts w:ascii="Garamond" w:hAnsi="Garamond"/>
          <w:bCs/>
          <w:iCs/>
          <w:sz w:val="20"/>
          <w:szCs w:val="20"/>
        </w:rPr>
        <w:fldChar w:fldCharType="separate"/>
      </w:r>
      <w:r w:rsidRPr="00451912">
        <w:rPr>
          <w:rFonts w:ascii="Garamond" w:hAnsi="Garamond"/>
          <w:bCs/>
          <w:iCs/>
          <w:sz w:val="20"/>
          <w:szCs w:val="20"/>
          <w:vertAlign w:val="superscript"/>
        </w:rPr>
        <w:t>5</w:t>
      </w:r>
      <w:r w:rsidRPr="00451912">
        <w:rPr>
          <w:rFonts w:ascii="Garamond" w:hAnsi="Garamond"/>
          <w:bCs/>
          <w:iCs/>
          <w:sz w:val="20"/>
          <w:szCs w:val="20"/>
        </w:rPr>
        <w:fldChar w:fldCharType="end"/>
      </w:r>
      <w:r w:rsidRPr="00451912">
        <w:rPr>
          <w:rFonts w:ascii="Garamond" w:hAnsi="Garamond"/>
          <w:bCs/>
          <w:iCs/>
          <w:sz w:val="20"/>
          <w:szCs w:val="20"/>
        </w:rPr>
        <w:t xml:space="preserve"> In Nigeria, which is one of the most populated countries on the continent, there is no substantive information on the prevalence of CKD in the country. In the southwest of Nigeria, a report showed that the prevalence of CKD was estimated to be 22.3%.</w:t>
      </w:r>
      <w:r w:rsidRPr="00451912">
        <w:rPr>
          <w:rFonts w:ascii="Garamond" w:hAnsi="Garamond"/>
          <w:bCs/>
          <w:iCs/>
          <w:sz w:val="20"/>
          <w:szCs w:val="20"/>
        </w:rPr>
        <w:fldChar w:fldCharType="begin"/>
      </w:r>
      <w:r w:rsidRPr="00451912">
        <w:rPr>
          <w:rFonts w:ascii="Garamond" w:hAnsi="Garamond"/>
          <w:bCs/>
          <w:iCs/>
          <w:sz w:val="20"/>
          <w:szCs w:val="20"/>
        </w:rPr>
        <w:instrText xml:space="preserve"> ADDIN ZOTERO_ITEM CSL_CITATION {"citationID":"FcytHnSq","properties":{"formattedCitation":"\\super 6\\nosupersub{}","plainCitation":"6","noteIndex":0},"citationItems":[{"id":6592,"uris":["http://zotero.org/users/10955591/items/FVWACACP"],"itemData":{"id":6592,"type":"article-journal","container-title":"Scientific African","DOI":"10.1016/j.sciaf.2022.e01136","ISSN":"24682276","journalAbbreviation":"Scientific African","language":"en","page":"e01136","source":"DOI.org (Crossref)","title":"Prevalence and risk factors of chronic kidney disease among commercial motorcyclists in Ado-Ekiti, Ekiti State, Nigeria","volume":"16","author":[{"family":"Ibitoba","given":"Funmilayo A."},{"family":"Akpor","given":"Oluwaseyi A."},{"family":"Akpor","given":"Oghenerobor B."}],"issued":{"date-parts":[["2022",7]]}}}],"schema":"https://github.com/citation-style-language/schema/raw/master/csl-citation.json"} </w:instrText>
      </w:r>
      <w:r w:rsidRPr="00451912">
        <w:rPr>
          <w:rFonts w:ascii="Garamond" w:hAnsi="Garamond"/>
          <w:bCs/>
          <w:iCs/>
          <w:sz w:val="20"/>
          <w:szCs w:val="20"/>
        </w:rPr>
        <w:fldChar w:fldCharType="separate"/>
      </w:r>
      <w:r w:rsidRPr="00451912">
        <w:rPr>
          <w:rFonts w:ascii="Garamond" w:hAnsi="Garamond"/>
          <w:bCs/>
          <w:iCs/>
          <w:sz w:val="20"/>
          <w:szCs w:val="20"/>
          <w:vertAlign w:val="superscript"/>
        </w:rPr>
        <w:t>6</w:t>
      </w:r>
      <w:r w:rsidRPr="00451912">
        <w:rPr>
          <w:rFonts w:ascii="Garamond" w:hAnsi="Garamond"/>
          <w:bCs/>
          <w:iCs/>
          <w:sz w:val="20"/>
          <w:szCs w:val="20"/>
        </w:rPr>
        <w:fldChar w:fldCharType="end"/>
      </w:r>
      <w:r w:rsidRPr="00451912">
        <w:rPr>
          <w:rFonts w:ascii="Garamond" w:hAnsi="Garamond"/>
          <w:bCs/>
          <w:iCs/>
          <w:sz w:val="20"/>
          <w:szCs w:val="20"/>
        </w:rPr>
        <w:t xml:space="preserve"> In the South-East of Nigeria, a study showed that the prevalence of CKD was 7.8%,</w:t>
      </w:r>
      <w:r w:rsidRPr="00451912">
        <w:rPr>
          <w:rFonts w:ascii="Garamond" w:hAnsi="Garamond"/>
          <w:bCs/>
          <w:iCs/>
          <w:sz w:val="20"/>
          <w:szCs w:val="20"/>
          <w:vertAlign w:val="superscript"/>
        </w:rPr>
        <w:t>7</w:t>
      </w:r>
      <w:r w:rsidRPr="00451912">
        <w:rPr>
          <w:rFonts w:ascii="Garamond" w:hAnsi="Garamond"/>
          <w:bCs/>
          <w:iCs/>
          <w:sz w:val="20"/>
          <w:szCs w:val="20"/>
        </w:rPr>
        <w:t xml:space="preserve"> while an epidemiological trend in South-South Nigeria showed that CKD accounted for 9.7% of medical outpatient clinic attendance.</w:t>
      </w:r>
      <w:r w:rsidRPr="00451912">
        <w:rPr>
          <w:rFonts w:ascii="Garamond" w:hAnsi="Garamond"/>
          <w:bCs/>
          <w:iCs/>
          <w:sz w:val="20"/>
          <w:szCs w:val="20"/>
        </w:rPr>
        <w:fldChar w:fldCharType="begin"/>
      </w:r>
      <w:r w:rsidRPr="00451912">
        <w:rPr>
          <w:rFonts w:ascii="Garamond" w:hAnsi="Garamond"/>
          <w:bCs/>
          <w:iCs/>
          <w:sz w:val="20"/>
          <w:szCs w:val="20"/>
        </w:rPr>
        <w:instrText xml:space="preserve"> ADDIN ZOTERO_ITEM CSL_CITATION {"citationID":"NfwUhWSl","properties":{"formattedCitation":"\\super 8\\nosupersub{}","plainCitation":"8","noteIndex":0},"citationItems":[{"id":6594,"uris":["http://zotero.org/users/10955591/items/45I7ZDJ8"],"itemData":{"id":6594,"type":"article-journal","abstract":"Background, The global burden of chronic kidney disease (CKD) has been on an alarming increase in the last two decades. The morbidity and mortality associated with CKD are even worse in Nigeria, like other developing countries, due to multiple socioeconomic and demographic factors in the country. CKD contributes to the increasing need for hospital admission. Hypertension and chronic glomerulonephritis have been the leading causes of CKD in Nigeria. However, diabetic nephropathy has recently gained more significance as a cause of CKD in developing countries., Aim and methods, This study aimed to describe the current trend in the burden and population characteristics of CKD in Southern Nigeria. This is a cross-sectional, hospital-based study. The study recruited adult patients with prehemodialysis CKD seen in renal clinics over a two-year period (November 2014 to October 2016). Data were obtained using a questionnaire and from the clinic register. All participants were clinically assessed, including history, anthropometric measurements, and urinary albumin-creatinine ratio., Results, A total of 1,549 patients were seen at the Medical Outpatient Clinic over the study period. CKD accounted for 9.7% of medical outpatient clinic attendance. The mean age of participants was 49±13 years. The leading causes of CKD were diabetes mellitus (32%), chronic glomerulonephritis (30%), and hypertension (22%). Among the participants, CKD stages 3, 4, and 5 were prevalent in 26.7%, 43.3%, and 14.7%, respectively., Conclusion and recommendation, CKD is very prevalent among medical clinic patients. Diabetic nephropathy seems to be a more significant cause of CKD than was previously reported. Late presentation of patients to nephrologists remains an obstacle to improving CKD outcome in Nigeria. There is need for more intensive preventive measures and early intervention.","container-title":"Cureus","DOI":"10.7759/cureus.36912","ISSN":"2168-8184","issue":"3","journalAbbreviation":"Cureus","note":"PMID: 37128545\nPMCID: PMC10148672","page":"e36912","source":"PubMed Central","title":"Epidemiology Trend of Chronic Kidney Disease in a Semi-Urban Tertiary Hospital in Sub-Saharan Africa","volume":"15","author":[{"family":"Ovwasa","given":"Henry"},{"family":"Aiwuyo","given":"Henry O"},{"family":"Okoye A.","given":"Ogochukwu C"},{"family":"Unuigbe","given":"Evelyn"},{"family":"Rajora","given":"Nilum"}]}}],"schema":"https://github.com/citation-style-language/schema/raw/master/csl-citation.json"} </w:instrText>
      </w:r>
      <w:r w:rsidRPr="00451912">
        <w:rPr>
          <w:rFonts w:ascii="Garamond" w:hAnsi="Garamond"/>
          <w:bCs/>
          <w:iCs/>
          <w:sz w:val="20"/>
          <w:szCs w:val="20"/>
        </w:rPr>
        <w:fldChar w:fldCharType="separate"/>
      </w:r>
      <w:r w:rsidRPr="00451912">
        <w:rPr>
          <w:rFonts w:ascii="Garamond" w:hAnsi="Garamond"/>
          <w:bCs/>
          <w:iCs/>
          <w:sz w:val="20"/>
          <w:szCs w:val="20"/>
          <w:vertAlign w:val="superscript"/>
        </w:rPr>
        <w:t>8</w:t>
      </w:r>
      <w:r w:rsidRPr="00451912">
        <w:rPr>
          <w:rFonts w:ascii="Garamond" w:hAnsi="Garamond"/>
          <w:bCs/>
          <w:iCs/>
          <w:sz w:val="20"/>
          <w:szCs w:val="20"/>
        </w:rPr>
        <w:fldChar w:fldCharType="end"/>
      </w:r>
    </w:p>
    <w:p w14:paraId="6428BEB2" w14:textId="5DAA186C" w:rsid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There are established treatment options to delay CKD progression and associated complications which includes: controlling blood pressure and blood glucose, reducing proteinuria with prescribed medications (e.g., angiotensin-converting enzyme inhibitors), participating in physical activity and eating a low-sodium diet.  These treatment recommendations come together to form a patient’s treatment plan and require active patient engagement and adherence (i.e., following the treatment plan) to be successful.</w:t>
      </w:r>
      <w:r w:rsidRPr="00451912">
        <w:rPr>
          <w:rFonts w:ascii="Garamond" w:hAnsi="Garamond"/>
          <w:bCs/>
          <w:iCs/>
          <w:sz w:val="20"/>
          <w:szCs w:val="20"/>
        </w:rPr>
        <w:fldChar w:fldCharType="begin"/>
      </w:r>
      <w:r w:rsidRPr="00451912">
        <w:rPr>
          <w:rFonts w:ascii="Garamond" w:hAnsi="Garamond"/>
          <w:bCs/>
          <w:iCs/>
          <w:sz w:val="20"/>
          <w:szCs w:val="20"/>
        </w:rPr>
        <w:instrText xml:space="preserve"> ADDIN ZOTERO_ITEM CSL_CITATION {"citationID":"EcJKEwYu","properties":{"formattedCitation":"\\super 9\\nosupersub{}","plainCitation":"9","noteIndex":0},"citationItems":[{"id":6597,"uris":["http://zotero.org/users/10955591/items/2KL7GJY7"],"itemData":{"id":6597,"type":"article-journal","container-title":"Kidney International","DOI":"10.1038/ki.2013.444","ISSN":"00852538","issue":"1","journalAbbreviation":"Kidney International","language":"en","license":"https://www.elsevier.com/tdm/userlicense/1.0/","page":"49-61","source":"DOI.org (Crossref)","title":"Summary of KDIGO 2012 CKD Guideline: behind the scenes, need for guidance, and a framework for moving forward","title-short":"Summary of KDIGO 2012 CKD Guideline","volume":"85","author":[{"family":"Levin","given":"Adeera"},{"family":"Stevens","given":"Paul E."}],"issued":{"date-parts":[["2014",1]]}}}],"schema":"https://github.com/citation-style-language/schema/raw/master/csl-citation.json"} </w:instrText>
      </w:r>
      <w:r w:rsidRPr="00451912">
        <w:rPr>
          <w:rFonts w:ascii="Garamond" w:hAnsi="Garamond"/>
          <w:bCs/>
          <w:iCs/>
          <w:sz w:val="20"/>
          <w:szCs w:val="20"/>
        </w:rPr>
        <w:fldChar w:fldCharType="separate"/>
      </w:r>
      <w:r w:rsidRPr="00451912">
        <w:rPr>
          <w:rFonts w:ascii="Garamond" w:hAnsi="Garamond"/>
          <w:bCs/>
          <w:iCs/>
          <w:sz w:val="20"/>
          <w:szCs w:val="20"/>
          <w:vertAlign w:val="superscript"/>
        </w:rPr>
        <w:t>9</w:t>
      </w:r>
      <w:r w:rsidRPr="00451912">
        <w:rPr>
          <w:rFonts w:ascii="Garamond" w:hAnsi="Garamond"/>
          <w:bCs/>
          <w:iCs/>
          <w:sz w:val="20"/>
          <w:szCs w:val="20"/>
        </w:rPr>
        <w:fldChar w:fldCharType="end"/>
      </w:r>
    </w:p>
    <w:p w14:paraId="04D30204" w14:textId="1515108D"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The various pharmacological treatments prescribed are aimed at mitigating symptoms and progression of the disease.  Lifelong use of pharmacological management is common among CKD patients, and effectiveness is very much dependent on patients continuously taking their medication according to the prescribed doses in the implementation phase. However, maintaining continuous adherence is particularly challenging given the complexity of individual regimens that require administration of different doses, forms, and frequencies.</w:t>
      </w:r>
      <w:r w:rsidRPr="00451912">
        <w:rPr>
          <w:rFonts w:ascii="Garamond" w:hAnsi="Garamond"/>
          <w:bCs/>
          <w:iCs/>
          <w:sz w:val="20"/>
          <w:szCs w:val="20"/>
        </w:rPr>
        <w:fldChar w:fldCharType="begin"/>
      </w:r>
      <w:r w:rsidRPr="00451912">
        <w:rPr>
          <w:rFonts w:ascii="Garamond" w:hAnsi="Garamond"/>
          <w:bCs/>
          <w:iCs/>
          <w:sz w:val="20"/>
          <w:szCs w:val="20"/>
        </w:rPr>
        <w:instrText xml:space="preserve"> ADDIN ZOTERO_ITEM CSL_CITATION {"citationID":"1pU4f4LY","properties":{"formattedCitation":"\\super 10,11\\nosupersub{}","plainCitation":"10,11","noteIndex":0},"citationItems":[{"id":6598,"uris":["http://zotero.org/users/10955591/items/ITE5LDKI"],"itemData":{"id":6598,"type":"article-journal","container-title":"American Journal of Kidney Diseases","DOI":"10.1053/j.ajkd.2016.02.051","ISSN":"02726386","issue":"4","journalAbbreviation":"American Journal of Kidney Diseases","language":"en","page":"609-618","source":"DOI.org (Crossref)","title":"Predialysis Cardiovascular Disease Medication Adherence and Mortality After Transition to Dialysis","volume":"68","author":[{"family":"Molnar","given":"Miklos Z."},{"family":"Gosmanova","given":"Elvira O."},{"family":"Sumida","given":"Keiichi"},{"family":"Potukuchi","given":"Praveen K."},{"family":"Lu","given":"Jun Ling"},{"family":"Jing","given":"Jennie"},{"family":"Ravel","given":"Vanessa A."},{"family":"Soohoo","given":"Melissa"},{"family":"Rhee","given":"Connie M."},{"family":"Streja","given":"Elani"},{"family":"Kalantar-Zadeh","given":"Kamyar"},{"family":"Kovesdy","given":"Csaba P."}],"issued":{"date-parts":[["2016",10]]}}},{"id":6600,"uris":["http://zotero.org/users/10955591/items/I8I89VYM"],"itemData":{"id":6600,"type":"article-journal","container-title":"American journal of kidney diseases","DOI":"10.1053/j.ajkd.2010.05.006","ISSN":"0272-6386","issue":"3","journalAbbreviation":"Am J Kidney Dis","note":"PMID: 20728787\nPMCID: PMC4142422","page":"423-426","source":"PubMed Central","title":"Kidney Disease and Antihypertensive Medication Adherence: The Need for Improved Measurement Tools","title-short":"Kidney Disease and Antihypertensive Medication Adherence","volume":"56","author":[{"family":"Chang","given":"Tara I."},{"family":"Winkelmayer","given":"Wolfgang C."}],"issued":{"date-parts":[["2010",9]]}}}],"schema":"https://github.com/citation-style-language/schema/raw/master/csl-citation.json"} </w:instrText>
      </w:r>
      <w:r w:rsidRPr="00451912">
        <w:rPr>
          <w:rFonts w:ascii="Garamond" w:hAnsi="Garamond"/>
          <w:bCs/>
          <w:iCs/>
          <w:sz w:val="20"/>
          <w:szCs w:val="20"/>
        </w:rPr>
        <w:fldChar w:fldCharType="separate"/>
      </w:r>
      <w:r w:rsidRPr="00451912">
        <w:rPr>
          <w:rFonts w:ascii="Garamond" w:hAnsi="Garamond"/>
          <w:bCs/>
          <w:iCs/>
          <w:sz w:val="20"/>
          <w:szCs w:val="20"/>
          <w:vertAlign w:val="superscript"/>
        </w:rPr>
        <w:t>10,11</w:t>
      </w:r>
      <w:r w:rsidRPr="00451912">
        <w:rPr>
          <w:rFonts w:ascii="Garamond" w:hAnsi="Garamond"/>
          <w:bCs/>
          <w:iCs/>
          <w:sz w:val="20"/>
          <w:szCs w:val="20"/>
        </w:rPr>
        <w:fldChar w:fldCharType="end"/>
      </w:r>
      <w:r w:rsidRPr="00451912">
        <w:rPr>
          <w:rFonts w:ascii="Garamond" w:hAnsi="Garamond"/>
          <w:bCs/>
          <w:iCs/>
          <w:sz w:val="20"/>
          <w:szCs w:val="20"/>
        </w:rPr>
        <w:t xml:space="preserve">This infers a high burden of pill intake with sometimes more than 20 pills/day. Managing multiple medications and health care appointments, including, for some, dialysis several times a week, is a challenging task. This has led to patients skipping their medication intake. </w:t>
      </w:r>
    </w:p>
    <w:p w14:paraId="64006C01" w14:textId="6177D5FA" w:rsid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Hypertension is both a cause and effect of CKD and contributes to its progression.</w:t>
      </w:r>
      <w:r w:rsidRPr="00451912">
        <w:rPr>
          <w:rFonts w:ascii="Garamond" w:hAnsi="Garamond"/>
          <w:bCs/>
          <w:iCs/>
          <w:sz w:val="20"/>
          <w:szCs w:val="20"/>
        </w:rPr>
        <w:fldChar w:fldCharType="begin"/>
      </w:r>
      <w:r w:rsidRPr="00451912">
        <w:rPr>
          <w:rFonts w:ascii="Garamond" w:hAnsi="Garamond"/>
          <w:bCs/>
          <w:iCs/>
          <w:sz w:val="20"/>
          <w:szCs w:val="20"/>
        </w:rPr>
        <w:instrText xml:space="preserve"> ADDIN ZOTERO_ITEM CSL_CITATION {"citationID":"h3zsHSZw","properties":{"formattedCitation":"\\super 12,13\\nosupersub{}","plainCitation":"12,13","noteIndex":0},"citationItems":[{"id":6622,"uris":["http://zotero.org/users/10955591/items/YSL4AA3R"],"itemData":{"id":6622,"type":"article-journal","abstract":"Unlike the majority of patients with uncomplicated hypertension in whom minimal renal damage develops in the absence of severe blood pressure (BP) elevations, patients with diabetic and nondiabetic chronic kidney disease (CKD) exhibit an increased vulnerability to even moderate BP elevations. Investigations in experimental animal models have revealed that this enhanced susceptibility is a consequence of an impairment of the renal autoregulatory mechanisms that normally attenuate the transmission of elevated systemic pressures to the glomeruli in uncomplicated hypertension. The markedly lower BP threshold for renal damage and the steeper slope of relationship between BP and renal damage in such states necessitates that BP be lowered into the normotensive range to prevent progressive renal damage. When BP is accurately measured using radiotelemetry in animal models, the renal protection provided by renin-angiotensin system (RAS) blockade is proportional to the BP reduction with little evidence of BP-independent protection. A critical evaluation of the clinical data also suggests that the BP-independent renoprotection by RAS blockade has been overemphasized and that achieving lower BP targets is more important than the selection of antihypertensive regimens. However, achievement of such BP goals is difficult in CKD patients without aggressive diuresis, because of their proclivity for salt retention. The effectiveness of RAS blockers in lowering BP in patients who have been adequately treated with diuretics, along with their potassium-sparing and magnesium-sparing effects, provides a more compelling rationale for the use of RAS blockade in the treatment of CKD patients than any putative BP-independent renoprotective superiority.","container-title":"Hypertension (Dallas, Tex.: 1979)","DOI":"10.1161/01.HYP.0000145180.38707.84","ISSN":"1524-4563","issue":"5","journalAbbreviation":"Hypertension","language":"eng","note":"PMID: 15452024","page":"595-601","source":"PubMed","title":"Pathophysiology of hypertensive renal damage: implications for therapy","title-short":"Pathophysiology of hypertensive renal damage","volume":"44","author":[{"family":"Bidani","given":"Anil K."},{"family":"Griffin","given":"Karen A."}],"issued":{"date-parts":[["2004",11]]}}},{"id":6626,"uris":["http://zotero.org/users/10955591/items/NQSRZFA2"],"itemData":{"id":6626,"type":"article-journal","abstract":"Background\nKidney disease and hypertension commonly coexist, yet the direction of their association is still debated.\n\nObjective\nTo evaluate whether early kidney dysfunction, measured by serum cystatin C levels and urinary albumin excretion, predates hypertension in adults without clinically recognized kidney or cardiovascular disease.\n\nDesign\nObservational cohort study using data from 2000 to 2005.\n\nSetting\nThe MESA (Multi-Ethnic Study of Atherosclerosis), a community-based study of subclinical cardiovascular disease in adults age 45 to 84 years.\n\nParticipants\n2767 MESA participants without prevalent hypertension, cardiovascular disease, or clinically recognized kidney disease (an estimated glomerular filtration rate &lt;60 mL/min per 1.73 m2 or microalbuminuria).\n\nMeasurements\nCystatin C was measured by using a nephelometer, and urinary albumin and creatinine were measured from a spot morning collection. The primary outcome was incident hypertension, defined as systolic blood pressure of at least 140 mm Hg, diastolic blood pressure of at least 90 mm Hg, or use of an antihypertensive medication.\n\nResults\nDuring a median follow-up of 3.1 years, 19.7% of the cohort (545 participants) developed hypertension. After adjustment for established hypertension risk factors, each 15-nmol/L increase in cystatin C was associated with a statistically significant 15% greater incidence of hypertension (P = 0.017). The highest sex-specific quartile of urinary albumin–creatinine ratio was associated with a statistically insignificant 16% greater incidence of hypertension (P = 0.192) compared with the lowest quartile. No statistical evidence suggested a multiplicative interaction.\n\nLimitations\nUnmeasured characteristics may have confounded observed associations of kidney markers with hypertension. Follow-up was relatively short. Hypertension that may have occurred between study visits or hypertension that was not captured by standard cuff measurements may have been missed.\n\nConclusion\nDifferences in kidney function, indicated by cystatin C levels, are associated with incident hypertension among individuals without clinical kidney or cardiovascular disease. These population-based findings complement experimental work implicating early kidney damage in the pathogenesis of essential hypertension.","container-title":"Annals of internal medicine","ISSN":"0003-4819","issue":"7","journalAbbreviation":"Ann Intern Med","note":"PMID: 18378946\nPMCID: PMC3044648","page":"501-508","source":"PubMed Central","title":"Differences in Kidney Function and Incident Hypertension: The Multi-Ethnic Study of Atherosclerosis","title-short":"Differences in Kidney Function and Incident Hypertension","volume":"148","author":[{"family":"Kestenbaum","given":"Bryan"},{"family":"Rudser","given":"Kyle D."},{"family":"Boer","given":"Ian H.","non-dropping-particle":"de"},{"family":"Peralta","given":"Carmen A."},{"family":"Fried","given":"Linda F."},{"family":"Shlipak","given":"Michael G."},{"family":"Palmas","given":"Walter"},{"family":"Stehman-Breen","given":"Catherine"},{"family":"Siscovick","given":"David S."}],"issued":{"date-parts":[["2008",4,1]]}}}],"schema":"https://github.com/citation-style-language/schema/raw/master/csl-citation.json"} </w:instrText>
      </w:r>
      <w:r w:rsidRPr="00451912">
        <w:rPr>
          <w:rFonts w:ascii="Garamond" w:hAnsi="Garamond"/>
          <w:bCs/>
          <w:iCs/>
          <w:sz w:val="20"/>
          <w:szCs w:val="20"/>
        </w:rPr>
        <w:fldChar w:fldCharType="separate"/>
      </w:r>
      <w:r w:rsidRPr="00451912">
        <w:rPr>
          <w:rFonts w:ascii="Garamond" w:hAnsi="Garamond"/>
          <w:bCs/>
          <w:iCs/>
          <w:sz w:val="20"/>
          <w:szCs w:val="20"/>
          <w:vertAlign w:val="superscript"/>
        </w:rPr>
        <w:t>12,13</w:t>
      </w:r>
      <w:r w:rsidRPr="00451912">
        <w:rPr>
          <w:rFonts w:ascii="Garamond" w:hAnsi="Garamond"/>
          <w:bCs/>
          <w:iCs/>
          <w:sz w:val="20"/>
          <w:szCs w:val="20"/>
        </w:rPr>
        <w:fldChar w:fldCharType="end"/>
      </w:r>
      <w:r w:rsidRPr="00451912">
        <w:rPr>
          <w:rFonts w:ascii="Garamond" w:hAnsi="Garamond"/>
          <w:bCs/>
          <w:iCs/>
          <w:sz w:val="20"/>
          <w:szCs w:val="20"/>
        </w:rPr>
        <w:t xml:space="preserve"> As eGFR declines, the incidence and severity of hypertension increase. </w:t>
      </w:r>
      <w:r w:rsidRPr="00451912">
        <w:rPr>
          <w:rFonts w:ascii="Garamond" w:hAnsi="Garamond"/>
          <w:bCs/>
          <w:iCs/>
          <w:sz w:val="20"/>
          <w:szCs w:val="20"/>
        </w:rPr>
        <w:fldChar w:fldCharType="begin"/>
      </w:r>
      <w:r w:rsidRPr="00451912">
        <w:rPr>
          <w:rFonts w:ascii="Garamond" w:hAnsi="Garamond"/>
          <w:bCs/>
          <w:iCs/>
          <w:sz w:val="20"/>
          <w:szCs w:val="20"/>
        </w:rPr>
        <w:instrText xml:space="preserve"> ADDIN ZOTERO_ITEM CSL_CITATION {"citationID":"OIKj7bEV","properties":{"formattedCitation":"\\super 14\\nosupersub{}","plainCitation":"14","noteIndex":0},"citationItems":[{"id":6629,"uris":["http://zotero.org/users/10955591/items/LXK5ICB3"],"itemData":{"id":6629,"type":"article-journal","abstract":"BACKGROUND: A low rate of blood pressure control has been reported in patients with chronic kidney disease (CKD). These data were derived from population-based samples with a low rate of CKD awareness.\nSTUDY DESIGN: Cross-sectional.\nSETTING &amp; PARTICIPANTS: Data from the baseline visit of the Chronic Renal Insufficiency Cohort (CRIC) Study (n = 3,612) were analyzed. Participants with an estimated glomerular filtration rate of 20-70 mL/min/1.73 m(2) were identified from physician offices and review of laboratory databases.\nOUTCOMES: Prevalence and awareness of hypertension, treatment patterns, control rates, and factors associated with hypertension control.\nMEASUREMENTS: Following a standardized protocol, blood pressure was measured 3 times by trained staff, and hypertension was defined as systolic blood pressure &gt; or =140 mm Hg and/or diastolic blood pressure &gt; or =90 mm Hg and/or self-reported antihypertensive medication use. Patients' awareness and treatment of hypertension were defined using self-report, and 2 levels of hypertension control were evaluated: systolic/diastolic blood pressure &lt;140/90 and &lt;130/80 mm Hg.\nRESULTS: The prevalence of hypertension was 85.7%, and 98.9% of CRIC participants were aware of this diagnosis and 98.3% were treated with medications, whereas 67.1% and 46.1% had hypertension controlled to &lt;140/90 and &lt;130/80 mm Hg, respectively. Of CRIC participants with hypertension, 15%, 25%, 26%, and 32% were using 1, 2, 3, and &gt; or =4 antihypertensive medications, respectively. After multivariable adjustment, older patients, blacks, and those with higher urinary albumin excretion were less likely, whereas participants using angiotensin-converting enzyme inhibitors and angiotensin receptor blockers were more likely to have controlled their hypertension to &lt;140/90 and &lt;130/80 mm Hg.\nLIMITATIONS: Data were derived from a single study visit.\nCONCLUSIONS: Despite almost universal hypertension awareness and treatment in this cohort of patients with CKD, rates of hypertension control were suboptimal.","container-title":"American Journal of Kidney Diseases: The Official Journal of the National Kidney Foundation","DOI":"10.1053/j.ajkd.2009.09.014","ISSN":"1523-6838","issue":"3","journalAbbreviation":"Am J Kidney Dis","language":"eng","note":"PMID: 19962808\nPMCID: PMC2866514","page":"441-451","source":"PubMed","title":"Hypertension awareness, treatment, and control in adults with CKD: results from the Chronic Renal Insufficiency Cohort (CRIC) Study","title-short":"Hypertension awareness, treatment, and control in adults with CKD","volume":"55","author":[{"family":"Muntner","given":"Paul"},{"family":"Anderson","given":"Amanda"},{"family":"Charleston","given":"Jeanne"},{"family":"Chen","given":"Zhen"},{"family":"Ford","given":"Virginia"},{"family":"Makos","given":"Gail"},{"family":"O'Connor","given":"Andrew"},{"family":"Perumal","given":"Kalyani"},{"family":"Rahman","given":"Mahboob"},{"family":"Steigerwalt","given":"Susan"},{"family":"Teal","given":"Valerie"},{"family":"Townsend","given":"Raymond"},{"family":"Weir","given":"Matthew"},{"family":"Wright","given":"Jackson T."},{"literal":"Chronic Renal Insufficiency Cohort (CRIC) Study Investigators"}],"issued":{"date-parts":[["2010",3]]}}}],"schema":"https://github.com/citation-style-language/schema/raw/master/csl-citation.json"} </w:instrText>
      </w:r>
      <w:r w:rsidRPr="00451912">
        <w:rPr>
          <w:rFonts w:ascii="Garamond" w:hAnsi="Garamond"/>
          <w:bCs/>
          <w:iCs/>
          <w:sz w:val="20"/>
          <w:szCs w:val="20"/>
        </w:rPr>
        <w:fldChar w:fldCharType="separate"/>
      </w:r>
      <w:r w:rsidRPr="00451912">
        <w:rPr>
          <w:rFonts w:ascii="Garamond" w:hAnsi="Garamond"/>
          <w:bCs/>
          <w:iCs/>
          <w:sz w:val="20"/>
          <w:szCs w:val="20"/>
          <w:vertAlign w:val="superscript"/>
        </w:rPr>
        <w:t>14</w:t>
      </w:r>
      <w:r w:rsidRPr="00451912">
        <w:rPr>
          <w:rFonts w:ascii="Garamond" w:hAnsi="Garamond"/>
          <w:bCs/>
          <w:iCs/>
          <w:sz w:val="20"/>
          <w:szCs w:val="20"/>
        </w:rPr>
        <w:fldChar w:fldCharType="end"/>
      </w:r>
      <w:r w:rsidRPr="00451912">
        <w:rPr>
          <w:rFonts w:ascii="Garamond" w:hAnsi="Garamond"/>
          <w:bCs/>
          <w:iCs/>
          <w:sz w:val="20"/>
          <w:szCs w:val="20"/>
        </w:rPr>
        <w:t xml:space="preserve"> Additionally, hypertension and CKD are both independent risk factors for cardiovascular disease (CVD). Importantly, from a therapeutic perspective, lowering BP can slow eGFR decline, delay progression to ESRD, and reduce the incidence of CVD in this patient group.</w:t>
      </w:r>
      <w:r w:rsidRPr="00451912">
        <w:rPr>
          <w:rFonts w:ascii="Garamond" w:hAnsi="Garamond"/>
          <w:bCs/>
          <w:iCs/>
          <w:sz w:val="20"/>
          <w:szCs w:val="20"/>
        </w:rPr>
        <w:fldChar w:fldCharType="begin"/>
      </w:r>
      <w:r w:rsidRPr="00451912">
        <w:rPr>
          <w:rFonts w:ascii="Garamond" w:hAnsi="Garamond"/>
          <w:bCs/>
          <w:iCs/>
          <w:sz w:val="20"/>
          <w:szCs w:val="20"/>
        </w:rPr>
        <w:instrText xml:space="preserve"> ADDIN ZOTERO_ITEM CSL_CITATION {"citationID":"6idbTg26","properties":{"formattedCitation":"\\super 15\\nosupersub{}","plainCitation":"15","noteIndex":0},"citationItems":[{"id":6632,"uris":["http://zotero.org/users/10955591/items/YQ2DIAVL"],"itemData":{"id":6632,"type":"article-journal","abstract":"Chronic kidney disease (CKD) is an increasingly prevalent condition globally and is strongly associated with incident cardiovascular disease (CVD). Hypertension is both a cause and effect of CKD and affects the vast majority of CKD patients. Control of hypertension is important in those with CKD as it leads to slowing of disease progression as well as reduced CVD risk. Existing guidelines do not offer a consensus on optimal blood pressure (BP) targets. Therefore, an understanding of the evidence used to create these guidelines is vital when considering how best to manage individual patients. Non-pharmacological interventions are useful in reducing BP in CKD but are rarely sufficient to control BP adequately. Patients with CKD and hypertension will often require a combination of antihypertensive medications to achieve target BP. Certain pharmacological therapies provide additional BP-independent renoprotective and/or cardioprotective action and this must be considered when instituting therapy. Managing hypertension in the context of haemodialysis and following kidney transplantation presents further challenges. Novel therapies may enhance treatment in the near future. Importantly, a personalised and evidence-based management plan remains key to achieving BP targets, reducing CVD risk and slowing progression of CKD.","container-title":"Drugs","DOI":"10.1007/s40265-019-1064-1","ISSN":"0012-6667","issue":"4","journalAbbreviation":"Drugs","note":"PMID: 30758803\nPMCID: PMC6422950","page":"365-379","source":"PubMed Central","title":"Management of Hypertension in Chronic Kidney Disease","volume":"79","author":[{"family":"Pugh","given":"Dan"},{"family":"Gallacher","given":"Peter J."},{"family":"Dhaun","given":"Neeraj"}],"issued":{"date-parts":[["2019"]]}}}],"schema":"https://github.com/citation-style-language/schema/raw/master/csl-citation.json"} </w:instrText>
      </w:r>
      <w:r w:rsidRPr="00451912">
        <w:rPr>
          <w:rFonts w:ascii="Garamond" w:hAnsi="Garamond"/>
          <w:bCs/>
          <w:iCs/>
          <w:sz w:val="20"/>
          <w:szCs w:val="20"/>
        </w:rPr>
        <w:fldChar w:fldCharType="separate"/>
      </w:r>
      <w:r w:rsidRPr="00451912">
        <w:rPr>
          <w:rFonts w:ascii="Garamond" w:hAnsi="Garamond"/>
          <w:bCs/>
          <w:iCs/>
          <w:sz w:val="20"/>
          <w:szCs w:val="20"/>
          <w:vertAlign w:val="superscript"/>
        </w:rPr>
        <w:t>15</w:t>
      </w:r>
      <w:r w:rsidRPr="00451912">
        <w:rPr>
          <w:rFonts w:ascii="Garamond" w:hAnsi="Garamond"/>
          <w:bCs/>
          <w:iCs/>
          <w:sz w:val="20"/>
          <w:szCs w:val="20"/>
        </w:rPr>
        <w:fldChar w:fldCharType="end"/>
      </w:r>
      <w:r w:rsidRPr="00451912">
        <w:rPr>
          <w:rFonts w:ascii="Garamond" w:hAnsi="Garamond"/>
          <w:bCs/>
          <w:iCs/>
          <w:sz w:val="20"/>
          <w:szCs w:val="20"/>
        </w:rPr>
        <w:t xml:space="preserve"> Intensified blood pressure control is a key treatment strategy to slow chronic kidney disease progression.</w:t>
      </w:r>
      <w:r w:rsidRPr="00451912">
        <w:rPr>
          <w:rFonts w:ascii="Garamond" w:hAnsi="Garamond"/>
          <w:bCs/>
          <w:iCs/>
          <w:sz w:val="20"/>
          <w:szCs w:val="20"/>
          <w:vertAlign w:val="superscript"/>
        </w:rPr>
        <w:t>16</w:t>
      </w:r>
    </w:p>
    <w:p w14:paraId="6CF78C34" w14:textId="4D58C37E"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The global pattern has shown suboptimal medication adherence among CKD patients.</w:t>
      </w:r>
      <w:r w:rsidRPr="00451912">
        <w:rPr>
          <w:rFonts w:ascii="Garamond" w:hAnsi="Garamond"/>
          <w:bCs/>
          <w:iCs/>
          <w:sz w:val="20"/>
          <w:szCs w:val="20"/>
        </w:rPr>
        <w:fldChar w:fldCharType="begin"/>
      </w:r>
      <w:r w:rsidRPr="00451912">
        <w:rPr>
          <w:rFonts w:ascii="Garamond" w:hAnsi="Garamond"/>
          <w:bCs/>
          <w:iCs/>
          <w:sz w:val="20"/>
          <w:szCs w:val="20"/>
        </w:rPr>
        <w:instrText xml:space="preserve"> ADDIN ZOTERO_ITEM CSL_CITATION {"citationID":"9xZ6OSf2","properties":{"formattedCitation":"\\super 16,17\\nosupersub{}","plainCitation":"16,17","noteIndex":0},"citationItems":[{"id":6605,"uris":["http://zotero.org/users/10955591/items/X9IH7Z43"],"itemData":{"id":6605,"type":"article-journal","container-title":"Nephrology Dialysis Transplantation","DOI":"10.1093/ndt/gfu015","ISSN":"0931-0509, 1460-2385","issue":"1","journalAbbreviation":"Nephrology Dialysis Transplantation","language":"en","page":"39-44","source":"DOI.org (Crossref)","title":"Drug adherence in chronic kidney diseases and dialysis","volume":"30","author":[{"family":"Burnier","given":"M."},{"family":"Pruijm","given":"M."},{"family":"Wuerzner","given":"G."},{"family":"Santschi","given":"V."}],"issued":{"date-parts":[["2015",1,1]]}}},{"id":6607,"uris":["http://zotero.org/users/10955591/items/TPMBXKXZ"],"itemData":{"id":6607,"type":"article-journal","abstract":"Non-adherence to multipharmacological treatment increases the risk of morbidity, mortality and hospitalization. We know little about the perspective of patients with chronic kidney disease regarding factors influencing medicine taking. This study aimed to synthesize findings from qualitative studies of patients’ experiences of factors that facilitate and hinder adherence to medication. A systematic review of qualitative studies adhering to the Enhancing transparency in reporting the synthesis of qualitative research (ENTREQ) framework. Systematic searches were conducted in several databases. We used thematic synthesis and the Confidence in the Evidence from Reviews of Qualitative Research (CERQual) approach to assess the confidence of the evidence. Nineteen studies involving 381 patients with chronic kidney disease were included. We identified three analytical themes; logistics, benchmarking the need for medication; and the quality of the patient-physician relationship, with seven descriptive sub-themes as factors influencing patients' adherence to medications. Helping patients to map their everyday activities and motivating them to associate medications with everyday activities may facilitate adherence to medications. Addressing patient beliefs about medications, supporting patients in coping with side effects of medications and eliciting patients’ wishes for involvement in treatment decisions may also facilitate adherence. Barriers to adherence were the costs of buying medications, and lacking understanding of the indications and effects of medications. The findings in this synthesis resonate with previous research and extend the known literature by synthesizing and formally assessing confidence in the evidence.","container-title":"Clinical Kidney Journal","DOI":"10.1093/ckj/sfx140","ISSN":"2048-8505","issue":"4","journalAbbreviation":"Clin Kidney J","note":"PMID: 30094015\nPMCID: PMC6070096","page":"513-527","source":"PubMed Central","title":"Adherence to medication in patients with chronic kidney disease: a systematic review of qualitative research","title-short":"Adherence to medication in patients with chronic kidney disease","volume":"11","author":[{"family":"Mechta Nielsen","given":"Trine"},{"family":"Frøjk Juhl","given":"Metha"},{"family":"Feldt-Rasmussen","given":"Bo"},{"family":"Thomsen","given":"Thordis"}],"issued":{"date-parts":[["2018",8]]}}}],"schema":"https://github.com/citation-style-language/schema/raw/master/csl-citation.json"} </w:instrText>
      </w:r>
      <w:r w:rsidRPr="00451912">
        <w:rPr>
          <w:rFonts w:ascii="Garamond" w:hAnsi="Garamond"/>
          <w:bCs/>
          <w:iCs/>
          <w:sz w:val="20"/>
          <w:szCs w:val="20"/>
        </w:rPr>
        <w:fldChar w:fldCharType="separate"/>
      </w:r>
      <w:r w:rsidRPr="00451912">
        <w:rPr>
          <w:rFonts w:ascii="Garamond" w:hAnsi="Garamond"/>
          <w:bCs/>
          <w:iCs/>
          <w:sz w:val="20"/>
          <w:szCs w:val="20"/>
          <w:vertAlign w:val="superscript"/>
        </w:rPr>
        <w:t>16,17</w:t>
      </w:r>
      <w:r w:rsidRPr="00451912">
        <w:rPr>
          <w:rFonts w:ascii="Garamond" w:hAnsi="Garamond"/>
          <w:bCs/>
          <w:iCs/>
          <w:sz w:val="20"/>
          <w:szCs w:val="20"/>
        </w:rPr>
        <w:fldChar w:fldCharType="end"/>
      </w:r>
      <w:r w:rsidRPr="00451912">
        <w:rPr>
          <w:rFonts w:ascii="Garamond" w:hAnsi="Garamond"/>
          <w:bCs/>
          <w:iCs/>
          <w:sz w:val="20"/>
          <w:szCs w:val="20"/>
        </w:rPr>
        <w:t xml:space="preserve"> The problem of poor medication adherence among CKD patients also persists in Nigeria. Adherence to medication was 57% in Southwest Nigeria.</w:t>
      </w:r>
      <w:r w:rsidRPr="00451912">
        <w:rPr>
          <w:rFonts w:ascii="Garamond" w:hAnsi="Garamond"/>
          <w:bCs/>
          <w:iCs/>
          <w:sz w:val="20"/>
          <w:szCs w:val="20"/>
        </w:rPr>
        <w:fldChar w:fldCharType="begin"/>
      </w:r>
      <w:r w:rsidRPr="00451912">
        <w:rPr>
          <w:rFonts w:ascii="Garamond" w:hAnsi="Garamond"/>
          <w:bCs/>
          <w:iCs/>
          <w:sz w:val="20"/>
          <w:szCs w:val="20"/>
        </w:rPr>
        <w:instrText xml:space="preserve"> ADDIN ZOTERO_ITEM CSL_CITATION {"citationID":"neWyvIjI","properties":{"formattedCitation":"\\super 18\\nosupersub{}","plainCitation":"18","noteIndex":0},"citationItems":[{"id":6615,"uris":["http://zotero.org/users/10955591/items/9FIST65D"],"itemData":{"id":6615,"type":"article-journal","container-title":"Nigerian Journal of Medicine","DOI":"10.4103/NJM.NJM_49_22","ISSN":"1115-2613","issue":"1","journalAbbreviation":"Niger J Med","language":"en","page":"49","source":"DOI.org (Crossref)","title":"Assessment of factors affecting treatment adherence in patients with chronic kidney disease in Nigeria: A survey from a tertiary health-care centre","title-short":"Assessment of factors affecting treatment adherence in patients with chronic kidney disease in Nigeria","volume":"32","author":[{"family":"Braimoh","given":"RotimiWilliams"},{"family":"Busari","given":"AbdulwasiuAdeniyi"},{"family":"Akinyede","given":"AkinwumiAkinyinka"},{"family":"Ogunsakin","given":"AkinyemiJ"},{"family":"Olayemi","given":"SundayO"}],"issued":{"date-parts":[["2023"]]}}}],"schema":"https://github.com/citation-style-language/schema/raw/master/csl-citation.json"} </w:instrText>
      </w:r>
      <w:r w:rsidRPr="00451912">
        <w:rPr>
          <w:rFonts w:ascii="Garamond" w:hAnsi="Garamond"/>
          <w:bCs/>
          <w:iCs/>
          <w:sz w:val="20"/>
          <w:szCs w:val="20"/>
        </w:rPr>
        <w:fldChar w:fldCharType="separate"/>
      </w:r>
      <w:r w:rsidRPr="00451912">
        <w:rPr>
          <w:rFonts w:ascii="Garamond" w:hAnsi="Garamond"/>
          <w:bCs/>
          <w:iCs/>
          <w:sz w:val="20"/>
          <w:szCs w:val="20"/>
          <w:vertAlign w:val="superscript"/>
        </w:rPr>
        <w:t>18</w:t>
      </w:r>
      <w:r w:rsidRPr="00451912">
        <w:rPr>
          <w:rFonts w:ascii="Garamond" w:hAnsi="Garamond"/>
          <w:bCs/>
          <w:iCs/>
          <w:sz w:val="20"/>
          <w:szCs w:val="20"/>
        </w:rPr>
        <w:fldChar w:fldCharType="end"/>
      </w:r>
      <w:r w:rsidRPr="00451912">
        <w:rPr>
          <w:rFonts w:ascii="Garamond" w:hAnsi="Garamond"/>
          <w:bCs/>
          <w:iCs/>
          <w:sz w:val="20"/>
          <w:szCs w:val="20"/>
        </w:rPr>
        <w:t xml:space="preserve"> 48.6% in Northern Nigeria and    about 27% in South-South Nigeria. </w:t>
      </w:r>
      <w:r w:rsidRPr="00451912">
        <w:rPr>
          <w:rFonts w:ascii="Garamond" w:hAnsi="Garamond"/>
          <w:bCs/>
          <w:iCs/>
          <w:sz w:val="20"/>
          <w:szCs w:val="20"/>
        </w:rPr>
        <w:fldChar w:fldCharType="begin"/>
      </w:r>
      <w:r w:rsidRPr="00451912">
        <w:rPr>
          <w:rFonts w:ascii="Garamond" w:hAnsi="Garamond"/>
          <w:bCs/>
          <w:iCs/>
          <w:sz w:val="20"/>
          <w:szCs w:val="20"/>
        </w:rPr>
        <w:instrText xml:space="preserve"> ADDIN ZOTERO_ITEM CSL_CITATION {"citationID":"xKofPIxv","properties":{"formattedCitation":"\\super 19\\nosupersub{}","plainCitation":"19","noteIndex":0},"citationItems":[{"id":6616,"uris":["http://zotero.org/users/10955591/items/ANWXJ3MD"],"itemData":{"id":6616,"type":"article-journal","abstract":"Background: The prevalence of chronic renal failure (CRF) is becoming alarming among patients which necessitates management with dialysis. Objective: This study assessed the level of adherence to haemodialysis among chronic renal failure patients. Method: A descriptive cross-sectional survey design was adopted in a sample size of 200 patients attending a nephrology unit in a tertiary hospital in Benin using a standardized instrument (ESRD-AQ) and a convenience sampling technique. Data obtained was analysed using descriptive statistics while hypotheses were tested using Chi-square and multiple logistics regression at 5% significant level. Result: Majority 167(83.5%) have a poor level of knowledge, 147(73.5%) have a poor level of adherence. Financial constraints, lack of transportation, forgetfulness, and long waiting times were factors affecting adherence. Multiple logistics regression shows that respondents 18-30years are nine times (O.R. = 9.23; C.I. = 0.94-90.92) more likely to adhere than those who are greater than 60years, Males are 12% (O.R. = 0.88; C.I. = 0.40-1.90) less likely to adhere than females. Married patients are twice (O.R. = 2.40; C.I. = 0.65-6.39) more likely to adhere than those who are not, while respondents who are not educated are less (O.R. = 0.80; C.I. = 0.19-3.49) likely to adhere than those with college/university certificate. Conclusion: participants in this study had low level of knowledge as well as low adherence. There is a need for a structured teaching/awareness programme on the importance of adherence to dialysis to motivate individuals who have CRF and improve adherence thereby reducing suffering and improving quality of life.","container-title":"Borno Medical Journal","DOI":"10.31173/bomj.bomj_2126_18","page":"1-10","source":"ResearchGate","title":"Adherence to Haemodialysis Among Chronic Renal Failure Patients of a Tertiary Health Facility, Benin City, Edo State.","volume":"18","author":[{"family":"Timothy","given":"Ehwarieme"},{"family":"Blessing","given":"Awhim"}],"issued":{"date-parts":[["2021",12,23]]}}}],"schema":"https://github.com/citation-style-language/schema/raw/master/csl-citation.json"} </w:instrText>
      </w:r>
      <w:r w:rsidRPr="00451912">
        <w:rPr>
          <w:rFonts w:ascii="Garamond" w:hAnsi="Garamond"/>
          <w:bCs/>
          <w:iCs/>
          <w:sz w:val="20"/>
          <w:szCs w:val="20"/>
        </w:rPr>
        <w:fldChar w:fldCharType="separate"/>
      </w:r>
      <w:r w:rsidRPr="00451912">
        <w:rPr>
          <w:rFonts w:ascii="Garamond" w:hAnsi="Garamond"/>
          <w:bCs/>
          <w:iCs/>
          <w:sz w:val="20"/>
          <w:szCs w:val="20"/>
          <w:vertAlign w:val="superscript"/>
        </w:rPr>
        <w:t>19</w:t>
      </w:r>
      <w:r w:rsidRPr="00451912">
        <w:rPr>
          <w:rFonts w:ascii="Garamond" w:hAnsi="Garamond"/>
          <w:bCs/>
          <w:iCs/>
          <w:sz w:val="20"/>
          <w:szCs w:val="20"/>
        </w:rPr>
        <w:fldChar w:fldCharType="end"/>
      </w:r>
      <w:r w:rsidRPr="00451912">
        <w:rPr>
          <w:rFonts w:ascii="Garamond" w:hAnsi="Garamond"/>
          <w:bCs/>
          <w:iCs/>
          <w:sz w:val="20"/>
          <w:szCs w:val="20"/>
        </w:rPr>
        <w:t xml:space="preserve"> Poor adherence to medication has been associated with a decline  in the quality of life of patients with end stage renal disease. </w:t>
      </w:r>
      <w:r w:rsidRPr="00451912">
        <w:rPr>
          <w:rFonts w:ascii="Garamond" w:hAnsi="Garamond"/>
          <w:bCs/>
          <w:iCs/>
          <w:sz w:val="20"/>
          <w:szCs w:val="20"/>
        </w:rPr>
        <w:fldChar w:fldCharType="begin"/>
      </w:r>
      <w:r w:rsidRPr="00451912">
        <w:rPr>
          <w:rFonts w:ascii="Garamond" w:hAnsi="Garamond"/>
          <w:bCs/>
          <w:iCs/>
          <w:sz w:val="20"/>
          <w:szCs w:val="20"/>
        </w:rPr>
        <w:instrText xml:space="preserve"> ADDIN ZOTERO_ITEM CSL_CITATION {"citationID":"MEVnE7O0","properties":{"formattedCitation":"\\super 20\\nosupersub{}","plainCitation":"20","noteIndex":0},"citationItems":[{"id":6618,"uris":["http://zotero.org/users/10955591/items/EEZ8LB6W"],"itemData":{"id":6618,"type":"article-journal","abstract":"This study examines the associations between medication adherence and burden, and health-related quality of life (HRQOL) in predialysis chronic kidney disease (CKD). A prospective study targeting adults with advanced CKD (estimated glomerular filtration rate (eGFR) &lt; 30 mL/min/1.73 m2) and not receiving renal replacement therapy was conducted in Tasmania, Australia. The actual medication burden was assessed using the 65-item Medication Regimen Complexity Index, whereas perceived burden was self-reported using a brief validated questionnaire. Medication adherence was assessed using a four-item Morisky-Green-Levine Scale (MGLS) and the Tool for Adherence Behaviour Screening (TABS). The Kidney Disease and Quality of Life Short-Form was used to assess HRQOL. Of 464 eligible adults, 101 participated in the baseline interview and 63 completed a follow-up interview at around 14 months. Participants were predominantly men (67%), with a mean age of 72 (SD 11) years and eGFR of 21 (SD 6) mL/min/1.73 m2. Overall, 43% and 60% of participants reported medication nonadherence based on MGLS and TABS, respectively. Higher perceived medication burden and desire for decision-making were associated with nonadherent behaviour. Poorer HRQOL was associated with higher regimen complexity, whereas nonadherence was associated with a decline in physical HRQOL over time. Medication nonadherence, driven by perceived medication burden, was prevalent in this cohort, and was associated with a decline in physical HRQOL over time.","container-title":"International Journal of Environmental Research and Public Health","DOI":"10.3390/ijerph17010371","ISSN":"1660-4601","issue":"1","language":"en","license":"http://creativecommons.org/licenses/by/3.0/","note":"number: 1\npublisher: Multidisciplinary Digital Publishing Institute","page":"371","source":"www.mdpi.com","title":"Medication Adherence, Burden and Health-Related Quality of Life in Adults with Predialysis Chronic Kidney Disease: A Prospective Cohort Study","title-short":"Medication Adherence, Burden and Health-Related Quality of Life in Adults with Predialysis Chronic Kidney Disease","volume":"17","author":[{"family":"Tesfaye","given":"Wubshet H."},{"family":"McKercher","given":"Charlotte"},{"family":"Peterson","given":"Gregory M."},{"family":"Castelino","given":"Ronald L."},{"family":"Jose","given":"Matthew"},{"family":"Zaidi","given":"Syed Tabish R."},{"family":"Wimmer","given":"Barbara C."}],"issued":{"date-parts":[["2020",1]]}}}],"schema":"https://github.com/citation-style-language/schema/raw/master/csl-citation.json"} </w:instrText>
      </w:r>
      <w:r w:rsidRPr="00451912">
        <w:rPr>
          <w:rFonts w:ascii="Garamond" w:hAnsi="Garamond"/>
          <w:bCs/>
          <w:iCs/>
          <w:sz w:val="20"/>
          <w:szCs w:val="20"/>
        </w:rPr>
        <w:fldChar w:fldCharType="separate"/>
      </w:r>
      <w:r w:rsidRPr="00451912">
        <w:rPr>
          <w:rFonts w:ascii="Garamond" w:hAnsi="Garamond"/>
          <w:bCs/>
          <w:iCs/>
          <w:sz w:val="20"/>
          <w:szCs w:val="20"/>
          <w:vertAlign w:val="superscript"/>
        </w:rPr>
        <w:t>20</w:t>
      </w:r>
      <w:r w:rsidRPr="00451912">
        <w:rPr>
          <w:rFonts w:ascii="Garamond" w:hAnsi="Garamond"/>
          <w:bCs/>
          <w:iCs/>
          <w:sz w:val="20"/>
          <w:szCs w:val="20"/>
        </w:rPr>
        <w:fldChar w:fldCharType="end"/>
      </w:r>
    </w:p>
    <w:p w14:paraId="6FCA9735" w14:textId="77777777" w:rsid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In Rivers State, Southern Nigeria, there is an estimated CKD prevalence of 27.3%.</w:t>
      </w:r>
      <w:r w:rsidRPr="00451912">
        <w:rPr>
          <w:rFonts w:ascii="Garamond" w:hAnsi="Garamond"/>
          <w:bCs/>
          <w:iCs/>
          <w:sz w:val="20"/>
          <w:szCs w:val="20"/>
          <w:vertAlign w:val="superscript"/>
        </w:rPr>
        <w:t>21</w:t>
      </w:r>
      <w:r w:rsidRPr="00451912">
        <w:rPr>
          <w:rFonts w:ascii="Garamond" w:hAnsi="Garamond"/>
          <w:bCs/>
          <w:iCs/>
          <w:sz w:val="20"/>
          <w:szCs w:val="20"/>
        </w:rPr>
        <w:t xml:space="preserve"> However, there is a paucity of information about the treatment characteristics of these patients, including their adherence to anti- hypertensive medications. The aim of this study is therefore to assess the adherence to anti- hypertensive medication and its associated factors among CKD patients in a tertiary health facility in Southern Nigeria.</w:t>
      </w:r>
    </w:p>
    <w:p w14:paraId="1120D404" w14:textId="77777777" w:rsidR="00B06F7D" w:rsidRPr="00451912" w:rsidRDefault="00B06F7D" w:rsidP="00B06F7D">
      <w:pPr>
        <w:spacing w:line="259" w:lineRule="auto"/>
        <w:jc w:val="both"/>
        <w:rPr>
          <w:rFonts w:ascii="Garamond" w:hAnsi="Garamond"/>
          <w:b/>
          <w:bCs/>
          <w:iCs/>
          <w:sz w:val="22"/>
          <w:szCs w:val="22"/>
        </w:rPr>
      </w:pPr>
      <w:r w:rsidRPr="00451912">
        <w:rPr>
          <w:rFonts w:ascii="Garamond" w:hAnsi="Garamond"/>
          <w:b/>
          <w:bCs/>
          <w:iCs/>
          <w:sz w:val="22"/>
          <w:szCs w:val="22"/>
        </w:rPr>
        <w:t>METHODS</w:t>
      </w:r>
    </w:p>
    <w:p w14:paraId="33726A08" w14:textId="77777777" w:rsidR="00B06F7D" w:rsidRPr="00B06F7D" w:rsidRDefault="00B06F7D" w:rsidP="00B06F7D">
      <w:pPr>
        <w:spacing w:line="259" w:lineRule="auto"/>
        <w:jc w:val="both"/>
        <w:rPr>
          <w:rFonts w:ascii="Garamond" w:hAnsi="Garamond"/>
          <w:bCs/>
          <w:iCs/>
          <w:sz w:val="20"/>
          <w:szCs w:val="20"/>
        </w:rPr>
      </w:pPr>
      <w:r w:rsidRPr="00B06F7D">
        <w:rPr>
          <w:rFonts w:ascii="Garamond" w:hAnsi="Garamond"/>
          <w:b/>
          <w:bCs/>
          <w:i/>
          <w:sz w:val="20"/>
          <w:szCs w:val="20"/>
        </w:rPr>
        <w:t>Study Design:</w:t>
      </w:r>
      <w:r>
        <w:rPr>
          <w:rFonts w:ascii="Garamond" w:hAnsi="Garamond"/>
          <w:b/>
          <w:bCs/>
          <w:iCs/>
          <w:sz w:val="20"/>
          <w:szCs w:val="20"/>
        </w:rPr>
        <w:t xml:space="preserve"> </w:t>
      </w:r>
      <w:r w:rsidRPr="00451912">
        <w:rPr>
          <w:rFonts w:ascii="Garamond" w:hAnsi="Garamond"/>
          <w:bCs/>
          <w:iCs/>
          <w:sz w:val="20"/>
          <w:szCs w:val="20"/>
        </w:rPr>
        <w:t>This study was a descriptive cross-sectional study.</w:t>
      </w:r>
    </w:p>
    <w:p w14:paraId="475A80CF" w14:textId="77777777" w:rsidR="00B06F7D" w:rsidRPr="00B06F7D" w:rsidRDefault="00B06F7D" w:rsidP="00B06F7D">
      <w:pPr>
        <w:spacing w:line="259" w:lineRule="auto"/>
        <w:jc w:val="both"/>
        <w:rPr>
          <w:rFonts w:ascii="Garamond" w:hAnsi="Garamond"/>
          <w:bCs/>
          <w:iCs/>
          <w:sz w:val="20"/>
          <w:szCs w:val="20"/>
        </w:rPr>
      </w:pPr>
      <w:r w:rsidRPr="00B06F7D">
        <w:rPr>
          <w:rFonts w:ascii="Garamond" w:hAnsi="Garamond"/>
          <w:b/>
          <w:bCs/>
          <w:i/>
          <w:sz w:val="20"/>
          <w:szCs w:val="20"/>
        </w:rPr>
        <w:t>Study Area:</w:t>
      </w:r>
      <w:r>
        <w:rPr>
          <w:rFonts w:ascii="Garamond" w:hAnsi="Garamond"/>
          <w:b/>
          <w:bCs/>
          <w:iCs/>
          <w:sz w:val="20"/>
          <w:szCs w:val="20"/>
        </w:rPr>
        <w:t xml:space="preserve"> </w:t>
      </w:r>
      <w:r w:rsidRPr="00451912">
        <w:rPr>
          <w:rFonts w:ascii="Garamond" w:hAnsi="Garamond"/>
          <w:bCs/>
          <w:iCs/>
          <w:sz w:val="20"/>
          <w:szCs w:val="20"/>
        </w:rPr>
        <w:t>This study was conducted at the University of Port Harcourt Teaching Hospital (UPTH) located in Rivers State, Southern Nigeria. UPTH is a foremost treatment, research, and training hospital with over 800 beds. The hospital provides highly specialized health care services, including renal care and hemodialysis.</w:t>
      </w:r>
    </w:p>
    <w:p w14:paraId="760C5F1C" w14:textId="77777777" w:rsidR="00B06F7D" w:rsidRPr="00B06F7D" w:rsidRDefault="00B06F7D" w:rsidP="00B06F7D">
      <w:pPr>
        <w:spacing w:line="259" w:lineRule="auto"/>
        <w:jc w:val="both"/>
        <w:rPr>
          <w:rFonts w:ascii="Garamond" w:hAnsi="Garamond"/>
          <w:bCs/>
          <w:iCs/>
          <w:sz w:val="20"/>
          <w:szCs w:val="20"/>
        </w:rPr>
      </w:pPr>
      <w:r w:rsidRPr="00B06F7D">
        <w:rPr>
          <w:rFonts w:ascii="Garamond" w:hAnsi="Garamond"/>
          <w:b/>
          <w:bCs/>
          <w:i/>
          <w:sz w:val="20"/>
          <w:szCs w:val="20"/>
        </w:rPr>
        <w:t>Study Population:</w:t>
      </w:r>
      <w:r>
        <w:rPr>
          <w:rFonts w:ascii="Garamond" w:hAnsi="Garamond"/>
          <w:b/>
          <w:bCs/>
          <w:iCs/>
          <w:sz w:val="20"/>
          <w:szCs w:val="20"/>
        </w:rPr>
        <w:t xml:space="preserve"> </w:t>
      </w:r>
      <w:r w:rsidRPr="00451912">
        <w:rPr>
          <w:rFonts w:ascii="Garamond" w:hAnsi="Garamond"/>
          <w:bCs/>
          <w:iCs/>
          <w:sz w:val="20"/>
          <w:szCs w:val="20"/>
        </w:rPr>
        <w:t>The study population comprised all patients with CKD attending the renal clinic of the hospital. Patients with CKD in critical condition were excluded from this study.</w:t>
      </w:r>
    </w:p>
    <w:p w14:paraId="53A9B42D" w14:textId="77777777" w:rsidR="00B06F7D" w:rsidRPr="00B06F7D" w:rsidRDefault="00B06F7D" w:rsidP="00B06F7D">
      <w:pPr>
        <w:spacing w:line="259" w:lineRule="auto"/>
        <w:jc w:val="both"/>
        <w:rPr>
          <w:rFonts w:ascii="Garamond" w:hAnsi="Garamond"/>
          <w:bCs/>
          <w:iCs/>
          <w:sz w:val="20"/>
          <w:szCs w:val="20"/>
        </w:rPr>
      </w:pPr>
      <w:r w:rsidRPr="00B06F7D">
        <w:rPr>
          <w:rFonts w:ascii="Garamond" w:hAnsi="Garamond"/>
          <w:b/>
          <w:bCs/>
          <w:i/>
          <w:sz w:val="20"/>
          <w:szCs w:val="20"/>
        </w:rPr>
        <w:t>Sample Size:</w:t>
      </w:r>
      <w:r>
        <w:rPr>
          <w:rFonts w:ascii="Garamond" w:hAnsi="Garamond"/>
          <w:b/>
          <w:bCs/>
          <w:iCs/>
          <w:sz w:val="20"/>
          <w:szCs w:val="20"/>
        </w:rPr>
        <w:t xml:space="preserve"> </w:t>
      </w:r>
      <w:r w:rsidRPr="00451912">
        <w:rPr>
          <w:rFonts w:ascii="Garamond" w:hAnsi="Garamond"/>
          <w:bCs/>
          <w:iCs/>
          <w:sz w:val="20"/>
          <w:szCs w:val="20"/>
        </w:rPr>
        <w:t>The sample was calculated using Cochran's sample size formula for calculating the sample size of a single proportion,</w:t>
      </w:r>
      <w:r w:rsidRPr="00451912">
        <w:rPr>
          <w:rFonts w:ascii="Garamond" w:hAnsi="Garamond"/>
          <w:bCs/>
          <w:iCs/>
          <w:sz w:val="20"/>
          <w:szCs w:val="20"/>
          <w:vertAlign w:val="superscript"/>
        </w:rPr>
        <w:t xml:space="preserve">22 </w:t>
      </w:r>
      <w:r w:rsidRPr="00451912">
        <w:rPr>
          <w:rFonts w:ascii="Garamond" w:hAnsi="Garamond"/>
          <w:bCs/>
          <w:iCs/>
          <w:sz w:val="20"/>
          <w:szCs w:val="20"/>
        </w:rPr>
        <w:t>Where n = Sample size to be obtained Z = the normal curve, 1.96 at 95% confidence intervale = margin of precision (5%) P is the proportion of CKD patients who adhered to their medication in previous studies = 57%¹</w:t>
      </w:r>
      <w:r w:rsidRPr="00451912">
        <w:rPr>
          <w:rFonts w:ascii="Cambria Math" w:hAnsi="Cambria Math" w:cs="Cambria Math"/>
          <w:bCs/>
          <w:iCs/>
          <w:sz w:val="20"/>
          <w:szCs w:val="20"/>
        </w:rPr>
        <w:t>⁸</w:t>
      </w:r>
      <w:r w:rsidRPr="00451912">
        <w:rPr>
          <w:rFonts w:ascii="Garamond" w:hAnsi="Garamond"/>
          <w:bCs/>
          <w:iCs/>
          <w:sz w:val="20"/>
          <w:szCs w:val="20"/>
        </w:rPr>
        <w:t>. q=1-p= 0.43. After adjusting for a non-response rate of 10, the minimum sample required to conduct the study was 213.</w:t>
      </w:r>
      <w:r w:rsidRPr="00451912">
        <w:rPr>
          <w:rFonts w:ascii="Garamond" w:hAnsi="Garamond" w:cs="Garamond"/>
          <w:bCs/>
          <w:iCs/>
          <w:sz w:val="20"/>
          <w:szCs w:val="20"/>
        </w:rPr>
        <w:t>        </w:t>
      </w:r>
      <w:r w:rsidRPr="00451912">
        <w:rPr>
          <w:rFonts w:ascii="Garamond" w:hAnsi="Garamond"/>
          <w:bCs/>
          <w:iCs/>
          <w:sz w:val="20"/>
          <w:szCs w:val="20"/>
        </w:rPr>
        <w:t xml:space="preserve"> </w:t>
      </w:r>
    </w:p>
    <w:p w14:paraId="3071F7B1" w14:textId="77777777" w:rsidR="00B06F7D" w:rsidRPr="00B06F7D" w:rsidRDefault="00B06F7D" w:rsidP="00B06F7D">
      <w:pPr>
        <w:spacing w:line="259" w:lineRule="auto"/>
        <w:jc w:val="both"/>
        <w:rPr>
          <w:rFonts w:ascii="Garamond" w:hAnsi="Garamond"/>
          <w:bCs/>
          <w:iCs/>
          <w:sz w:val="20"/>
          <w:szCs w:val="20"/>
        </w:rPr>
      </w:pPr>
      <w:r w:rsidRPr="00B06F7D">
        <w:rPr>
          <w:rFonts w:ascii="Garamond" w:hAnsi="Garamond"/>
          <w:b/>
          <w:bCs/>
          <w:i/>
          <w:sz w:val="20"/>
          <w:szCs w:val="20"/>
        </w:rPr>
        <w:lastRenderedPageBreak/>
        <w:t>Sampling Technique:</w:t>
      </w:r>
      <w:r>
        <w:rPr>
          <w:rFonts w:ascii="Garamond" w:hAnsi="Garamond"/>
          <w:b/>
          <w:bCs/>
          <w:iCs/>
          <w:sz w:val="20"/>
          <w:szCs w:val="20"/>
        </w:rPr>
        <w:t xml:space="preserve"> </w:t>
      </w:r>
      <w:r w:rsidRPr="00B06F7D">
        <w:rPr>
          <w:rFonts w:ascii="Garamond" w:hAnsi="Garamond"/>
          <w:iCs/>
          <w:sz w:val="20"/>
          <w:szCs w:val="20"/>
        </w:rPr>
        <w:t>A</w:t>
      </w:r>
      <w:r w:rsidRPr="00451912">
        <w:rPr>
          <w:rFonts w:ascii="Garamond" w:hAnsi="Garamond"/>
          <w:bCs/>
          <w:iCs/>
          <w:sz w:val="20"/>
          <w:szCs w:val="20"/>
        </w:rPr>
        <w:t xml:space="preserve"> systematic sampling technique was used to select 20 respondents on each clinic day for 13 clinic days at the renal unit of UPTH, where a semi structured questionnaire was consecutively given to every patient with CKD on anti-hypertensive medication.</w:t>
      </w:r>
    </w:p>
    <w:p w14:paraId="1F3816DF" w14:textId="77777777" w:rsidR="00B06F7D" w:rsidRPr="00451912" w:rsidRDefault="00B06F7D" w:rsidP="00B06F7D">
      <w:pPr>
        <w:spacing w:line="259" w:lineRule="auto"/>
        <w:jc w:val="both"/>
        <w:rPr>
          <w:rFonts w:ascii="Garamond" w:hAnsi="Garamond"/>
          <w:bCs/>
          <w:iCs/>
          <w:sz w:val="20"/>
          <w:szCs w:val="20"/>
        </w:rPr>
      </w:pPr>
      <w:r w:rsidRPr="00B06F7D">
        <w:rPr>
          <w:rFonts w:ascii="Garamond" w:hAnsi="Garamond"/>
          <w:b/>
          <w:bCs/>
          <w:i/>
          <w:sz w:val="20"/>
          <w:szCs w:val="20"/>
        </w:rPr>
        <w:t>Study Instrument:</w:t>
      </w:r>
      <w:r>
        <w:rPr>
          <w:rFonts w:ascii="Garamond" w:hAnsi="Garamond"/>
          <w:b/>
          <w:bCs/>
          <w:iCs/>
          <w:sz w:val="20"/>
          <w:szCs w:val="20"/>
        </w:rPr>
        <w:t xml:space="preserve"> </w:t>
      </w:r>
      <w:r w:rsidRPr="00451912">
        <w:rPr>
          <w:rFonts w:ascii="Garamond" w:hAnsi="Garamond"/>
          <w:bCs/>
          <w:iCs/>
          <w:sz w:val="20"/>
          <w:szCs w:val="20"/>
        </w:rPr>
        <w:t>The study instrument was a semi-structured interviewer-administered questionnaire which consists of 4 sections:</w:t>
      </w:r>
    </w:p>
    <w:p w14:paraId="45D22D1F" w14:textId="77777777" w:rsidR="00B06F7D" w:rsidRPr="00451912" w:rsidRDefault="00B06F7D" w:rsidP="00B06F7D">
      <w:pPr>
        <w:jc w:val="both"/>
        <w:rPr>
          <w:rFonts w:ascii="Garamond" w:hAnsi="Garamond"/>
          <w:bCs/>
          <w:iCs/>
          <w:sz w:val="20"/>
          <w:szCs w:val="20"/>
        </w:rPr>
      </w:pPr>
      <w:r w:rsidRPr="00B06F7D">
        <w:rPr>
          <w:rFonts w:ascii="Garamond" w:hAnsi="Garamond"/>
          <w:bCs/>
          <w:i/>
          <w:sz w:val="20"/>
          <w:szCs w:val="20"/>
        </w:rPr>
        <w:t>Section A</w:t>
      </w:r>
      <w:r w:rsidRPr="00451912">
        <w:rPr>
          <w:rFonts w:ascii="Garamond" w:hAnsi="Garamond"/>
          <w:bCs/>
          <w:iCs/>
          <w:sz w:val="20"/>
          <w:szCs w:val="20"/>
        </w:rPr>
        <w:t>: Socio-demographic characteristics – This included information on age, sex, marital status, educational level, occupation, income level and place of residence. These variables were measured using self-reported responses and categorized appropriately for analysis.</w:t>
      </w:r>
    </w:p>
    <w:p w14:paraId="2B19DC60" w14:textId="77777777" w:rsidR="00B06F7D" w:rsidRPr="00451912" w:rsidRDefault="00B06F7D" w:rsidP="00B06F7D">
      <w:pPr>
        <w:jc w:val="both"/>
        <w:rPr>
          <w:rFonts w:ascii="Garamond" w:hAnsi="Garamond"/>
          <w:bCs/>
          <w:iCs/>
          <w:sz w:val="20"/>
          <w:szCs w:val="20"/>
        </w:rPr>
      </w:pPr>
      <w:r w:rsidRPr="00B06F7D">
        <w:rPr>
          <w:rFonts w:ascii="Garamond" w:hAnsi="Garamond"/>
          <w:bCs/>
          <w:i/>
          <w:sz w:val="20"/>
          <w:szCs w:val="20"/>
        </w:rPr>
        <w:t>Section B:</w:t>
      </w:r>
      <w:r w:rsidRPr="00451912">
        <w:rPr>
          <w:rFonts w:ascii="Garamond" w:hAnsi="Garamond"/>
          <w:bCs/>
          <w:iCs/>
          <w:sz w:val="20"/>
          <w:szCs w:val="20"/>
        </w:rPr>
        <w:t xml:space="preserve"> Clinical history – This section obtained information on duration of CKD, stage of CKD, presence of comorbidities such as hypertension and diabetes mellitus, history of dialysis, classes of anti-hypertensives medications patients are taking and other relevant medical conditions. Clinical variables were obtained from patient medical records and self-reports.</w:t>
      </w:r>
    </w:p>
    <w:p w14:paraId="1A2807C0" w14:textId="77777777" w:rsidR="00B06F7D" w:rsidRPr="00451912" w:rsidRDefault="00B06F7D" w:rsidP="00B06F7D">
      <w:pPr>
        <w:jc w:val="both"/>
        <w:rPr>
          <w:rFonts w:ascii="Garamond" w:hAnsi="Garamond"/>
          <w:bCs/>
          <w:iCs/>
          <w:sz w:val="20"/>
          <w:szCs w:val="20"/>
        </w:rPr>
      </w:pPr>
      <w:r w:rsidRPr="00451912">
        <w:rPr>
          <w:rFonts w:ascii="Garamond" w:hAnsi="Garamond"/>
          <w:bCs/>
          <w:iCs/>
          <w:sz w:val="20"/>
          <w:szCs w:val="20"/>
        </w:rPr>
        <w:t>Section C: Medication adherence – Medication adherence was assessed using the Morisky Medication Adherence Scale (MMAS-8), a widely used validated tool for measuring adherence to prescribed medications. Responses were scored according to the recommended scoring system and categorized as High adherence (8), Moderate adherence (6-7) and Low adherence (&lt;6).</w:t>
      </w:r>
    </w:p>
    <w:p w14:paraId="73AAB6E0" w14:textId="035F46EA" w:rsidR="00451912" w:rsidRPr="00B06F7D" w:rsidRDefault="00451912" w:rsidP="00451912">
      <w:pPr>
        <w:spacing w:line="259" w:lineRule="auto"/>
        <w:jc w:val="both"/>
        <w:rPr>
          <w:rFonts w:ascii="Garamond" w:hAnsi="Garamond"/>
          <w:bCs/>
          <w:iCs/>
          <w:sz w:val="20"/>
          <w:szCs w:val="20"/>
        </w:rPr>
      </w:pPr>
      <w:r w:rsidRPr="00451912">
        <w:rPr>
          <w:rFonts w:ascii="Garamond" w:hAnsi="Garamond"/>
          <w:bCs/>
          <w:iCs/>
          <w:sz w:val="20"/>
          <w:szCs w:val="20"/>
        </w:rPr>
        <w:t>A pre-test will be conducted among a small sample of CKD patients in a health facility outside the selected study sites. Data from the pilot study will be used to assess the reliability of the instrument using Cronbach’s alpha coefficient, with a value of 0.70 or higher considered acceptable for internal consistency.</w:t>
      </w:r>
    </w:p>
    <w:p w14:paraId="5EDB315A" w14:textId="6ECA37BC" w:rsidR="00451912" w:rsidRPr="00B06F7D" w:rsidRDefault="00451912" w:rsidP="00451912">
      <w:pPr>
        <w:spacing w:line="259" w:lineRule="auto"/>
        <w:jc w:val="both"/>
        <w:rPr>
          <w:rFonts w:ascii="Garamond" w:hAnsi="Garamond"/>
          <w:bCs/>
          <w:iCs/>
          <w:sz w:val="20"/>
          <w:szCs w:val="20"/>
        </w:rPr>
      </w:pPr>
      <w:r w:rsidRPr="00B06F7D">
        <w:rPr>
          <w:rFonts w:ascii="Garamond" w:hAnsi="Garamond"/>
          <w:b/>
          <w:bCs/>
          <w:i/>
          <w:sz w:val="20"/>
          <w:szCs w:val="20"/>
        </w:rPr>
        <w:t>Data Analysis</w:t>
      </w:r>
      <w:r w:rsidR="00B06F7D" w:rsidRPr="00B06F7D">
        <w:rPr>
          <w:rFonts w:ascii="Garamond" w:hAnsi="Garamond"/>
          <w:b/>
          <w:bCs/>
          <w:i/>
          <w:sz w:val="20"/>
          <w:szCs w:val="20"/>
        </w:rPr>
        <w:t>:</w:t>
      </w:r>
      <w:r w:rsidR="00B06F7D">
        <w:rPr>
          <w:rFonts w:ascii="Garamond" w:hAnsi="Garamond"/>
          <w:b/>
          <w:bCs/>
          <w:iCs/>
          <w:sz w:val="20"/>
          <w:szCs w:val="20"/>
        </w:rPr>
        <w:t xml:space="preserve"> </w:t>
      </w:r>
      <w:r w:rsidRPr="00451912">
        <w:rPr>
          <w:rFonts w:ascii="Garamond" w:hAnsi="Garamond"/>
          <w:bCs/>
          <w:iCs/>
          <w:sz w:val="20"/>
          <w:szCs w:val="20"/>
        </w:rPr>
        <w:t>Data was analyzed using the Statistical Package for Social Sciences (SPSS) version 25. Categorical variables were summarized using frequency and proportions. Numerical variables were summarized using means and standard deviation. Chi-square analysis was used to determine the relationship between the independent and dependent variables. A p-value of less than 0.05 was considered statistically significant.        </w:t>
      </w:r>
    </w:p>
    <w:p w14:paraId="23DA64B0" w14:textId="4B27D2E8" w:rsidR="00451912" w:rsidRDefault="00451912" w:rsidP="00B06F7D">
      <w:pPr>
        <w:spacing w:line="259" w:lineRule="auto"/>
        <w:jc w:val="both"/>
        <w:rPr>
          <w:rFonts w:ascii="Garamond" w:hAnsi="Garamond"/>
          <w:bCs/>
          <w:iCs/>
          <w:sz w:val="20"/>
          <w:szCs w:val="20"/>
        </w:rPr>
      </w:pPr>
      <w:r w:rsidRPr="00B06F7D">
        <w:rPr>
          <w:rFonts w:ascii="Garamond" w:hAnsi="Garamond"/>
          <w:b/>
          <w:bCs/>
          <w:i/>
          <w:sz w:val="20"/>
          <w:szCs w:val="20"/>
        </w:rPr>
        <w:t>Ethical Consideration</w:t>
      </w:r>
      <w:r w:rsidR="00B06F7D" w:rsidRPr="00B06F7D">
        <w:rPr>
          <w:rFonts w:ascii="Garamond" w:hAnsi="Garamond"/>
          <w:b/>
          <w:bCs/>
          <w:i/>
          <w:sz w:val="20"/>
          <w:szCs w:val="20"/>
        </w:rPr>
        <w:t>:</w:t>
      </w:r>
      <w:r w:rsidR="00B06F7D">
        <w:rPr>
          <w:rFonts w:ascii="Garamond" w:hAnsi="Garamond"/>
          <w:b/>
          <w:bCs/>
          <w:iCs/>
          <w:sz w:val="20"/>
          <w:szCs w:val="20"/>
        </w:rPr>
        <w:t xml:space="preserve"> </w:t>
      </w:r>
      <w:r w:rsidRPr="00451912">
        <w:rPr>
          <w:rFonts w:ascii="Garamond" w:hAnsi="Garamond"/>
          <w:bCs/>
          <w:iCs/>
          <w:sz w:val="20"/>
          <w:szCs w:val="20"/>
        </w:rPr>
        <w:t>Ethical approval was obtained from the research ethics committee of UPTH with protocol number UPTH/ADM/90/S.11/VOL.XI/1820 approved on the 13</w:t>
      </w:r>
      <w:r w:rsidRPr="00451912">
        <w:rPr>
          <w:rFonts w:ascii="Garamond" w:hAnsi="Garamond"/>
          <w:bCs/>
          <w:iCs/>
          <w:sz w:val="20"/>
          <w:szCs w:val="20"/>
          <w:vertAlign w:val="superscript"/>
        </w:rPr>
        <w:t>th</w:t>
      </w:r>
      <w:r w:rsidRPr="00451912">
        <w:rPr>
          <w:rFonts w:ascii="Garamond" w:hAnsi="Garamond"/>
          <w:bCs/>
          <w:iCs/>
          <w:sz w:val="20"/>
          <w:szCs w:val="20"/>
        </w:rPr>
        <w:t xml:space="preserve"> of January 2025. Written informed consent was obtained from the participants prior to the commencement of the study. The data obtained from this study will be treated with confidentiality. The names </w:t>
      </w:r>
      <w:r w:rsidRPr="00451912">
        <w:rPr>
          <w:rFonts w:ascii="Garamond" w:hAnsi="Garamond"/>
          <w:bCs/>
          <w:iCs/>
          <w:sz w:val="20"/>
          <w:szCs w:val="20"/>
        </w:rPr>
        <w:t>and personal information of the respondents were not included in the report. </w:t>
      </w:r>
    </w:p>
    <w:p w14:paraId="0C557A26" w14:textId="153BDFA9" w:rsidR="00451912" w:rsidRPr="00451912" w:rsidRDefault="00451912" w:rsidP="00451912">
      <w:pPr>
        <w:spacing w:line="259" w:lineRule="auto"/>
        <w:jc w:val="both"/>
        <w:rPr>
          <w:rFonts w:ascii="Garamond" w:hAnsi="Garamond"/>
          <w:bCs/>
          <w:iCs/>
          <w:sz w:val="20"/>
          <w:szCs w:val="20"/>
        </w:rPr>
      </w:pPr>
    </w:p>
    <w:p w14:paraId="7D1569C3" w14:textId="600E4495" w:rsidR="00451912" w:rsidRPr="00451912" w:rsidRDefault="00B06F7D" w:rsidP="00451912">
      <w:pPr>
        <w:spacing w:line="259" w:lineRule="auto"/>
        <w:jc w:val="both"/>
        <w:rPr>
          <w:rFonts w:ascii="Garamond" w:hAnsi="Garamond"/>
          <w:b/>
          <w:bCs/>
          <w:iCs/>
          <w:sz w:val="22"/>
          <w:szCs w:val="22"/>
        </w:rPr>
      </w:pPr>
      <w:r w:rsidRPr="00451912">
        <w:rPr>
          <w:rFonts w:ascii="Garamond" w:hAnsi="Garamond"/>
          <w:b/>
          <w:bCs/>
          <w:iCs/>
          <w:sz w:val="22"/>
          <w:szCs w:val="22"/>
        </w:rPr>
        <w:t xml:space="preserve">RESULTS </w:t>
      </w:r>
    </w:p>
    <w:p w14:paraId="3987635D" w14:textId="77777777" w:rsidR="00451912" w:rsidRPr="00451912" w:rsidRDefault="00451912" w:rsidP="00451912">
      <w:pPr>
        <w:spacing w:line="259" w:lineRule="auto"/>
        <w:jc w:val="both"/>
        <w:rPr>
          <w:rFonts w:ascii="Garamond" w:hAnsi="Garamond"/>
          <w:b/>
          <w:bCs/>
          <w:iCs/>
          <w:sz w:val="20"/>
          <w:szCs w:val="20"/>
        </w:rPr>
      </w:pPr>
      <w:r w:rsidRPr="00451912">
        <w:rPr>
          <w:rFonts w:ascii="Garamond" w:hAnsi="Garamond"/>
          <w:b/>
          <w:bCs/>
          <w:iCs/>
          <w:sz w:val="20"/>
          <w:szCs w:val="20"/>
        </w:rPr>
        <w:t xml:space="preserve">Table 1: </w:t>
      </w:r>
      <w:r w:rsidRPr="00451912">
        <w:rPr>
          <w:rFonts w:ascii="Garamond" w:hAnsi="Garamond"/>
          <w:iCs/>
          <w:sz w:val="20"/>
          <w:szCs w:val="20"/>
        </w:rPr>
        <w:t>Social Demographic Characteristics</w:t>
      </w:r>
    </w:p>
    <w:tbl>
      <w:tblPr>
        <w:tblW w:w="4155" w:type="dxa"/>
        <w:tblLook w:val="04A0" w:firstRow="1" w:lastRow="0" w:firstColumn="1" w:lastColumn="0" w:noHBand="0" w:noVBand="1"/>
      </w:tblPr>
      <w:tblGrid>
        <w:gridCol w:w="1715"/>
        <w:gridCol w:w="1225"/>
        <w:gridCol w:w="1215"/>
      </w:tblGrid>
      <w:tr w:rsidR="00451912" w:rsidRPr="00451912" w14:paraId="3AC2DE48" w14:textId="77777777" w:rsidTr="00451912">
        <w:tc>
          <w:tcPr>
            <w:tcW w:w="1715" w:type="dxa"/>
            <w:tcBorders>
              <w:top w:val="single" w:sz="4" w:space="0" w:color="auto"/>
              <w:left w:val="nil"/>
              <w:bottom w:val="single" w:sz="4" w:space="0" w:color="auto"/>
              <w:right w:val="nil"/>
            </w:tcBorders>
            <w:noWrap/>
            <w:vAlign w:val="bottom"/>
            <w:hideMark/>
          </w:tcPr>
          <w:p w14:paraId="19FBB4A3" w14:textId="77777777" w:rsidR="00451912" w:rsidRPr="00451912" w:rsidRDefault="00451912" w:rsidP="00451912">
            <w:pPr>
              <w:jc w:val="both"/>
              <w:rPr>
                <w:rFonts w:ascii="Garamond" w:hAnsi="Garamond"/>
                <w:b/>
                <w:bCs/>
                <w:iCs/>
                <w:sz w:val="20"/>
                <w:szCs w:val="20"/>
              </w:rPr>
            </w:pPr>
            <w:r w:rsidRPr="00451912">
              <w:rPr>
                <w:rFonts w:ascii="Garamond" w:hAnsi="Garamond"/>
                <w:b/>
                <w:bCs/>
                <w:iCs/>
                <w:sz w:val="20"/>
                <w:szCs w:val="20"/>
              </w:rPr>
              <w:t xml:space="preserve">Variable </w:t>
            </w:r>
          </w:p>
        </w:tc>
        <w:tc>
          <w:tcPr>
            <w:tcW w:w="1225" w:type="dxa"/>
            <w:tcBorders>
              <w:top w:val="single" w:sz="4" w:space="0" w:color="auto"/>
              <w:left w:val="nil"/>
              <w:bottom w:val="single" w:sz="4" w:space="0" w:color="auto"/>
              <w:right w:val="nil"/>
            </w:tcBorders>
            <w:noWrap/>
            <w:vAlign w:val="bottom"/>
            <w:hideMark/>
          </w:tcPr>
          <w:p w14:paraId="684DA07D" w14:textId="77777777" w:rsidR="00451912" w:rsidRPr="00451912" w:rsidRDefault="00451912" w:rsidP="00451912">
            <w:pPr>
              <w:jc w:val="both"/>
              <w:rPr>
                <w:rFonts w:ascii="Garamond" w:hAnsi="Garamond"/>
                <w:b/>
                <w:bCs/>
                <w:iCs/>
                <w:sz w:val="20"/>
                <w:szCs w:val="20"/>
              </w:rPr>
            </w:pPr>
            <w:r w:rsidRPr="00451912">
              <w:rPr>
                <w:rFonts w:ascii="Garamond" w:hAnsi="Garamond"/>
                <w:b/>
                <w:bCs/>
                <w:iCs/>
                <w:sz w:val="20"/>
                <w:szCs w:val="20"/>
              </w:rPr>
              <w:t>Frequency n=241</w:t>
            </w:r>
          </w:p>
        </w:tc>
        <w:tc>
          <w:tcPr>
            <w:tcW w:w="1215" w:type="dxa"/>
            <w:tcBorders>
              <w:top w:val="single" w:sz="4" w:space="0" w:color="auto"/>
              <w:left w:val="nil"/>
              <w:bottom w:val="single" w:sz="4" w:space="0" w:color="auto"/>
              <w:right w:val="nil"/>
            </w:tcBorders>
            <w:noWrap/>
            <w:vAlign w:val="bottom"/>
            <w:hideMark/>
          </w:tcPr>
          <w:p w14:paraId="0512BBFF" w14:textId="77777777" w:rsidR="00451912" w:rsidRPr="00451912" w:rsidRDefault="00451912" w:rsidP="00451912">
            <w:pPr>
              <w:jc w:val="both"/>
              <w:rPr>
                <w:rFonts w:ascii="Garamond" w:hAnsi="Garamond"/>
                <w:b/>
                <w:bCs/>
                <w:iCs/>
                <w:sz w:val="20"/>
                <w:szCs w:val="20"/>
              </w:rPr>
            </w:pPr>
            <w:r w:rsidRPr="00451912">
              <w:rPr>
                <w:rFonts w:ascii="Garamond" w:hAnsi="Garamond"/>
                <w:b/>
                <w:bCs/>
                <w:iCs/>
                <w:sz w:val="20"/>
                <w:szCs w:val="20"/>
              </w:rPr>
              <w:t>Percent</w:t>
            </w:r>
          </w:p>
        </w:tc>
      </w:tr>
      <w:tr w:rsidR="00451912" w:rsidRPr="00451912" w14:paraId="323C46D6" w14:textId="77777777" w:rsidTr="00451912">
        <w:tc>
          <w:tcPr>
            <w:tcW w:w="1715" w:type="dxa"/>
            <w:noWrap/>
            <w:vAlign w:val="bottom"/>
            <w:hideMark/>
          </w:tcPr>
          <w:p w14:paraId="60D65648" w14:textId="77777777" w:rsidR="00451912" w:rsidRPr="00451912" w:rsidRDefault="00451912" w:rsidP="00451912">
            <w:pPr>
              <w:jc w:val="both"/>
              <w:rPr>
                <w:rFonts w:ascii="Garamond" w:hAnsi="Garamond"/>
                <w:b/>
                <w:bCs/>
                <w:iCs/>
                <w:sz w:val="20"/>
                <w:szCs w:val="20"/>
              </w:rPr>
            </w:pPr>
            <w:r w:rsidRPr="00451912">
              <w:rPr>
                <w:rFonts w:ascii="Garamond" w:hAnsi="Garamond"/>
                <w:b/>
                <w:bCs/>
                <w:iCs/>
                <w:sz w:val="20"/>
                <w:szCs w:val="20"/>
              </w:rPr>
              <w:t>Age group</w:t>
            </w:r>
          </w:p>
        </w:tc>
        <w:tc>
          <w:tcPr>
            <w:tcW w:w="1225" w:type="dxa"/>
            <w:noWrap/>
            <w:vAlign w:val="bottom"/>
            <w:hideMark/>
          </w:tcPr>
          <w:p w14:paraId="19B8F81A" w14:textId="77777777" w:rsidR="00451912" w:rsidRPr="00451912" w:rsidRDefault="00451912" w:rsidP="00451912">
            <w:pPr>
              <w:jc w:val="both"/>
              <w:rPr>
                <w:rFonts w:ascii="Garamond" w:hAnsi="Garamond"/>
                <w:b/>
                <w:bCs/>
                <w:iCs/>
                <w:sz w:val="20"/>
                <w:szCs w:val="20"/>
              </w:rPr>
            </w:pPr>
          </w:p>
        </w:tc>
        <w:tc>
          <w:tcPr>
            <w:tcW w:w="1215" w:type="dxa"/>
            <w:noWrap/>
            <w:vAlign w:val="bottom"/>
            <w:hideMark/>
          </w:tcPr>
          <w:p w14:paraId="6812BF28" w14:textId="77777777" w:rsidR="00451912" w:rsidRPr="00451912" w:rsidRDefault="00451912" w:rsidP="00451912">
            <w:pPr>
              <w:jc w:val="both"/>
              <w:rPr>
                <w:rFonts w:ascii="Garamond" w:hAnsi="Garamond"/>
                <w:bCs/>
                <w:iCs/>
                <w:sz w:val="20"/>
                <w:szCs w:val="20"/>
              </w:rPr>
            </w:pPr>
          </w:p>
        </w:tc>
      </w:tr>
      <w:tr w:rsidR="00451912" w:rsidRPr="00451912" w14:paraId="58E4B7B6" w14:textId="77777777" w:rsidTr="00451912">
        <w:tc>
          <w:tcPr>
            <w:tcW w:w="1715" w:type="dxa"/>
            <w:noWrap/>
            <w:vAlign w:val="bottom"/>
            <w:hideMark/>
          </w:tcPr>
          <w:p w14:paraId="4D764965"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≤20</w:t>
            </w:r>
          </w:p>
        </w:tc>
        <w:tc>
          <w:tcPr>
            <w:tcW w:w="1225" w:type="dxa"/>
            <w:noWrap/>
            <w:vAlign w:val="bottom"/>
            <w:hideMark/>
          </w:tcPr>
          <w:p w14:paraId="4DEA96BC"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12</w:t>
            </w:r>
          </w:p>
        </w:tc>
        <w:tc>
          <w:tcPr>
            <w:tcW w:w="1215" w:type="dxa"/>
            <w:noWrap/>
            <w:vAlign w:val="bottom"/>
            <w:hideMark/>
          </w:tcPr>
          <w:p w14:paraId="3BA58B7B"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5</w:t>
            </w:r>
          </w:p>
        </w:tc>
      </w:tr>
      <w:tr w:rsidR="00451912" w:rsidRPr="00451912" w14:paraId="0C909A3E" w14:textId="77777777" w:rsidTr="00451912">
        <w:tc>
          <w:tcPr>
            <w:tcW w:w="1715" w:type="dxa"/>
            <w:noWrap/>
            <w:vAlign w:val="bottom"/>
            <w:hideMark/>
          </w:tcPr>
          <w:p w14:paraId="5968ACA3"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21-30</w:t>
            </w:r>
          </w:p>
        </w:tc>
        <w:tc>
          <w:tcPr>
            <w:tcW w:w="1225" w:type="dxa"/>
            <w:noWrap/>
            <w:vAlign w:val="bottom"/>
            <w:hideMark/>
          </w:tcPr>
          <w:p w14:paraId="1FB3DC28"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15</w:t>
            </w:r>
          </w:p>
        </w:tc>
        <w:tc>
          <w:tcPr>
            <w:tcW w:w="1215" w:type="dxa"/>
            <w:noWrap/>
            <w:vAlign w:val="bottom"/>
            <w:hideMark/>
          </w:tcPr>
          <w:p w14:paraId="5211B66F"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6.2</w:t>
            </w:r>
          </w:p>
        </w:tc>
      </w:tr>
      <w:tr w:rsidR="00451912" w:rsidRPr="00451912" w14:paraId="6149E85B" w14:textId="77777777" w:rsidTr="00451912">
        <w:tc>
          <w:tcPr>
            <w:tcW w:w="1715" w:type="dxa"/>
            <w:noWrap/>
            <w:vAlign w:val="bottom"/>
            <w:hideMark/>
          </w:tcPr>
          <w:p w14:paraId="2279EECD"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31-40</w:t>
            </w:r>
          </w:p>
        </w:tc>
        <w:tc>
          <w:tcPr>
            <w:tcW w:w="1225" w:type="dxa"/>
            <w:noWrap/>
            <w:vAlign w:val="bottom"/>
            <w:hideMark/>
          </w:tcPr>
          <w:p w14:paraId="3ACB03BE"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36</w:t>
            </w:r>
          </w:p>
        </w:tc>
        <w:tc>
          <w:tcPr>
            <w:tcW w:w="1215" w:type="dxa"/>
            <w:noWrap/>
            <w:vAlign w:val="bottom"/>
            <w:hideMark/>
          </w:tcPr>
          <w:p w14:paraId="195B5EA0"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14.9</w:t>
            </w:r>
          </w:p>
        </w:tc>
      </w:tr>
      <w:tr w:rsidR="00451912" w:rsidRPr="00451912" w14:paraId="1E0BCE74" w14:textId="77777777" w:rsidTr="00451912">
        <w:tc>
          <w:tcPr>
            <w:tcW w:w="1715" w:type="dxa"/>
            <w:noWrap/>
            <w:vAlign w:val="bottom"/>
            <w:hideMark/>
          </w:tcPr>
          <w:p w14:paraId="6B63C8CB"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41-50</w:t>
            </w:r>
          </w:p>
        </w:tc>
        <w:tc>
          <w:tcPr>
            <w:tcW w:w="1225" w:type="dxa"/>
            <w:noWrap/>
            <w:vAlign w:val="bottom"/>
            <w:hideMark/>
          </w:tcPr>
          <w:p w14:paraId="6E1AF680"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73</w:t>
            </w:r>
          </w:p>
        </w:tc>
        <w:tc>
          <w:tcPr>
            <w:tcW w:w="1215" w:type="dxa"/>
            <w:noWrap/>
            <w:vAlign w:val="bottom"/>
            <w:hideMark/>
          </w:tcPr>
          <w:p w14:paraId="1B6F75ED"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30.3</w:t>
            </w:r>
          </w:p>
        </w:tc>
      </w:tr>
      <w:tr w:rsidR="00451912" w:rsidRPr="00451912" w14:paraId="127ECB76" w14:textId="77777777" w:rsidTr="00451912">
        <w:tc>
          <w:tcPr>
            <w:tcW w:w="1715" w:type="dxa"/>
            <w:noWrap/>
            <w:vAlign w:val="bottom"/>
            <w:hideMark/>
          </w:tcPr>
          <w:p w14:paraId="45FC0B50"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51-60</w:t>
            </w:r>
          </w:p>
        </w:tc>
        <w:tc>
          <w:tcPr>
            <w:tcW w:w="1225" w:type="dxa"/>
            <w:noWrap/>
            <w:vAlign w:val="bottom"/>
            <w:hideMark/>
          </w:tcPr>
          <w:p w14:paraId="714AC75D"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66</w:t>
            </w:r>
          </w:p>
        </w:tc>
        <w:tc>
          <w:tcPr>
            <w:tcW w:w="1215" w:type="dxa"/>
            <w:noWrap/>
            <w:vAlign w:val="bottom"/>
            <w:hideMark/>
          </w:tcPr>
          <w:p w14:paraId="5CCF29AD"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27.4</w:t>
            </w:r>
          </w:p>
        </w:tc>
      </w:tr>
      <w:tr w:rsidR="00451912" w:rsidRPr="00451912" w14:paraId="7936FDD6" w14:textId="77777777" w:rsidTr="00451912">
        <w:tc>
          <w:tcPr>
            <w:tcW w:w="1715" w:type="dxa"/>
            <w:noWrap/>
            <w:vAlign w:val="bottom"/>
            <w:hideMark/>
          </w:tcPr>
          <w:p w14:paraId="255019C7"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&gt;60</w:t>
            </w:r>
          </w:p>
        </w:tc>
        <w:tc>
          <w:tcPr>
            <w:tcW w:w="1225" w:type="dxa"/>
            <w:noWrap/>
            <w:vAlign w:val="bottom"/>
            <w:hideMark/>
          </w:tcPr>
          <w:p w14:paraId="0CF9ABB5"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39</w:t>
            </w:r>
          </w:p>
        </w:tc>
        <w:tc>
          <w:tcPr>
            <w:tcW w:w="1215" w:type="dxa"/>
            <w:noWrap/>
            <w:vAlign w:val="bottom"/>
            <w:hideMark/>
          </w:tcPr>
          <w:p w14:paraId="613CEC02"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16.2</w:t>
            </w:r>
          </w:p>
        </w:tc>
      </w:tr>
      <w:tr w:rsidR="00451912" w:rsidRPr="00451912" w14:paraId="272AAC2D" w14:textId="77777777" w:rsidTr="00451912">
        <w:tc>
          <w:tcPr>
            <w:tcW w:w="1715" w:type="dxa"/>
            <w:noWrap/>
            <w:vAlign w:val="bottom"/>
            <w:hideMark/>
          </w:tcPr>
          <w:p w14:paraId="4DB4F746" w14:textId="77777777" w:rsidR="00451912" w:rsidRPr="00451912" w:rsidRDefault="00451912" w:rsidP="00451912">
            <w:pPr>
              <w:jc w:val="both"/>
              <w:rPr>
                <w:rFonts w:ascii="Garamond" w:hAnsi="Garamond"/>
                <w:b/>
                <w:bCs/>
                <w:iCs/>
                <w:sz w:val="20"/>
                <w:szCs w:val="20"/>
              </w:rPr>
            </w:pPr>
            <w:r w:rsidRPr="00451912">
              <w:rPr>
                <w:rFonts w:ascii="Garamond" w:hAnsi="Garamond"/>
                <w:b/>
                <w:bCs/>
                <w:iCs/>
                <w:sz w:val="20"/>
                <w:szCs w:val="20"/>
              </w:rPr>
              <w:t>Sex</w:t>
            </w:r>
          </w:p>
        </w:tc>
        <w:tc>
          <w:tcPr>
            <w:tcW w:w="1225" w:type="dxa"/>
            <w:noWrap/>
            <w:vAlign w:val="bottom"/>
            <w:hideMark/>
          </w:tcPr>
          <w:p w14:paraId="327F0E13" w14:textId="77777777" w:rsidR="00451912" w:rsidRPr="00451912" w:rsidRDefault="00451912" w:rsidP="00451912">
            <w:pPr>
              <w:jc w:val="both"/>
              <w:rPr>
                <w:rFonts w:ascii="Garamond" w:hAnsi="Garamond"/>
                <w:b/>
                <w:bCs/>
                <w:iCs/>
                <w:sz w:val="20"/>
                <w:szCs w:val="20"/>
              </w:rPr>
            </w:pPr>
          </w:p>
        </w:tc>
        <w:tc>
          <w:tcPr>
            <w:tcW w:w="1215" w:type="dxa"/>
            <w:noWrap/>
            <w:vAlign w:val="bottom"/>
            <w:hideMark/>
          </w:tcPr>
          <w:p w14:paraId="4F4BB9FB" w14:textId="77777777" w:rsidR="00451912" w:rsidRPr="00451912" w:rsidRDefault="00451912" w:rsidP="00451912">
            <w:pPr>
              <w:jc w:val="both"/>
              <w:rPr>
                <w:rFonts w:ascii="Garamond" w:hAnsi="Garamond"/>
                <w:bCs/>
                <w:iCs/>
                <w:sz w:val="20"/>
                <w:szCs w:val="20"/>
              </w:rPr>
            </w:pPr>
          </w:p>
        </w:tc>
      </w:tr>
      <w:tr w:rsidR="00451912" w:rsidRPr="00451912" w14:paraId="6662D855" w14:textId="77777777" w:rsidTr="00451912">
        <w:tc>
          <w:tcPr>
            <w:tcW w:w="1715" w:type="dxa"/>
            <w:noWrap/>
            <w:vAlign w:val="bottom"/>
            <w:hideMark/>
          </w:tcPr>
          <w:p w14:paraId="2B1BF398"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Male</w:t>
            </w:r>
          </w:p>
        </w:tc>
        <w:tc>
          <w:tcPr>
            <w:tcW w:w="1225" w:type="dxa"/>
            <w:noWrap/>
            <w:vAlign w:val="bottom"/>
            <w:hideMark/>
          </w:tcPr>
          <w:p w14:paraId="6A5CDF5D"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160</w:t>
            </w:r>
          </w:p>
        </w:tc>
        <w:tc>
          <w:tcPr>
            <w:tcW w:w="1215" w:type="dxa"/>
            <w:noWrap/>
            <w:vAlign w:val="bottom"/>
            <w:hideMark/>
          </w:tcPr>
          <w:p w14:paraId="07F1E820"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66.4</w:t>
            </w:r>
          </w:p>
        </w:tc>
      </w:tr>
      <w:tr w:rsidR="00451912" w:rsidRPr="00451912" w14:paraId="49D8AFAA" w14:textId="77777777" w:rsidTr="00451912">
        <w:tc>
          <w:tcPr>
            <w:tcW w:w="1715" w:type="dxa"/>
            <w:noWrap/>
            <w:vAlign w:val="bottom"/>
            <w:hideMark/>
          </w:tcPr>
          <w:p w14:paraId="7912245E"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Female</w:t>
            </w:r>
          </w:p>
        </w:tc>
        <w:tc>
          <w:tcPr>
            <w:tcW w:w="1225" w:type="dxa"/>
            <w:noWrap/>
            <w:vAlign w:val="bottom"/>
            <w:hideMark/>
          </w:tcPr>
          <w:p w14:paraId="480A3524"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81</w:t>
            </w:r>
          </w:p>
        </w:tc>
        <w:tc>
          <w:tcPr>
            <w:tcW w:w="1215" w:type="dxa"/>
            <w:noWrap/>
            <w:vAlign w:val="bottom"/>
            <w:hideMark/>
          </w:tcPr>
          <w:p w14:paraId="4AA57DD2"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33.6</w:t>
            </w:r>
          </w:p>
        </w:tc>
      </w:tr>
      <w:tr w:rsidR="00451912" w:rsidRPr="00451912" w14:paraId="340EA42F" w14:textId="77777777" w:rsidTr="00451912">
        <w:tc>
          <w:tcPr>
            <w:tcW w:w="1715" w:type="dxa"/>
            <w:noWrap/>
            <w:vAlign w:val="bottom"/>
            <w:hideMark/>
          </w:tcPr>
          <w:p w14:paraId="18D7E673" w14:textId="77777777" w:rsidR="00451912" w:rsidRPr="00451912" w:rsidRDefault="00451912" w:rsidP="00451912">
            <w:pPr>
              <w:jc w:val="both"/>
              <w:rPr>
                <w:rFonts w:ascii="Garamond" w:hAnsi="Garamond"/>
                <w:b/>
                <w:bCs/>
                <w:iCs/>
                <w:sz w:val="20"/>
                <w:szCs w:val="20"/>
              </w:rPr>
            </w:pPr>
            <w:r w:rsidRPr="00451912">
              <w:rPr>
                <w:rFonts w:ascii="Garamond" w:hAnsi="Garamond"/>
                <w:b/>
                <w:bCs/>
                <w:iCs/>
                <w:sz w:val="20"/>
                <w:szCs w:val="20"/>
              </w:rPr>
              <w:t>Education</w:t>
            </w:r>
          </w:p>
        </w:tc>
        <w:tc>
          <w:tcPr>
            <w:tcW w:w="1225" w:type="dxa"/>
            <w:noWrap/>
            <w:vAlign w:val="bottom"/>
            <w:hideMark/>
          </w:tcPr>
          <w:p w14:paraId="2DB08D84" w14:textId="77777777" w:rsidR="00451912" w:rsidRPr="00451912" w:rsidRDefault="00451912" w:rsidP="00451912">
            <w:pPr>
              <w:jc w:val="both"/>
              <w:rPr>
                <w:rFonts w:ascii="Garamond" w:hAnsi="Garamond"/>
                <w:b/>
                <w:bCs/>
                <w:iCs/>
                <w:sz w:val="20"/>
                <w:szCs w:val="20"/>
              </w:rPr>
            </w:pPr>
          </w:p>
        </w:tc>
        <w:tc>
          <w:tcPr>
            <w:tcW w:w="1215" w:type="dxa"/>
            <w:noWrap/>
            <w:vAlign w:val="bottom"/>
            <w:hideMark/>
          </w:tcPr>
          <w:p w14:paraId="6931BC38" w14:textId="77777777" w:rsidR="00451912" w:rsidRPr="00451912" w:rsidRDefault="00451912" w:rsidP="00451912">
            <w:pPr>
              <w:jc w:val="both"/>
              <w:rPr>
                <w:rFonts w:ascii="Garamond" w:hAnsi="Garamond"/>
                <w:bCs/>
                <w:iCs/>
                <w:sz w:val="20"/>
                <w:szCs w:val="20"/>
              </w:rPr>
            </w:pPr>
          </w:p>
        </w:tc>
      </w:tr>
      <w:tr w:rsidR="00451912" w:rsidRPr="00451912" w14:paraId="3B2FF530" w14:textId="77777777" w:rsidTr="00451912">
        <w:tc>
          <w:tcPr>
            <w:tcW w:w="1715" w:type="dxa"/>
            <w:noWrap/>
            <w:vAlign w:val="bottom"/>
            <w:hideMark/>
          </w:tcPr>
          <w:p w14:paraId="30BD71DF"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None</w:t>
            </w:r>
          </w:p>
        </w:tc>
        <w:tc>
          <w:tcPr>
            <w:tcW w:w="1225" w:type="dxa"/>
            <w:noWrap/>
            <w:vAlign w:val="bottom"/>
            <w:hideMark/>
          </w:tcPr>
          <w:p w14:paraId="6EC646D5"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6</w:t>
            </w:r>
          </w:p>
        </w:tc>
        <w:tc>
          <w:tcPr>
            <w:tcW w:w="1215" w:type="dxa"/>
            <w:noWrap/>
            <w:vAlign w:val="bottom"/>
            <w:hideMark/>
          </w:tcPr>
          <w:p w14:paraId="47985CE1"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2.5</w:t>
            </w:r>
          </w:p>
        </w:tc>
      </w:tr>
      <w:tr w:rsidR="00451912" w:rsidRPr="00451912" w14:paraId="37AAA733" w14:textId="77777777" w:rsidTr="00451912">
        <w:tc>
          <w:tcPr>
            <w:tcW w:w="1715" w:type="dxa"/>
            <w:noWrap/>
            <w:vAlign w:val="bottom"/>
            <w:hideMark/>
          </w:tcPr>
          <w:p w14:paraId="39DDF6EC"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Primary</w:t>
            </w:r>
          </w:p>
        </w:tc>
        <w:tc>
          <w:tcPr>
            <w:tcW w:w="1225" w:type="dxa"/>
            <w:noWrap/>
            <w:vAlign w:val="bottom"/>
            <w:hideMark/>
          </w:tcPr>
          <w:p w14:paraId="13569653"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15</w:t>
            </w:r>
          </w:p>
        </w:tc>
        <w:tc>
          <w:tcPr>
            <w:tcW w:w="1215" w:type="dxa"/>
            <w:noWrap/>
            <w:vAlign w:val="bottom"/>
            <w:hideMark/>
          </w:tcPr>
          <w:p w14:paraId="7BD1B8C7"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6.2</w:t>
            </w:r>
          </w:p>
        </w:tc>
      </w:tr>
      <w:tr w:rsidR="00451912" w:rsidRPr="00451912" w14:paraId="1449E55A" w14:textId="77777777" w:rsidTr="00451912">
        <w:tc>
          <w:tcPr>
            <w:tcW w:w="1715" w:type="dxa"/>
            <w:noWrap/>
            <w:vAlign w:val="bottom"/>
            <w:hideMark/>
          </w:tcPr>
          <w:p w14:paraId="28DD2193"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Secondary</w:t>
            </w:r>
          </w:p>
        </w:tc>
        <w:tc>
          <w:tcPr>
            <w:tcW w:w="1225" w:type="dxa"/>
            <w:noWrap/>
            <w:vAlign w:val="bottom"/>
            <w:hideMark/>
          </w:tcPr>
          <w:p w14:paraId="465DDA45"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101</w:t>
            </w:r>
          </w:p>
        </w:tc>
        <w:tc>
          <w:tcPr>
            <w:tcW w:w="1215" w:type="dxa"/>
            <w:noWrap/>
            <w:vAlign w:val="bottom"/>
            <w:hideMark/>
          </w:tcPr>
          <w:p w14:paraId="198B690D"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41.9</w:t>
            </w:r>
          </w:p>
        </w:tc>
      </w:tr>
      <w:tr w:rsidR="00451912" w:rsidRPr="00451912" w14:paraId="328013DB" w14:textId="77777777" w:rsidTr="00451912">
        <w:tc>
          <w:tcPr>
            <w:tcW w:w="1715" w:type="dxa"/>
            <w:noWrap/>
            <w:vAlign w:val="bottom"/>
            <w:hideMark/>
          </w:tcPr>
          <w:p w14:paraId="71F06810"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 xml:space="preserve">Tertiary </w:t>
            </w:r>
          </w:p>
        </w:tc>
        <w:tc>
          <w:tcPr>
            <w:tcW w:w="1225" w:type="dxa"/>
            <w:noWrap/>
            <w:vAlign w:val="bottom"/>
            <w:hideMark/>
          </w:tcPr>
          <w:p w14:paraId="2ED51AC2"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119</w:t>
            </w:r>
          </w:p>
        </w:tc>
        <w:tc>
          <w:tcPr>
            <w:tcW w:w="1215" w:type="dxa"/>
            <w:noWrap/>
            <w:vAlign w:val="bottom"/>
            <w:hideMark/>
          </w:tcPr>
          <w:p w14:paraId="40706283"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49.4</w:t>
            </w:r>
          </w:p>
        </w:tc>
      </w:tr>
      <w:tr w:rsidR="00451912" w:rsidRPr="00451912" w14:paraId="0D1364C2" w14:textId="77777777" w:rsidTr="00451912">
        <w:tc>
          <w:tcPr>
            <w:tcW w:w="1715" w:type="dxa"/>
            <w:noWrap/>
            <w:vAlign w:val="bottom"/>
            <w:hideMark/>
          </w:tcPr>
          <w:p w14:paraId="76869158" w14:textId="77777777" w:rsidR="00451912" w:rsidRPr="00451912" w:rsidRDefault="00451912" w:rsidP="00451912">
            <w:pPr>
              <w:jc w:val="both"/>
              <w:rPr>
                <w:rFonts w:ascii="Garamond" w:hAnsi="Garamond"/>
                <w:b/>
                <w:bCs/>
                <w:iCs/>
                <w:sz w:val="20"/>
                <w:szCs w:val="20"/>
              </w:rPr>
            </w:pPr>
            <w:r w:rsidRPr="00451912">
              <w:rPr>
                <w:rFonts w:ascii="Garamond" w:hAnsi="Garamond"/>
                <w:b/>
                <w:bCs/>
                <w:iCs/>
                <w:sz w:val="20"/>
                <w:szCs w:val="20"/>
              </w:rPr>
              <w:t>Religion</w:t>
            </w:r>
          </w:p>
        </w:tc>
        <w:tc>
          <w:tcPr>
            <w:tcW w:w="1225" w:type="dxa"/>
            <w:noWrap/>
            <w:vAlign w:val="bottom"/>
            <w:hideMark/>
          </w:tcPr>
          <w:p w14:paraId="2382E68A" w14:textId="77777777" w:rsidR="00451912" w:rsidRPr="00451912" w:rsidRDefault="00451912" w:rsidP="00451912">
            <w:pPr>
              <w:jc w:val="both"/>
              <w:rPr>
                <w:rFonts w:ascii="Garamond" w:hAnsi="Garamond"/>
                <w:b/>
                <w:bCs/>
                <w:iCs/>
                <w:sz w:val="20"/>
                <w:szCs w:val="20"/>
              </w:rPr>
            </w:pPr>
          </w:p>
        </w:tc>
        <w:tc>
          <w:tcPr>
            <w:tcW w:w="1215" w:type="dxa"/>
            <w:noWrap/>
            <w:vAlign w:val="bottom"/>
            <w:hideMark/>
          </w:tcPr>
          <w:p w14:paraId="6FD3027D" w14:textId="77777777" w:rsidR="00451912" w:rsidRPr="00451912" w:rsidRDefault="00451912" w:rsidP="00451912">
            <w:pPr>
              <w:jc w:val="both"/>
              <w:rPr>
                <w:rFonts w:ascii="Garamond" w:hAnsi="Garamond"/>
                <w:bCs/>
                <w:iCs/>
                <w:sz w:val="20"/>
                <w:szCs w:val="20"/>
              </w:rPr>
            </w:pPr>
          </w:p>
        </w:tc>
      </w:tr>
      <w:tr w:rsidR="00451912" w:rsidRPr="00451912" w14:paraId="0EE4D542" w14:textId="77777777" w:rsidTr="00451912">
        <w:tc>
          <w:tcPr>
            <w:tcW w:w="1715" w:type="dxa"/>
            <w:noWrap/>
            <w:vAlign w:val="bottom"/>
            <w:hideMark/>
          </w:tcPr>
          <w:p w14:paraId="3C0D16F5"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Christian</w:t>
            </w:r>
          </w:p>
        </w:tc>
        <w:tc>
          <w:tcPr>
            <w:tcW w:w="1225" w:type="dxa"/>
            <w:noWrap/>
            <w:vAlign w:val="bottom"/>
            <w:hideMark/>
          </w:tcPr>
          <w:p w14:paraId="5D367C7C"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223</w:t>
            </w:r>
          </w:p>
        </w:tc>
        <w:tc>
          <w:tcPr>
            <w:tcW w:w="1215" w:type="dxa"/>
            <w:noWrap/>
            <w:vAlign w:val="bottom"/>
            <w:hideMark/>
          </w:tcPr>
          <w:p w14:paraId="0E5285D4"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92.5</w:t>
            </w:r>
          </w:p>
        </w:tc>
      </w:tr>
      <w:tr w:rsidR="00451912" w:rsidRPr="00451912" w14:paraId="2598553E" w14:textId="77777777" w:rsidTr="00451912">
        <w:tc>
          <w:tcPr>
            <w:tcW w:w="1715" w:type="dxa"/>
            <w:noWrap/>
            <w:vAlign w:val="bottom"/>
            <w:hideMark/>
          </w:tcPr>
          <w:p w14:paraId="7BD60423"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Islam</w:t>
            </w:r>
          </w:p>
        </w:tc>
        <w:tc>
          <w:tcPr>
            <w:tcW w:w="1225" w:type="dxa"/>
            <w:noWrap/>
            <w:vAlign w:val="bottom"/>
            <w:hideMark/>
          </w:tcPr>
          <w:p w14:paraId="5C69B7A3"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12</w:t>
            </w:r>
          </w:p>
        </w:tc>
        <w:tc>
          <w:tcPr>
            <w:tcW w:w="1215" w:type="dxa"/>
            <w:noWrap/>
            <w:vAlign w:val="bottom"/>
            <w:hideMark/>
          </w:tcPr>
          <w:p w14:paraId="5EB6CB0B"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5</w:t>
            </w:r>
          </w:p>
        </w:tc>
      </w:tr>
      <w:tr w:rsidR="00451912" w:rsidRPr="00451912" w14:paraId="268340BE" w14:textId="77777777" w:rsidTr="00451912">
        <w:tc>
          <w:tcPr>
            <w:tcW w:w="1715" w:type="dxa"/>
            <w:noWrap/>
            <w:vAlign w:val="bottom"/>
            <w:hideMark/>
          </w:tcPr>
          <w:p w14:paraId="600AE2BE"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 xml:space="preserve">Traditional </w:t>
            </w:r>
          </w:p>
        </w:tc>
        <w:tc>
          <w:tcPr>
            <w:tcW w:w="1225" w:type="dxa"/>
            <w:noWrap/>
            <w:vAlign w:val="bottom"/>
            <w:hideMark/>
          </w:tcPr>
          <w:p w14:paraId="1CA98E35"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3</w:t>
            </w:r>
          </w:p>
        </w:tc>
        <w:tc>
          <w:tcPr>
            <w:tcW w:w="1215" w:type="dxa"/>
            <w:noWrap/>
            <w:vAlign w:val="bottom"/>
            <w:hideMark/>
          </w:tcPr>
          <w:p w14:paraId="2FC15269"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1.2</w:t>
            </w:r>
          </w:p>
        </w:tc>
      </w:tr>
      <w:tr w:rsidR="00451912" w:rsidRPr="00451912" w14:paraId="3EB53EA3" w14:textId="77777777" w:rsidTr="00451912">
        <w:tc>
          <w:tcPr>
            <w:tcW w:w="1715" w:type="dxa"/>
            <w:noWrap/>
            <w:vAlign w:val="bottom"/>
            <w:hideMark/>
          </w:tcPr>
          <w:p w14:paraId="14576E27"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 xml:space="preserve">Others </w:t>
            </w:r>
          </w:p>
        </w:tc>
        <w:tc>
          <w:tcPr>
            <w:tcW w:w="1225" w:type="dxa"/>
            <w:noWrap/>
            <w:vAlign w:val="bottom"/>
            <w:hideMark/>
          </w:tcPr>
          <w:p w14:paraId="79297953"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3</w:t>
            </w:r>
          </w:p>
        </w:tc>
        <w:tc>
          <w:tcPr>
            <w:tcW w:w="1215" w:type="dxa"/>
            <w:noWrap/>
            <w:vAlign w:val="bottom"/>
            <w:hideMark/>
          </w:tcPr>
          <w:p w14:paraId="472056F8"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1.2</w:t>
            </w:r>
          </w:p>
        </w:tc>
      </w:tr>
      <w:tr w:rsidR="00451912" w:rsidRPr="00451912" w14:paraId="39914795" w14:textId="77777777" w:rsidTr="00451912">
        <w:tc>
          <w:tcPr>
            <w:tcW w:w="1715" w:type="dxa"/>
            <w:noWrap/>
            <w:vAlign w:val="bottom"/>
            <w:hideMark/>
          </w:tcPr>
          <w:p w14:paraId="4A30C530" w14:textId="77777777" w:rsidR="00451912" w:rsidRPr="00451912" w:rsidRDefault="00451912" w:rsidP="00451912">
            <w:pPr>
              <w:jc w:val="both"/>
              <w:rPr>
                <w:rFonts w:ascii="Garamond" w:hAnsi="Garamond"/>
                <w:b/>
                <w:bCs/>
                <w:iCs/>
                <w:sz w:val="20"/>
                <w:szCs w:val="20"/>
              </w:rPr>
            </w:pPr>
            <w:r w:rsidRPr="00451912">
              <w:rPr>
                <w:rFonts w:ascii="Garamond" w:hAnsi="Garamond"/>
                <w:b/>
                <w:bCs/>
                <w:iCs/>
                <w:sz w:val="20"/>
                <w:szCs w:val="20"/>
              </w:rPr>
              <w:t>Marital Status</w:t>
            </w:r>
          </w:p>
        </w:tc>
        <w:tc>
          <w:tcPr>
            <w:tcW w:w="1225" w:type="dxa"/>
            <w:noWrap/>
            <w:vAlign w:val="bottom"/>
            <w:hideMark/>
          </w:tcPr>
          <w:p w14:paraId="4C099156" w14:textId="77777777" w:rsidR="00451912" w:rsidRPr="00451912" w:rsidRDefault="00451912" w:rsidP="00451912">
            <w:pPr>
              <w:jc w:val="both"/>
              <w:rPr>
                <w:rFonts w:ascii="Garamond" w:hAnsi="Garamond"/>
                <w:b/>
                <w:bCs/>
                <w:iCs/>
                <w:sz w:val="20"/>
                <w:szCs w:val="20"/>
              </w:rPr>
            </w:pPr>
          </w:p>
        </w:tc>
        <w:tc>
          <w:tcPr>
            <w:tcW w:w="1215" w:type="dxa"/>
            <w:noWrap/>
            <w:vAlign w:val="bottom"/>
            <w:hideMark/>
          </w:tcPr>
          <w:p w14:paraId="26197459" w14:textId="77777777" w:rsidR="00451912" w:rsidRPr="00451912" w:rsidRDefault="00451912" w:rsidP="00451912">
            <w:pPr>
              <w:jc w:val="both"/>
              <w:rPr>
                <w:rFonts w:ascii="Garamond" w:hAnsi="Garamond"/>
                <w:bCs/>
                <w:iCs/>
                <w:sz w:val="20"/>
                <w:szCs w:val="20"/>
              </w:rPr>
            </w:pPr>
          </w:p>
        </w:tc>
      </w:tr>
      <w:tr w:rsidR="00451912" w:rsidRPr="00451912" w14:paraId="7ACA64A0" w14:textId="77777777" w:rsidTr="00451912">
        <w:tc>
          <w:tcPr>
            <w:tcW w:w="1715" w:type="dxa"/>
            <w:noWrap/>
            <w:vAlign w:val="bottom"/>
            <w:hideMark/>
          </w:tcPr>
          <w:p w14:paraId="15740363"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Married</w:t>
            </w:r>
          </w:p>
        </w:tc>
        <w:tc>
          <w:tcPr>
            <w:tcW w:w="1225" w:type="dxa"/>
            <w:noWrap/>
            <w:vAlign w:val="bottom"/>
            <w:hideMark/>
          </w:tcPr>
          <w:p w14:paraId="1EB2A1CB"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166</w:t>
            </w:r>
          </w:p>
        </w:tc>
        <w:tc>
          <w:tcPr>
            <w:tcW w:w="1215" w:type="dxa"/>
            <w:noWrap/>
            <w:vAlign w:val="bottom"/>
            <w:hideMark/>
          </w:tcPr>
          <w:p w14:paraId="45F59E65"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68.9</w:t>
            </w:r>
          </w:p>
        </w:tc>
      </w:tr>
      <w:tr w:rsidR="00451912" w:rsidRPr="00451912" w14:paraId="3857D9D8" w14:textId="77777777" w:rsidTr="00451912">
        <w:tc>
          <w:tcPr>
            <w:tcW w:w="1715" w:type="dxa"/>
            <w:noWrap/>
            <w:vAlign w:val="bottom"/>
            <w:hideMark/>
          </w:tcPr>
          <w:p w14:paraId="41834975"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Single</w:t>
            </w:r>
          </w:p>
        </w:tc>
        <w:tc>
          <w:tcPr>
            <w:tcW w:w="1225" w:type="dxa"/>
            <w:noWrap/>
            <w:vAlign w:val="bottom"/>
            <w:hideMark/>
          </w:tcPr>
          <w:p w14:paraId="64A5E6BE"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54</w:t>
            </w:r>
          </w:p>
        </w:tc>
        <w:tc>
          <w:tcPr>
            <w:tcW w:w="1215" w:type="dxa"/>
            <w:noWrap/>
            <w:vAlign w:val="bottom"/>
            <w:hideMark/>
          </w:tcPr>
          <w:p w14:paraId="4B91EDAD"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22.4</w:t>
            </w:r>
          </w:p>
        </w:tc>
      </w:tr>
      <w:tr w:rsidR="00451912" w:rsidRPr="00451912" w14:paraId="44101E9B" w14:textId="77777777" w:rsidTr="00451912">
        <w:tc>
          <w:tcPr>
            <w:tcW w:w="1715" w:type="dxa"/>
            <w:noWrap/>
            <w:vAlign w:val="bottom"/>
            <w:hideMark/>
          </w:tcPr>
          <w:p w14:paraId="1D4CFEB3"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Divorced</w:t>
            </w:r>
          </w:p>
        </w:tc>
        <w:tc>
          <w:tcPr>
            <w:tcW w:w="1225" w:type="dxa"/>
            <w:noWrap/>
            <w:vAlign w:val="bottom"/>
            <w:hideMark/>
          </w:tcPr>
          <w:p w14:paraId="2DD3DA97"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9</w:t>
            </w:r>
          </w:p>
        </w:tc>
        <w:tc>
          <w:tcPr>
            <w:tcW w:w="1215" w:type="dxa"/>
            <w:noWrap/>
            <w:vAlign w:val="bottom"/>
            <w:hideMark/>
          </w:tcPr>
          <w:p w14:paraId="3375AA39"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3.7</w:t>
            </w:r>
          </w:p>
        </w:tc>
      </w:tr>
      <w:tr w:rsidR="00451912" w:rsidRPr="00451912" w14:paraId="29ECEDE2" w14:textId="77777777" w:rsidTr="00451912">
        <w:tc>
          <w:tcPr>
            <w:tcW w:w="1715" w:type="dxa"/>
            <w:noWrap/>
            <w:vAlign w:val="bottom"/>
            <w:hideMark/>
          </w:tcPr>
          <w:p w14:paraId="3972E83E"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Widowed</w:t>
            </w:r>
          </w:p>
        </w:tc>
        <w:tc>
          <w:tcPr>
            <w:tcW w:w="1225" w:type="dxa"/>
            <w:noWrap/>
            <w:vAlign w:val="bottom"/>
            <w:hideMark/>
          </w:tcPr>
          <w:p w14:paraId="08445464"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12</w:t>
            </w:r>
          </w:p>
        </w:tc>
        <w:tc>
          <w:tcPr>
            <w:tcW w:w="1215" w:type="dxa"/>
            <w:noWrap/>
            <w:vAlign w:val="bottom"/>
            <w:hideMark/>
          </w:tcPr>
          <w:p w14:paraId="406626D7"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5</w:t>
            </w:r>
          </w:p>
        </w:tc>
      </w:tr>
      <w:tr w:rsidR="00451912" w:rsidRPr="00451912" w14:paraId="20EE0768" w14:textId="77777777" w:rsidTr="00451912">
        <w:tc>
          <w:tcPr>
            <w:tcW w:w="1715" w:type="dxa"/>
            <w:vAlign w:val="bottom"/>
            <w:hideMark/>
          </w:tcPr>
          <w:p w14:paraId="016EC089" w14:textId="77777777" w:rsidR="00451912" w:rsidRPr="00451912" w:rsidRDefault="00451912" w:rsidP="00451912">
            <w:pPr>
              <w:jc w:val="both"/>
              <w:rPr>
                <w:rFonts w:ascii="Garamond" w:hAnsi="Garamond"/>
                <w:b/>
                <w:bCs/>
                <w:iCs/>
                <w:sz w:val="20"/>
                <w:szCs w:val="20"/>
              </w:rPr>
            </w:pPr>
            <w:r w:rsidRPr="00451912">
              <w:rPr>
                <w:rFonts w:ascii="Garamond" w:hAnsi="Garamond"/>
                <w:b/>
                <w:bCs/>
                <w:iCs/>
                <w:sz w:val="20"/>
                <w:szCs w:val="20"/>
              </w:rPr>
              <w:t>Partners level of education n=166</w:t>
            </w:r>
          </w:p>
        </w:tc>
        <w:tc>
          <w:tcPr>
            <w:tcW w:w="1225" w:type="dxa"/>
            <w:vAlign w:val="bottom"/>
            <w:hideMark/>
          </w:tcPr>
          <w:p w14:paraId="10DCFB8C" w14:textId="77777777" w:rsidR="00451912" w:rsidRPr="00451912" w:rsidRDefault="00451912" w:rsidP="00451912">
            <w:pPr>
              <w:jc w:val="both"/>
              <w:rPr>
                <w:rFonts w:ascii="Garamond" w:hAnsi="Garamond"/>
                <w:b/>
                <w:bCs/>
                <w:iCs/>
                <w:sz w:val="20"/>
                <w:szCs w:val="20"/>
              </w:rPr>
            </w:pPr>
          </w:p>
        </w:tc>
        <w:tc>
          <w:tcPr>
            <w:tcW w:w="1215" w:type="dxa"/>
            <w:vAlign w:val="bottom"/>
            <w:hideMark/>
          </w:tcPr>
          <w:p w14:paraId="08AAF10C" w14:textId="77777777" w:rsidR="00451912" w:rsidRPr="00451912" w:rsidRDefault="00451912" w:rsidP="00451912">
            <w:pPr>
              <w:jc w:val="both"/>
              <w:rPr>
                <w:rFonts w:ascii="Garamond" w:hAnsi="Garamond"/>
                <w:bCs/>
                <w:iCs/>
                <w:sz w:val="20"/>
                <w:szCs w:val="20"/>
              </w:rPr>
            </w:pPr>
          </w:p>
        </w:tc>
      </w:tr>
      <w:tr w:rsidR="00451912" w:rsidRPr="00451912" w14:paraId="7F0B553D" w14:textId="77777777" w:rsidTr="00451912">
        <w:tc>
          <w:tcPr>
            <w:tcW w:w="1715" w:type="dxa"/>
            <w:noWrap/>
            <w:vAlign w:val="bottom"/>
            <w:hideMark/>
          </w:tcPr>
          <w:p w14:paraId="669ED8CA"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None</w:t>
            </w:r>
          </w:p>
        </w:tc>
        <w:tc>
          <w:tcPr>
            <w:tcW w:w="1225" w:type="dxa"/>
            <w:noWrap/>
            <w:vAlign w:val="bottom"/>
            <w:hideMark/>
          </w:tcPr>
          <w:p w14:paraId="76EFA1D2"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6</w:t>
            </w:r>
          </w:p>
        </w:tc>
        <w:tc>
          <w:tcPr>
            <w:tcW w:w="1215" w:type="dxa"/>
            <w:noWrap/>
            <w:vAlign w:val="bottom"/>
            <w:hideMark/>
          </w:tcPr>
          <w:p w14:paraId="621FF51D"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3.6</w:t>
            </w:r>
          </w:p>
        </w:tc>
      </w:tr>
      <w:tr w:rsidR="00451912" w:rsidRPr="00451912" w14:paraId="06B0D684" w14:textId="77777777" w:rsidTr="00451912">
        <w:tc>
          <w:tcPr>
            <w:tcW w:w="1715" w:type="dxa"/>
            <w:noWrap/>
            <w:vAlign w:val="bottom"/>
            <w:hideMark/>
          </w:tcPr>
          <w:p w14:paraId="70D20117"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Primary</w:t>
            </w:r>
          </w:p>
        </w:tc>
        <w:tc>
          <w:tcPr>
            <w:tcW w:w="1225" w:type="dxa"/>
            <w:noWrap/>
            <w:vAlign w:val="bottom"/>
            <w:hideMark/>
          </w:tcPr>
          <w:p w14:paraId="4380B9FB"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17</w:t>
            </w:r>
          </w:p>
        </w:tc>
        <w:tc>
          <w:tcPr>
            <w:tcW w:w="1215" w:type="dxa"/>
            <w:noWrap/>
            <w:vAlign w:val="bottom"/>
            <w:hideMark/>
          </w:tcPr>
          <w:p w14:paraId="3C6B97F1"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10.2</w:t>
            </w:r>
          </w:p>
        </w:tc>
      </w:tr>
      <w:tr w:rsidR="00451912" w:rsidRPr="00451912" w14:paraId="066493A3" w14:textId="77777777" w:rsidTr="00451912">
        <w:tc>
          <w:tcPr>
            <w:tcW w:w="1715" w:type="dxa"/>
            <w:noWrap/>
            <w:vAlign w:val="bottom"/>
            <w:hideMark/>
          </w:tcPr>
          <w:p w14:paraId="492230E3"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Secondary</w:t>
            </w:r>
          </w:p>
        </w:tc>
        <w:tc>
          <w:tcPr>
            <w:tcW w:w="1225" w:type="dxa"/>
            <w:noWrap/>
            <w:vAlign w:val="bottom"/>
            <w:hideMark/>
          </w:tcPr>
          <w:p w14:paraId="3FBA5160"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57</w:t>
            </w:r>
          </w:p>
        </w:tc>
        <w:tc>
          <w:tcPr>
            <w:tcW w:w="1215" w:type="dxa"/>
            <w:noWrap/>
            <w:vAlign w:val="bottom"/>
            <w:hideMark/>
          </w:tcPr>
          <w:p w14:paraId="69D0B2B4"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34.3</w:t>
            </w:r>
          </w:p>
        </w:tc>
      </w:tr>
      <w:tr w:rsidR="00451912" w:rsidRPr="00451912" w14:paraId="517CD445" w14:textId="77777777" w:rsidTr="00451912">
        <w:tc>
          <w:tcPr>
            <w:tcW w:w="1715" w:type="dxa"/>
            <w:noWrap/>
            <w:vAlign w:val="bottom"/>
            <w:hideMark/>
          </w:tcPr>
          <w:p w14:paraId="5B808B70"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 xml:space="preserve">Tertiary </w:t>
            </w:r>
          </w:p>
        </w:tc>
        <w:tc>
          <w:tcPr>
            <w:tcW w:w="1225" w:type="dxa"/>
            <w:noWrap/>
            <w:vAlign w:val="bottom"/>
            <w:hideMark/>
          </w:tcPr>
          <w:p w14:paraId="6D721C81"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86</w:t>
            </w:r>
          </w:p>
        </w:tc>
        <w:tc>
          <w:tcPr>
            <w:tcW w:w="1215" w:type="dxa"/>
            <w:noWrap/>
            <w:vAlign w:val="bottom"/>
            <w:hideMark/>
          </w:tcPr>
          <w:p w14:paraId="4DBC7261"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51.8</w:t>
            </w:r>
          </w:p>
        </w:tc>
      </w:tr>
      <w:tr w:rsidR="00451912" w:rsidRPr="00451912" w14:paraId="668B8B73" w14:textId="77777777" w:rsidTr="00451912">
        <w:tc>
          <w:tcPr>
            <w:tcW w:w="1715" w:type="dxa"/>
            <w:vAlign w:val="bottom"/>
            <w:hideMark/>
          </w:tcPr>
          <w:p w14:paraId="3CE83D86" w14:textId="77777777" w:rsidR="00451912" w:rsidRPr="00451912" w:rsidRDefault="00451912" w:rsidP="00451912">
            <w:pPr>
              <w:jc w:val="both"/>
              <w:rPr>
                <w:rFonts w:ascii="Garamond" w:hAnsi="Garamond"/>
                <w:b/>
                <w:bCs/>
                <w:iCs/>
                <w:sz w:val="20"/>
                <w:szCs w:val="20"/>
              </w:rPr>
            </w:pPr>
            <w:r w:rsidRPr="00451912">
              <w:rPr>
                <w:rFonts w:ascii="Garamond" w:hAnsi="Garamond"/>
                <w:b/>
                <w:bCs/>
                <w:iCs/>
                <w:sz w:val="20"/>
                <w:szCs w:val="20"/>
              </w:rPr>
              <w:t>Employment status</w:t>
            </w:r>
          </w:p>
        </w:tc>
        <w:tc>
          <w:tcPr>
            <w:tcW w:w="1225" w:type="dxa"/>
            <w:vAlign w:val="bottom"/>
            <w:hideMark/>
          </w:tcPr>
          <w:p w14:paraId="348D0B15" w14:textId="77777777" w:rsidR="00451912" w:rsidRPr="00451912" w:rsidRDefault="00451912" w:rsidP="00451912">
            <w:pPr>
              <w:jc w:val="both"/>
              <w:rPr>
                <w:rFonts w:ascii="Garamond" w:hAnsi="Garamond"/>
                <w:b/>
                <w:bCs/>
                <w:iCs/>
                <w:sz w:val="20"/>
                <w:szCs w:val="20"/>
              </w:rPr>
            </w:pPr>
          </w:p>
        </w:tc>
        <w:tc>
          <w:tcPr>
            <w:tcW w:w="1215" w:type="dxa"/>
            <w:vAlign w:val="bottom"/>
            <w:hideMark/>
          </w:tcPr>
          <w:p w14:paraId="21EEF075" w14:textId="77777777" w:rsidR="00451912" w:rsidRPr="00451912" w:rsidRDefault="00451912" w:rsidP="00451912">
            <w:pPr>
              <w:jc w:val="both"/>
              <w:rPr>
                <w:rFonts w:ascii="Garamond" w:hAnsi="Garamond"/>
                <w:bCs/>
                <w:iCs/>
                <w:sz w:val="20"/>
                <w:szCs w:val="20"/>
              </w:rPr>
            </w:pPr>
          </w:p>
        </w:tc>
      </w:tr>
      <w:tr w:rsidR="00451912" w:rsidRPr="00451912" w14:paraId="555ACA98" w14:textId="77777777" w:rsidTr="00451912">
        <w:tc>
          <w:tcPr>
            <w:tcW w:w="1715" w:type="dxa"/>
            <w:noWrap/>
            <w:vAlign w:val="bottom"/>
            <w:hideMark/>
          </w:tcPr>
          <w:p w14:paraId="1271978B"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Employed</w:t>
            </w:r>
          </w:p>
        </w:tc>
        <w:tc>
          <w:tcPr>
            <w:tcW w:w="1225" w:type="dxa"/>
            <w:noWrap/>
            <w:vAlign w:val="bottom"/>
            <w:hideMark/>
          </w:tcPr>
          <w:p w14:paraId="2ACF5E07"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84</w:t>
            </w:r>
          </w:p>
        </w:tc>
        <w:tc>
          <w:tcPr>
            <w:tcW w:w="1215" w:type="dxa"/>
            <w:noWrap/>
            <w:vAlign w:val="bottom"/>
            <w:hideMark/>
          </w:tcPr>
          <w:p w14:paraId="705704A9"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34.9</w:t>
            </w:r>
          </w:p>
        </w:tc>
      </w:tr>
      <w:tr w:rsidR="00451912" w:rsidRPr="00451912" w14:paraId="79CDC892" w14:textId="77777777" w:rsidTr="00451912">
        <w:tc>
          <w:tcPr>
            <w:tcW w:w="1715" w:type="dxa"/>
            <w:noWrap/>
            <w:vAlign w:val="bottom"/>
            <w:hideMark/>
          </w:tcPr>
          <w:p w14:paraId="171B0529"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Self-employed</w:t>
            </w:r>
          </w:p>
        </w:tc>
        <w:tc>
          <w:tcPr>
            <w:tcW w:w="1225" w:type="dxa"/>
            <w:noWrap/>
            <w:vAlign w:val="bottom"/>
            <w:hideMark/>
          </w:tcPr>
          <w:p w14:paraId="02A1A481"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97</w:t>
            </w:r>
          </w:p>
        </w:tc>
        <w:tc>
          <w:tcPr>
            <w:tcW w:w="1215" w:type="dxa"/>
            <w:noWrap/>
            <w:vAlign w:val="bottom"/>
            <w:hideMark/>
          </w:tcPr>
          <w:p w14:paraId="0E309B98"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40.2</w:t>
            </w:r>
          </w:p>
        </w:tc>
      </w:tr>
      <w:tr w:rsidR="00451912" w:rsidRPr="00451912" w14:paraId="0A60FA84" w14:textId="77777777" w:rsidTr="00451912">
        <w:tc>
          <w:tcPr>
            <w:tcW w:w="1715" w:type="dxa"/>
            <w:noWrap/>
            <w:vAlign w:val="bottom"/>
            <w:hideMark/>
          </w:tcPr>
          <w:p w14:paraId="66947C47"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Unemployed</w:t>
            </w:r>
          </w:p>
        </w:tc>
        <w:tc>
          <w:tcPr>
            <w:tcW w:w="1225" w:type="dxa"/>
            <w:noWrap/>
            <w:vAlign w:val="bottom"/>
            <w:hideMark/>
          </w:tcPr>
          <w:p w14:paraId="697097B7"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60</w:t>
            </w:r>
          </w:p>
        </w:tc>
        <w:tc>
          <w:tcPr>
            <w:tcW w:w="1215" w:type="dxa"/>
            <w:noWrap/>
            <w:vAlign w:val="bottom"/>
            <w:hideMark/>
          </w:tcPr>
          <w:p w14:paraId="1F794536"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24.9</w:t>
            </w:r>
          </w:p>
        </w:tc>
      </w:tr>
      <w:tr w:rsidR="00451912" w:rsidRPr="00451912" w14:paraId="640B361A" w14:textId="77777777" w:rsidTr="00451912">
        <w:tc>
          <w:tcPr>
            <w:tcW w:w="1715" w:type="dxa"/>
            <w:noWrap/>
            <w:vAlign w:val="bottom"/>
            <w:hideMark/>
          </w:tcPr>
          <w:p w14:paraId="457761E2" w14:textId="77777777" w:rsidR="00451912" w:rsidRPr="00451912" w:rsidRDefault="00451912" w:rsidP="00451912">
            <w:pPr>
              <w:jc w:val="both"/>
              <w:rPr>
                <w:rFonts w:ascii="Garamond" w:hAnsi="Garamond"/>
                <w:b/>
                <w:bCs/>
                <w:iCs/>
                <w:sz w:val="20"/>
                <w:szCs w:val="20"/>
              </w:rPr>
            </w:pPr>
            <w:r w:rsidRPr="00451912">
              <w:rPr>
                <w:rFonts w:ascii="Garamond" w:hAnsi="Garamond"/>
                <w:b/>
                <w:bCs/>
                <w:iCs/>
                <w:sz w:val="20"/>
                <w:szCs w:val="20"/>
              </w:rPr>
              <w:t>Monthly Income</w:t>
            </w:r>
          </w:p>
        </w:tc>
        <w:tc>
          <w:tcPr>
            <w:tcW w:w="1225" w:type="dxa"/>
            <w:noWrap/>
            <w:vAlign w:val="bottom"/>
            <w:hideMark/>
          </w:tcPr>
          <w:p w14:paraId="0FF30354" w14:textId="77777777" w:rsidR="00451912" w:rsidRPr="00451912" w:rsidRDefault="00451912" w:rsidP="00451912">
            <w:pPr>
              <w:jc w:val="both"/>
              <w:rPr>
                <w:rFonts w:ascii="Garamond" w:hAnsi="Garamond"/>
                <w:b/>
                <w:bCs/>
                <w:iCs/>
                <w:sz w:val="20"/>
                <w:szCs w:val="20"/>
              </w:rPr>
            </w:pPr>
          </w:p>
        </w:tc>
        <w:tc>
          <w:tcPr>
            <w:tcW w:w="1215" w:type="dxa"/>
            <w:noWrap/>
            <w:vAlign w:val="bottom"/>
            <w:hideMark/>
          </w:tcPr>
          <w:p w14:paraId="78D37A64" w14:textId="77777777" w:rsidR="00451912" w:rsidRPr="00451912" w:rsidRDefault="00451912" w:rsidP="00451912">
            <w:pPr>
              <w:jc w:val="both"/>
              <w:rPr>
                <w:rFonts w:ascii="Garamond" w:hAnsi="Garamond"/>
                <w:bCs/>
                <w:iCs/>
                <w:sz w:val="20"/>
                <w:szCs w:val="20"/>
              </w:rPr>
            </w:pPr>
          </w:p>
        </w:tc>
      </w:tr>
      <w:tr w:rsidR="00451912" w:rsidRPr="00451912" w14:paraId="41A231A4" w14:textId="77777777" w:rsidTr="00451912">
        <w:tc>
          <w:tcPr>
            <w:tcW w:w="1715" w:type="dxa"/>
            <w:noWrap/>
            <w:vAlign w:val="bottom"/>
            <w:hideMark/>
          </w:tcPr>
          <w:p w14:paraId="1D277351"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&lt;50.000</w:t>
            </w:r>
          </w:p>
        </w:tc>
        <w:tc>
          <w:tcPr>
            <w:tcW w:w="1225" w:type="dxa"/>
            <w:noWrap/>
            <w:vAlign w:val="bottom"/>
            <w:hideMark/>
          </w:tcPr>
          <w:p w14:paraId="0D7FA52C"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69</w:t>
            </w:r>
          </w:p>
        </w:tc>
        <w:tc>
          <w:tcPr>
            <w:tcW w:w="1215" w:type="dxa"/>
            <w:noWrap/>
            <w:vAlign w:val="bottom"/>
            <w:hideMark/>
          </w:tcPr>
          <w:p w14:paraId="74F04C0B"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28.6</w:t>
            </w:r>
          </w:p>
        </w:tc>
      </w:tr>
      <w:tr w:rsidR="00451912" w:rsidRPr="00451912" w14:paraId="740D9330" w14:textId="77777777" w:rsidTr="00451912">
        <w:tc>
          <w:tcPr>
            <w:tcW w:w="1715" w:type="dxa"/>
            <w:noWrap/>
            <w:vAlign w:val="bottom"/>
            <w:hideMark/>
          </w:tcPr>
          <w:p w14:paraId="06572CEF"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50,001-100,000</w:t>
            </w:r>
          </w:p>
        </w:tc>
        <w:tc>
          <w:tcPr>
            <w:tcW w:w="1225" w:type="dxa"/>
            <w:noWrap/>
            <w:vAlign w:val="bottom"/>
            <w:hideMark/>
          </w:tcPr>
          <w:p w14:paraId="596383D2"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59</w:t>
            </w:r>
          </w:p>
        </w:tc>
        <w:tc>
          <w:tcPr>
            <w:tcW w:w="1215" w:type="dxa"/>
            <w:noWrap/>
            <w:vAlign w:val="bottom"/>
            <w:hideMark/>
          </w:tcPr>
          <w:p w14:paraId="59C4F591"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24.5</w:t>
            </w:r>
          </w:p>
        </w:tc>
      </w:tr>
      <w:tr w:rsidR="00451912" w:rsidRPr="00451912" w14:paraId="49DFD0EA" w14:textId="77777777" w:rsidTr="00451912">
        <w:tc>
          <w:tcPr>
            <w:tcW w:w="1715" w:type="dxa"/>
            <w:noWrap/>
            <w:vAlign w:val="bottom"/>
            <w:hideMark/>
          </w:tcPr>
          <w:p w14:paraId="47D49EA2"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100,001-150,000</w:t>
            </w:r>
          </w:p>
        </w:tc>
        <w:tc>
          <w:tcPr>
            <w:tcW w:w="1225" w:type="dxa"/>
            <w:noWrap/>
            <w:vAlign w:val="bottom"/>
            <w:hideMark/>
          </w:tcPr>
          <w:p w14:paraId="42D692FB"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24</w:t>
            </w:r>
          </w:p>
        </w:tc>
        <w:tc>
          <w:tcPr>
            <w:tcW w:w="1215" w:type="dxa"/>
            <w:noWrap/>
            <w:vAlign w:val="bottom"/>
            <w:hideMark/>
          </w:tcPr>
          <w:p w14:paraId="3CD170C4"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10</w:t>
            </w:r>
          </w:p>
        </w:tc>
      </w:tr>
      <w:tr w:rsidR="00451912" w:rsidRPr="00451912" w14:paraId="5F7618DC" w14:textId="77777777" w:rsidTr="00451912">
        <w:tc>
          <w:tcPr>
            <w:tcW w:w="1715" w:type="dxa"/>
            <w:noWrap/>
            <w:vAlign w:val="bottom"/>
            <w:hideMark/>
          </w:tcPr>
          <w:p w14:paraId="2A5E8650"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150,001-200,000</w:t>
            </w:r>
          </w:p>
        </w:tc>
        <w:tc>
          <w:tcPr>
            <w:tcW w:w="1225" w:type="dxa"/>
            <w:noWrap/>
            <w:vAlign w:val="bottom"/>
            <w:hideMark/>
          </w:tcPr>
          <w:p w14:paraId="075374B9"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33</w:t>
            </w:r>
          </w:p>
        </w:tc>
        <w:tc>
          <w:tcPr>
            <w:tcW w:w="1215" w:type="dxa"/>
            <w:noWrap/>
            <w:vAlign w:val="bottom"/>
            <w:hideMark/>
          </w:tcPr>
          <w:p w14:paraId="27B17F87"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13.7</w:t>
            </w:r>
          </w:p>
        </w:tc>
      </w:tr>
      <w:tr w:rsidR="00451912" w:rsidRPr="00451912" w14:paraId="05779172" w14:textId="77777777" w:rsidTr="00451912">
        <w:tc>
          <w:tcPr>
            <w:tcW w:w="1715" w:type="dxa"/>
            <w:noWrap/>
            <w:vAlign w:val="bottom"/>
            <w:hideMark/>
          </w:tcPr>
          <w:p w14:paraId="50A4A050"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&gt;200,000</w:t>
            </w:r>
          </w:p>
        </w:tc>
        <w:tc>
          <w:tcPr>
            <w:tcW w:w="1225" w:type="dxa"/>
            <w:noWrap/>
            <w:vAlign w:val="bottom"/>
            <w:hideMark/>
          </w:tcPr>
          <w:p w14:paraId="56A70895"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56</w:t>
            </w:r>
          </w:p>
        </w:tc>
        <w:tc>
          <w:tcPr>
            <w:tcW w:w="1215" w:type="dxa"/>
            <w:noWrap/>
            <w:vAlign w:val="bottom"/>
            <w:hideMark/>
          </w:tcPr>
          <w:p w14:paraId="61012F11"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23.2</w:t>
            </w:r>
          </w:p>
        </w:tc>
      </w:tr>
      <w:tr w:rsidR="00451912" w:rsidRPr="00451912" w14:paraId="1BE0F942" w14:textId="77777777" w:rsidTr="00451912">
        <w:tc>
          <w:tcPr>
            <w:tcW w:w="1715" w:type="dxa"/>
            <w:vAlign w:val="bottom"/>
            <w:hideMark/>
          </w:tcPr>
          <w:p w14:paraId="571375F7" w14:textId="77777777" w:rsidR="00451912" w:rsidRPr="00451912" w:rsidRDefault="00451912" w:rsidP="00451912">
            <w:pPr>
              <w:jc w:val="both"/>
              <w:rPr>
                <w:rFonts w:ascii="Garamond" w:hAnsi="Garamond"/>
                <w:b/>
                <w:bCs/>
                <w:iCs/>
                <w:sz w:val="20"/>
                <w:szCs w:val="20"/>
              </w:rPr>
            </w:pPr>
            <w:r w:rsidRPr="00451912">
              <w:rPr>
                <w:rFonts w:ascii="Garamond" w:hAnsi="Garamond"/>
                <w:b/>
                <w:bCs/>
                <w:iCs/>
                <w:sz w:val="20"/>
                <w:szCs w:val="20"/>
              </w:rPr>
              <w:t>Partners monthly Income n=166</w:t>
            </w:r>
          </w:p>
        </w:tc>
        <w:tc>
          <w:tcPr>
            <w:tcW w:w="1225" w:type="dxa"/>
            <w:vAlign w:val="bottom"/>
            <w:hideMark/>
          </w:tcPr>
          <w:p w14:paraId="20A15D5F" w14:textId="77777777" w:rsidR="00451912" w:rsidRPr="00451912" w:rsidRDefault="00451912" w:rsidP="00451912">
            <w:pPr>
              <w:jc w:val="both"/>
              <w:rPr>
                <w:rFonts w:ascii="Garamond" w:hAnsi="Garamond"/>
                <w:b/>
                <w:bCs/>
                <w:iCs/>
                <w:sz w:val="20"/>
                <w:szCs w:val="20"/>
              </w:rPr>
            </w:pPr>
          </w:p>
        </w:tc>
        <w:tc>
          <w:tcPr>
            <w:tcW w:w="1215" w:type="dxa"/>
            <w:vAlign w:val="bottom"/>
            <w:hideMark/>
          </w:tcPr>
          <w:p w14:paraId="6987DAC7" w14:textId="77777777" w:rsidR="00451912" w:rsidRPr="00451912" w:rsidRDefault="00451912" w:rsidP="00451912">
            <w:pPr>
              <w:jc w:val="both"/>
              <w:rPr>
                <w:rFonts w:ascii="Garamond" w:hAnsi="Garamond"/>
                <w:bCs/>
                <w:iCs/>
                <w:sz w:val="20"/>
                <w:szCs w:val="20"/>
              </w:rPr>
            </w:pPr>
          </w:p>
        </w:tc>
      </w:tr>
      <w:tr w:rsidR="00451912" w:rsidRPr="00451912" w14:paraId="40F9E208" w14:textId="77777777" w:rsidTr="00451912">
        <w:tc>
          <w:tcPr>
            <w:tcW w:w="1715" w:type="dxa"/>
            <w:noWrap/>
            <w:vAlign w:val="bottom"/>
            <w:hideMark/>
          </w:tcPr>
          <w:p w14:paraId="20C72136"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&lt;50.000</w:t>
            </w:r>
          </w:p>
        </w:tc>
        <w:tc>
          <w:tcPr>
            <w:tcW w:w="1225" w:type="dxa"/>
            <w:noWrap/>
            <w:vAlign w:val="bottom"/>
            <w:hideMark/>
          </w:tcPr>
          <w:p w14:paraId="1251CBFE"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44</w:t>
            </w:r>
          </w:p>
        </w:tc>
        <w:tc>
          <w:tcPr>
            <w:tcW w:w="1215" w:type="dxa"/>
            <w:noWrap/>
            <w:vAlign w:val="bottom"/>
            <w:hideMark/>
          </w:tcPr>
          <w:p w14:paraId="670B8BAA"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26.5</w:t>
            </w:r>
          </w:p>
        </w:tc>
      </w:tr>
      <w:tr w:rsidR="00451912" w:rsidRPr="00451912" w14:paraId="7D121A9E" w14:textId="77777777" w:rsidTr="00451912">
        <w:tc>
          <w:tcPr>
            <w:tcW w:w="1715" w:type="dxa"/>
            <w:noWrap/>
            <w:vAlign w:val="bottom"/>
            <w:hideMark/>
          </w:tcPr>
          <w:p w14:paraId="4D612E9D"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50,001-100,000</w:t>
            </w:r>
          </w:p>
        </w:tc>
        <w:tc>
          <w:tcPr>
            <w:tcW w:w="1225" w:type="dxa"/>
            <w:noWrap/>
            <w:vAlign w:val="bottom"/>
            <w:hideMark/>
          </w:tcPr>
          <w:p w14:paraId="2446117B"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66</w:t>
            </w:r>
          </w:p>
        </w:tc>
        <w:tc>
          <w:tcPr>
            <w:tcW w:w="1215" w:type="dxa"/>
            <w:noWrap/>
            <w:vAlign w:val="bottom"/>
            <w:hideMark/>
          </w:tcPr>
          <w:p w14:paraId="2F196A5C"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39.8</w:t>
            </w:r>
          </w:p>
        </w:tc>
      </w:tr>
      <w:tr w:rsidR="00451912" w:rsidRPr="00451912" w14:paraId="6DCB38FF" w14:textId="77777777" w:rsidTr="00451912">
        <w:tc>
          <w:tcPr>
            <w:tcW w:w="1715" w:type="dxa"/>
            <w:noWrap/>
            <w:vAlign w:val="bottom"/>
            <w:hideMark/>
          </w:tcPr>
          <w:p w14:paraId="3A941F60"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lastRenderedPageBreak/>
              <w:t>100,001-150,000</w:t>
            </w:r>
          </w:p>
        </w:tc>
        <w:tc>
          <w:tcPr>
            <w:tcW w:w="1225" w:type="dxa"/>
            <w:noWrap/>
            <w:vAlign w:val="bottom"/>
            <w:hideMark/>
          </w:tcPr>
          <w:p w14:paraId="5F848901"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11</w:t>
            </w:r>
          </w:p>
        </w:tc>
        <w:tc>
          <w:tcPr>
            <w:tcW w:w="1215" w:type="dxa"/>
            <w:noWrap/>
            <w:vAlign w:val="bottom"/>
            <w:hideMark/>
          </w:tcPr>
          <w:p w14:paraId="7A88D11D"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6.6</w:t>
            </w:r>
          </w:p>
        </w:tc>
      </w:tr>
      <w:tr w:rsidR="00451912" w:rsidRPr="00451912" w14:paraId="653AFE5C" w14:textId="77777777" w:rsidTr="00451912">
        <w:tc>
          <w:tcPr>
            <w:tcW w:w="1715" w:type="dxa"/>
            <w:noWrap/>
            <w:vAlign w:val="bottom"/>
            <w:hideMark/>
          </w:tcPr>
          <w:p w14:paraId="28568B65"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150,001-200,000</w:t>
            </w:r>
          </w:p>
        </w:tc>
        <w:tc>
          <w:tcPr>
            <w:tcW w:w="1225" w:type="dxa"/>
            <w:noWrap/>
            <w:vAlign w:val="bottom"/>
            <w:hideMark/>
          </w:tcPr>
          <w:p w14:paraId="1B2E65CE"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15</w:t>
            </w:r>
          </w:p>
        </w:tc>
        <w:tc>
          <w:tcPr>
            <w:tcW w:w="1215" w:type="dxa"/>
            <w:noWrap/>
            <w:vAlign w:val="bottom"/>
            <w:hideMark/>
          </w:tcPr>
          <w:p w14:paraId="5E044795"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9</w:t>
            </w:r>
          </w:p>
        </w:tc>
      </w:tr>
      <w:tr w:rsidR="00451912" w:rsidRPr="00451912" w14:paraId="37E1EBBC" w14:textId="77777777" w:rsidTr="00451912">
        <w:tc>
          <w:tcPr>
            <w:tcW w:w="1715" w:type="dxa"/>
            <w:noWrap/>
            <w:vAlign w:val="bottom"/>
            <w:hideMark/>
          </w:tcPr>
          <w:p w14:paraId="233D0A75"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&gt;200,000</w:t>
            </w:r>
          </w:p>
        </w:tc>
        <w:tc>
          <w:tcPr>
            <w:tcW w:w="1225" w:type="dxa"/>
            <w:noWrap/>
            <w:vAlign w:val="bottom"/>
            <w:hideMark/>
          </w:tcPr>
          <w:p w14:paraId="77C6E7B8"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30</w:t>
            </w:r>
          </w:p>
        </w:tc>
        <w:tc>
          <w:tcPr>
            <w:tcW w:w="1215" w:type="dxa"/>
            <w:noWrap/>
            <w:vAlign w:val="bottom"/>
            <w:hideMark/>
          </w:tcPr>
          <w:p w14:paraId="24B4670C"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18.1</w:t>
            </w:r>
          </w:p>
        </w:tc>
      </w:tr>
      <w:tr w:rsidR="00451912" w:rsidRPr="00451912" w14:paraId="4A8E19B5" w14:textId="77777777" w:rsidTr="00451912">
        <w:tc>
          <w:tcPr>
            <w:tcW w:w="1715" w:type="dxa"/>
            <w:noWrap/>
            <w:vAlign w:val="bottom"/>
            <w:hideMark/>
          </w:tcPr>
          <w:p w14:paraId="711D63DC" w14:textId="77777777" w:rsidR="00451912" w:rsidRPr="00451912" w:rsidRDefault="00451912" w:rsidP="00451912">
            <w:pPr>
              <w:jc w:val="both"/>
              <w:rPr>
                <w:rFonts w:ascii="Garamond" w:hAnsi="Garamond"/>
                <w:b/>
                <w:bCs/>
                <w:iCs/>
                <w:sz w:val="20"/>
                <w:szCs w:val="20"/>
              </w:rPr>
            </w:pPr>
            <w:r w:rsidRPr="00451912">
              <w:rPr>
                <w:rFonts w:ascii="Garamond" w:hAnsi="Garamond"/>
                <w:b/>
                <w:bCs/>
                <w:iCs/>
                <w:sz w:val="20"/>
                <w:szCs w:val="20"/>
              </w:rPr>
              <w:t>Residence</w:t>
            </w:r>
          </w:p>
        </w:tc>
        <w:tc>
          <w:tcPr>
            <w:tcW w:w="1225" w:type="dxa"/>
            <w:noWrap/>
            <w:vAlign w:val="bottom"/>
            <w:hideMark/>
          </w:tcPr>
          <w:p w14:paraId="0F8CE397" w14:textId="77777777" w:rsidR="00451912" w:rsidRPr="00451912" w:rsidRDefault="00451912" w:rsidP="00451912">
            <w:pPr>
              <w:jc w:val="both"/>
              <w:rPr>
                <w:rFonts w:ascii="Garamond" w:hAnsi="Garamond"/>
                <w:b/>
                <w:bCs/>
                <w:iCs/>
                <w:sz w:val="20"/>
                <w:szCs w:val="20"/>
              </w:rPr>
            </w:pPr>
          </w:p>
        </w:tc>
        <w:tc>
          <w:tcPr>
            <w:tcW w:w="1215" w:type="dxa"/>
            <w:noWrap/>
            <w:vAlign w:val="bottom"/>
            <w:hideMark/>
          </w:tcPr>
          <w:p w14:paraId="2B03C44A" w14:textId="77777777" w:rsidR="00451912" w:rsidRPr="00451912" w:rsidRDefault="00451912" w:rsidP="00451912">
            <w:pPr>
              <w:jc w:val="both"/>
              <w:rPr>
                <w:rFonts w:ascii="Garamond" w:hAnsi="Garamond"/>
                <w:bCs/>
                <w:iCs/>
                <w:sz w:val="20"/>
                <w:szCs w:val="20"/>
              </w:rPr>
            </w:pPr>
          </w:p>
        </w:tc>
      </w:tr>
      <w:tr w:rsidR="00451912" w:rsidRPr="00451912" w14:paraId="2C6B0D7E" w14:textId="77777777" w:rsidTr="00451912">
        <w:tc>
          <w:tcPr>
            <w:tcW w:w="1715" w:type="dxa"/>
            <w:noWrap/>
            <w:vAlign w:val="bottom"/>
            <w:hideMark/>
          </w:tcPr>
          <w:p w14:paraId="487D11E4"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Urban</w:t>
            </w:r>
          </w:p>
        </w:tc>
        <w:tc>
          <w:tcPr>
            <w:tcW w:w="1225" w:type="dxa"/>
            <w:noWrap/>
            <w:vAlign w:val="bottom"/>
            <w:hideMark/>
          </w:tcPr>
          <w:p w14:paraId="01242934"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182</w:t>
            </w:r>
          </w:p>
        </w:tc>
        <w:tc>
          <w:tcPr>
            <w:tcW w:w="1215" w:type="dxa"/>
            <w:noWrap/>
            <w:vAlign w:val="bottom"/>
            <w:hideMark/>
          </w:tcPr>
          <w:p w14:paraId="634D6D68"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75.5</w:t>
            </w:r>
          </w:p>
        </w:tc>
      </w:tr>
      <w:tr w:rsidR="00451912" w:rsidRPr="00451912" w14:paraId="6700EF83" w14:textId="77777777" w:rsidTr="00451912">
        <w:tc>
          <w:tcPr>
            <w:tcW w:w="1715" w:type="dxa"/>
            <w:noWrap/>
            <w:vAlign w:val="bottom"/>
            <w:hideMark/>
          </w:tcPr>
          <w:p w14:paraId="21F1707E"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Rural</w:t>
            </w:r>
          </w:p>
        </w:tc>
        <w:tc>
          <w:tcPr>
            <w:tcW w:w="1225" w:type="dxa"/>
            <w:noWrap/>
            <w:vAlign w:val="bottom"/>
            <w:hideMark/>
          </w:tcPr>
          <w:p w14:paraId="467563D2"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59</w:t>
            </w:r>
          </w:p>
        </w:tc>
        <w:tc>
          <w:tcPr>
            <w:tcW w:w="1215" w:type="dxa"/>
            <w:noWrap/>
            <w:vAlign w:val="bottom"/>
            <w:hideMark/>
          </w:tcPr>
          <w:p w14:paraId="20834529"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24.5</w:t>
            </w:r>
          </w:p>
        </w:tc>
      </w:tr>
      <w:tr w:rsidR="00451912" w:rsidRPr="00451912" w14:paraId="78DD0A83" w14:textId="77777777" w:rsidTr="00451912">
        <w:tc>
          <w:tcPr>
            <w:tcW w:w="1715" w:type="dxa"/>
            <w:noWrap/>
            <w:vAlign w:val="bottom"/>
            <w:hideMark/>
          </w:tcPr>
          <w:p w14:paraId="29F16895" w14:textId="77777777" w:rsidR="00451912" w:rsidRPr="00451912" w:rsidRDefault="00451912" w:rsidP="00451912">
            <w:pPr>
              <w:jc w:val="both"/>
              <w:rPr>
                <w:rFonts w:ascii="Garamond" w:hAnsi="Garamond"/>
                <w:b/>
                <w:bCs/>
                <w:iCs/>
                <w:sz w:val="20"/>
                <w:szCs w:val="20"/>
              </w:rPr>
            </w:pPr>
            <w:r w:rsidRPr="00451912">
              <w:rPr>
                <w:rFonts w:ascii="Garamond" w:hAnsi="Garamond"/>
                <w:b/>
                <w:bCs/>
                <w:iCs/>
                <w:sz w:val="20"/>
                <w:szCs w:val="20"/>
              </w:rPr>
              <w:t>Tribe</w:t>
            </w:r>
          </w:p>
        </w:tc>
        <w:tc>
          <w:tcPr>
            <w:tcW w:w="1225" w:type="dxa"/>
            <w:noWrap/>
            <w:vAlign w:val="bottom"/>
            <w:hideMark/>
          </w:tcPr>
          <w:p w14:paraId="2D45D680" w14:textId="77777777" w:rsidR="00451912" w:rsidRPr="00451912" w:rsidRDefault="00451912" w:rsidP="00451912">
            <w:pPr>
              <w:jc w:val="both"/>
              <w:rPr>
                <w:rFonts w:ascii="Garamond" w:hAnsi="Garamond"/>
                <w:b/>
                <w:bCs/>
                <w:iCs/>
                <w:sz w:val="20"/>
                <w:szCs w:val="20"/>
              </w:rPr>
            </w:pPr>
          </w:p>
        </w:tc>
        <w:tc>
          <w:tcPr>
            <w:tcW w:w="1215" w:type="dxa"/>
            <w:noWrap/>
            <w:vAlign w:val="bottom"/>
            <w:hideMark/>
          </w:tcPr>
          <w:p w14:paraId="6B42B315" w14:textId="77777777" w:rsidR="00451912" w:rsidRPr="00451912" w:rsidRDefault="00451912" w:rsidP="00451912">
            <w:pPr>
              <w:jc w:val="both"/>
              <w:rPr>
                <w:rFonts w:ascii="Garamond" w:hAnsi="Garamond"/>
                <w:bCs/>
                <w:iCs/>
                <w:sz w:val="20"/>
                <w:szCs w:val="20"/>
              </w:rPr>
            </w:pPr>
          </w:p>
        </w:tc>
      </w:tr>
      <w:tr w:rsidR="00451912" w:rsidRPr="00451912" w14:paraId="5CE106AF" w14:textId="77777777" w:rsidTr="00451912">
        <w:tc>
          <w:tcPr>
            <w:tcW w:w="1715" w:type="dxa"/>
            <w:noWrap/>
            <w:vAlign w:val="bottom"/>
            <w:hideMark/>
          </w:tcPr>
          <w:p w14:paraId="52E9345B"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Igbo</w:t>
            </w:r>
          </w:p>
        </w:tc>
        <w:tc>
          <w:tcPr>
            <w:tcW w:w="1225" w:type="dxa"/>
            <w:noWrap/>
            <w:vAlign w:val="bottom"/>
            <w:hideMark/>
          </w:tcPr>
          <w:p w14:paraId="578A6F22"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72</w:t>
            </w:r>
          </w:p>
        </w:tc>
        <w:tc>
          <w:tcPr>
            <w:tcW w:w="1215" w:type="dxa"/>
            <w:noWrap/>
            <w:vAlign w:val="bottom"/>
            <w:hideMark/>
          </w:tcPr>
          <w:p w14:paraId="74D650A7"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30</w:t>
            </w:r>
          </w:p>
        </w:tc>
      </w:tr>
      <w:tr w:rsidR="00451912" w:rsidRPr="00451912" w14:paraId="23424C42" w14:textId="77777777" w:rsidTr="00451912">
        <w:tc>
          <w:tcPr>
            <w:tcW w:w="1715" w:type="dxa"/>
            <w:noWrap/>
            <w:vAlign w:val="bottom"/>
            <w:hideMark/>
          </w:tcPr>
          <w:p w14:paraId="3FCA56B1" w14:textId="77777777" w:rsidR="00451912" w:rsidRPr="00451912" w:rsidRDefault="00451912" w:rsidP="00451912">
            <w:pPr>
              <w:jc w:val="both"/>
              <w:rPr>
                <w:rFonts w:ascii="Garamond" w:hAnsi="Garamond"/>
                <w:bCs/>
                <w:iCs/>
                <w:sz w:val="20"/>
                <w:szCs w:val="20"/>
              </w:rPr>
            </w:pPr>
            <w:proofErr w:type="spellStart"/>
            <w:r w:rsidRPr="00451912">
              <w:rPr>
                <w:rFonts w:ascii="Garamond" w:hAnsi="Garamond"/>
                <w:bCs/>
                <w:iCs/>
                <w:sz w:val="20"/>
                <w:szCs w:val="20"/>
              </w:rPr>
              <w:t>Ikwerre</w:t>
            </w:r>
            <w:proofErr w:type="spellEnd"/>
          </w:p>
        </w:tc>
        <w:tc>
          <w:tcPr>
            <w:tcW w:w="1225" w:type="dxa"/>
            <w:noWrap/>
            <w:vAlign w:val="bottom"/>
            <w:hideMark/>
          </w:tcPr>
          <w:p w14:paraId="506CAC73"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42</w:t>
            </w:r>
          </w:p>
        </w:tc>
        <w:tc>
          <w:tcPr>
            <w:tcW w:w="1215" w:type="dxa"/>
            <w:noWrap/>
            <w:vAlign w:val="bottom"/>
            <w:hideMark/>
          </w:tcPr>
          <w:p w14:paraId="7420A40C"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17.5</w:t>
            </w:r>
          </w:p>
        </w:tc>
      </w:tr>
      <w:tr w:rsidR="00451912" w:rsidRPr="00451912" w14:paraId="741B1742" w14:textId="77777777" w:rsidTr="00451912">
        <w:tc>
          <w:tcPr>
            <w:tcW w:w="1715" w:type="dxa"/>
            <w:noWrap/>
            <w:vAlign w:val="bottom"/>
            <w:hideMark/>
          </w:tcPr>
          <w:p w14:paraId="41744908"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Ogoni</w:t>
            </w:r>
          </w:p>
        </w:tc>
        <w:tc>
          <w:tcPr>
            <w:tcW w:w="1225" w:type="dxa"/>
            <w:noWrap/>
            <w:vAlign w:val="bottom"/>
            <w:hideMark/>
          </w:tcPr>
          <w:p w14:paraId="25229592"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21</w:t>
            </w:r>
          </w:p>
        </w:tc>
        <w:tc>
          <w:tcPr>
            <w:tcW w:w="1215" w:type="dxa"/>
            <w:noWrap/>
            <w:vAlign w:val="bottom"/>
            <w:hideMark/>
          </w:tcPr>
          <w:p w14:paraId="3AD0B777"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8.8</w:t>
            </w:r>
          </w:p>
        </w:tc>
      </w:tr>
      <w:tr w:rsidR="00451912" w:rsidRPr="00451912" w14:paraId="424225AB" w14:textId="77777777" w:rsidTr="00451912">
        <w:tc>
          <w:tcPr>
            <w:tcW w:w="1715" w:type="dxa"/>
            <w:noWrap/>
            <w:vAlign w:val="bottom"/>
            <w:hideMark/>
          </w:tcPr>
          <w:p w14:paraId="4E5846AC"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Ijaw</w:t>
            </w:r>
          </w:p>
        </w:tc>
        <w:tc>
          <w:tcPr>
            <w:tcW w:w="1225" w:type="dxa"/>
            <w:noWrap/>
            <w:vAlign w:val="bottom"/>
            <w:hideMark/>
          </w:tcPr>
          <w:p w14:paraId="2B9C0C87"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18</w:t>
            </w:r>
          </w:p>
        </w:tc>
        <w:tc>
          <w:tcPr>
            <w:tcW w:w="1215" w:type="dxa"/>
            <w:noWrap/>
            <w:vAlign w:val="bottom"/>
            <w:hideMark/>
          </w:tcPr>
          <w:p w14:paraId="1C995AEE"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7.5</w:t>
            </w:r>
          </w:p>
        </w:tc>
      </w:tr>
      <w:tr w:rsidR="00451912" w:rsidRPr="00451912" w14:paraId="44E3BA84" w14:textId="77777777" w:rsidTr="00451912">
        <w:tc>
          <w:tcPr>
            <w:tcW w:w="1715" w:type="dxa"/>
            <w:noWrap/>
            <w:vAlign w:val="bottom"/>
            <w:hideMark/>
          </w:tcPr>
          <w:p w14:paraId="7EABD65A"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Yoruba</w:t>
            </w:r>
          </w:p>
        </w:tc>
        <w:tc>
          <w:tcPr>
            <w:tcW w:w="1225" w:type="dxa"/>
            <w:noWrap/>
            <w:vAlign w:val="bottom"/>
            <w:hideMark/>
          </w:tcPr>
          <w:p w14:paraId="214B349B"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15</w:t>
            </w:r>
          </w:p>
        </w:tc>
        <w:tc>
          <w:tcPr>
            <w:tcW w:w="1215" w:type="dxa"/>
            <w:noWrap/>
            <w:vAlign w:val="bottom"/>
            <w:hideMark/>
          </w:tcPr>
          <w:p w14:paraId="5D2DE62A"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6.3</w:t>
            </w:r>
          </w:p>
        </w:tc>
      </w:tr>
      <w:tr w:rsidR="00451912" w:rsidRPr="00451912" w14:paraId="531BDEA3" w14:textId="77777777" w:rsidTr="00451912">
        <w:tc>
          <w:tcPr>
            <w:tcW w:w="1715" w:type="dxa"/>
            <w:noWrap/>
            <w:vAlign w:val="bottom"/>
            <w:hideMark/>
          </w:tcPr>
          <w:p w14:paraId="6F772AF3"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 xml:space="preserve">Others </w:t>
            </w:r>
          </w:p>
        </w:tc>
        <w:tc>
          <w:tcPr>
            <w:tcW w:w="1225" w:type="dxa"/>
            <w:noWrap/>
            <w:vAlign w:val="bottom"/>
            <w:hideMark/>
          </w:tcPr>
          <w:p w14:paraId="49B793AE"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73</w:t>
            </w:r>
          </w:p>
        </w:tc>
        <w:tc>
          <w:tcPr>
            <w:tcW w:w="1215" w:type="dxa"/>
            <w:noWrap/>
            <w:vAlign w:val="bottom"/>
            <w:hideMark/>
          </w:tcPr>
          <w:p w14:paraId="22A9472A"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30.3</w:t>
            </w:r>
          </w:p>
        </w:tc>
      </w:tr>
      <w:tr w:rsidR="00451912" w:rsidRPr="00451912" w14:paraId="16F95D36" w14:textId="77777777" w:rsidTr="00451912">
        <w:tc>
          <w:tcPr>
            <w:tcW w:w="1715" w:type="dxa"/>
            <w:noWrap/>
            <w:vAlign w:val="bottom"/>
            <w:hideMark/>
          </w:tcPr>
          <w:p w14:paraId="6F38FEE2" w14:textId="77777777" w:rsidR="00451912" w:rsidRPr="00451912" w:rsidRDefault="00451912" w:rsidP="00451912">
            <w:pPr>
              <w:jc w:val="both"/>
              <w:rPr>
                <w:rFonts w:ascii="Garamond" w:hAnsi="Garamond"/>
                <w:b/>
                <w:bCs/>
                <w:iCs/>
                <w:sz w:val="20"/>
                <w:szCs w:val="20"/>
              </w:rPr>
            </w:pPr>
            <w:r w:rsidRPr="00451912">
              <w:rPr>
                <w:rFonts w:ascii="Garamond" w:hAnsi="Garamond"/>
                <w:b/>
                <w:bCs/>
                <w:iCs/>
                <w:sz w:val="20"/>
                <w:szCs w:val="20"/>
              </w:rPr>
              <w:t>Number of Children</w:t>
            </w:r>
          </w:p>
        </w:tc>
        <w:tc>
          <w:tcPr>
            <w:tcW w:w="1225" w:type="dxa"/>
            <w:noWrap/>
            <w:vAlign w:val="bottom"/>
            <w:hideMark/>
          </w:tcPr>
          <w:p w14:paraId="789724FA" w14:textId="77777777" w:rsidR="00451912" w:rsidRPr="00451912" w:rsidRDefault="00451912" w:rsidP="00451912">
            <w:pPr>
              <w:jc w:val="both"/>
              <w:rPr>
                <w:rFonts w:ascii="Garamond" w:hAnsi="Garamond"/>
                <w:b/>
                <w:bCs/>
                <w:iCs/>
                <w:sz w:val="20"/>
                <w:szCs w:val="20"/>
              </w:rPr>
            </w:pPr>
          </w:p>
        </w:tc>
        <w:tc>
          <w:tcPr>
            <w:tcW w:w="1215" w:type="dxa"/>
            <w:noWrap/>
            <w:vAlign w:val="bottom"/>
            <w:hideMark/>
          </w:tcPr>
          <w:p w14:paraId="597274D8" w14:textId="77777777" w:rsidR="00451912" w:rsidRPr="00451912" w:rsidRDefault="00451912" w:rsidP="00451912">
            <w:pPr>
              <w:jc w:val="both"/>
              <w:rPr>
                <w:rFonts w:ascii="Garamond" w:hAnsi="Garamond"/>
                <w:bCs/>
                <w:iCs/>
                <w:sz w:val="20"/>
                <w:szCs w:val="20"/>
              </w:rPr>
            </w:pPr>
          </w:p>
        </w:tc>
      </w:tr>
      <w:tr w:rsidR="00451912" w:rsidRPr="00451912" w14:paraId="1EF96C7F" w14:textId="77777777" w:rsidTr="00451912">
        <w:tc>
          <w:tcPr>
            <w:tcW w:w="1715" w:type="dxa"/>
            <w:noWrap/>
            <w:vAlign w:val="bottom"/>
            <w:hideMark/>
          </w:tcPr>
          <w:p w14:paraId="777992D1"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&lt;2</w:t>
            </w:r>
          </w:p>
        </w:tc>
        <w:tc>
          <w:tcPr>
            <w:tcW w:w="1225" w:type="dxa"/>
            <w:noWrap/>
            <w:vAlign w:val="bottom"/>
            <w:hideMark/>
          </w:tcPr>
          <w:p w14:paraId="0E025098"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142</w:t>
            </w:r>
          </w:p>
        </w:tc>
        <w:tc>
          <w:tcPr>
            <w:tcW w:w="1215" w:type="dxa"/>
            <w:noWrap/>
            <w:vAlign w:val="bottom"/>
            <w:hideMark/>
          </w:tcPr>
          <w:p w14:paraId="09DA83A8"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58.9</w:t>
            </w:r>
          </w:p>
        </w:tc>
      </w:tr>
      <w:tr w:rsidR="00451912" w:rsidRPr="00451912" w14:paraId="5BF88296" w14:textId="77777777" w:rsidTr="00451912">
        <w:tc>
          <w:tcPr>
            <w:tcW w:w="1715" w:type="dxa"/>
            <w:noWrap/>
            <w:vAlign w:val="bottom"/>
            <w:hideMark/>
          </w:tcPr>
          <w:p w14:paraId="61C3FAE8"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3-5</w:t>
            </w:r>
          </w:p>
        </w:tc>
        <w:tc>
          <w:tcPr>
            <w:tcW w:w="1225" w:type="dxa"/>
            <w:noWrap/>
            <w:vAlign w:val="bottom"/>
            <w:hideMark/>
          </w:tcPr>
          <w:p w14:paraId="367D8E04"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90</w:t>
            </w:r>
          </w:p>
        </w:tc>
        <w:tc>
          <w:tcPr>
            <w:tcW w:w="1215" w:type="dxa"/>
            <w:noWrap/>
            <w:vAlign w:val="bottom"/>
            <w:hideMark/>
          </w:tcPr>
          <w:p w14:paraId="09BE1356"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37.3</w:t>
            </w:r>
          </w:p>
        </w:tc>
      </w:tr>
      <w:tr w:rsidR="00451912" w:rsidRPr="00451912" w14:paraId="329EA8E7" w14:textId="77777777" w:rsidTr="00451912">
        <w:tc>
          <w:tcPr>
            <w:tcW w:w="1715" w:type="dxa"/>
            <w:tcBorders>
              <w:top w:val="nil"/>
              <w:left w:val="nil"/>
              <w:bottom w:val="single" w:sz="4" w:space="0" w:color="auto"/>
              <w:right w:val="nil"/>
            </w:tcBorders>
            <w:noWrap/>
            <w:vAlign w:val="bottom"/>
            <w:hideMark/>
          </w:tcPr>
          <w:p w14:paraId="67B6A51B"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&gt;5</w:t>
            </w:r>
          </w:p>
        </w:tc>
        <w:tc>
          <w:tcPr>
            <w:tcW w:w="1225" w:type="dxa"/>
            <w:tcBorders>
              <w:top w:val="nil"/>
              <w:left w:val="nil"/>
              <w:bottom w:val="single" w:sz="4" w:space="0" w:color="auto"/>
              <w:right w:val="nil"/>
            </w:tcBorders>
            <w:noWrap/>
            <w:vAlign w:val="bottom"/>
            <w:hideMark/>
          </w:tcPr>
          <w:p w14:paraId="64E8FD3C"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9</w:t>
            </w:r>
          </w:p>
        </w:tc>
        <w:tc>
          <w:tcPr>
            <w:tcW w:w="1215" w:type="dxa"/>
            <w:tcBorders>
              <w:top w:val="nil"/>
              <w:left w:val="nil"/>
              <w:bottom w:val="single" w:sz="4" w:space="0" w:color="auto"/>
              <w:right w:val="nil"/>
            </w:tcBorders>
            <w:noWrap/>
            <w:vAlign w:val="bottom"/>
            <w:hideMark/>
          </w:tcPr>
          <w:p w14:paraId="5947CD5F"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3.7</w:t>
            </w:r>
          </w:p>
        </w:tc>
      </w:tr>
    </w:tbl>
    <w:p w14:paraId="0BC27545" w14:textId="77777777" w:rsidR="00451912" w:rsidRPr="00451912" w:rsidRDefault="00451912" w:rsidP="00451912">
      <w:pPr>
        <w:spacing w:line="259" w:lineRule="auto"/>
        <w:jc w:val="both"/>
        <w:rPr>
          <w:rFonts w:ascii="Garamond" w:hAnsi="Garamond"/>
          <w:bCs/>
          <w:iCs/>
          <w:sz w:val="20"/>
          <w:szCs w:val="20"/>
        </w:rPr>
      </w:pPr>
    </w:p>
    <w:p w14:paraId="3E199941"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Table 1 showed that 73 (30.3%) of the respondents were between the ages of 41 and 50 years, 160 (66.4%) were males, 119 (49.4%) attained a tertiary level of education, 223 (92.5%) were Christians, 166 (68.9%) were married, and 97 (40.2%) were self-employed. Also, 69 (28.6%) earn less than 50,000 naira, 66 (39.8%) of the respondents’ partners earn between 50,001 and 100,000 naira, 182 (75.5%) reside in urban locations, 72 (30.0%) belong to the Igbo ethnic group, and 142 (58.9%) have less than two children.</w:t>
      </w:r>
    </w:p>
    <w:p w14:paraId="77192D80" w14:textId="77777777" w:rsidR="00451912" w:rsidRPr="00451912" w:rsidRDefault="00451912" w:rsidP="00451912">
      <w:pPr>
        <w:spacing w:line="259" w:lineRule="auto"/>
        <w:jc w:val="both"/>
        <w:rPr>
          <w:rFonts w:ascii="Garamond" w:hAnsi="Garamond"/>
          <w:bCs/>
          <w:iCs/>
          <w:sz w:val="20"/>
          <w:szCs w:val="20"/>
        </w:rPr>
      </w:pPr>
    </w:p>
    <w:p w14:paraId="64CFE26B" w14:textId="77777777" w:rsidR="00451912" w:rsidRPr="00451912" w:rsidRDefault="00451912" w:rsidP="00451912">
      <w:pPr>
        <w:spacing w:line="259" w:lineRule="auto"/>
        <w:jc w:val="both"/>
        <w:rPr>
          <w:rFonts w:ascii="Garamond" w:hAnsi="Garamond"/>
          <w:b/>
          <w:bCs/>
          <w:iCs/>
          <w:sz w:val="20"/>
          <w:szCs w:val="20"/>
        </w:rPr>
      </w:pPr>
      <w:r w:rsidRPr="00451912">
        <w:rPr>
          <w:rFonts w:ascii="Garamond" w:hAnsi="Garamond"/>
          <w:b/>
          <w:bCs/>
          <w:iCs/>
          <w:sz w:val="20"/>
          <w:szCs w:val="20"/>
        </w:rPr>
        <w:t xml:space="preserve">Table 2: </w:t>
      </w:r>
      <w:r w:rsidRPr="00451912">
        <w:rPr>
          <w:rFonts w:ascii="Garamond" w:hAnsi="Garamond"/>
          <w:iCs/>
          <w:sz w:val="20"/>
          <w:szCs w:val="20"/>
        </w:rPr>
        <w:t>Treatment Characteristics</w:t>
      </w:r>
    </w:p>
    <w:tbl>
      <w:tblPr>
        <w:tblStyle w:val="TableGrid"/>
        <w:tblW w:w="4999"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2022"/>
      </w:tblGrid>
      <w:tr w:rsidR="00451912" w:rsidRPr="00451912" w14:paraId="3CBEF516" w14:textId="77777777" w:rsidTr="00451912">
        <w:tc>
          <w:tcPr>
            <w:tcW w:w="2977" w:type="dxa"/>
            <w:tcBorders>
              <w:top w:val="single" w:sz="4" w:space="0" w:color="auto"/>
              <w:left w:val="nil"/>
              <w:bottom w:val="single" w:sz="4" w:space="0" w:color="auto"/>
              <w:right w:val="nil"/>
            </w:tcBorders>
            <w:hideMark/>
          </w:tcPr>
          <w:p w14:paraId="162E1CB5"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Variable</w:t>
            </w:r>
          </w:p>
        </w:tc>
        <w:tc>
          <w:tcPr>
            <w:tcW w:w="2022" w:type="dxa"/>
            <w:tcBorders>
              <w:top w:val="single" w:sz="4" w:space="0" w:color="auto"/>
              <w:left w:val="nil"/>
              <w:bottom w:val="single" w:sz="4" w:space="0" w:color="auto"/>
              <w:right w:val="nil"/>
            </w:tcBorders>
            <w:hideMark/>
          </w:tcPr>
          <w:p w14:paraId="02100C92"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Frequency n=241 (%)</w:t>
            </w:r>
          </w:p>
        </w:tc>
      </w:tr>
      <w:tr w:rsidR="00451912" w:rsidRPr="00451912" w14:paraId="6B3CA2D7" w14:textId="77777777" w:rsidTr="00451912">
        <w:tc>
          <w:tcPr>
            <w:tcW w:w="2977" w:type="dxa"/>
            <w:tcBorders>
              <w:top w:val="single" w:sz="4" w:space="0" w:color="auto"/>
              <w:left w:val="nil"/>
              <w:bottom w:val="nil"/>
              <w:right w:val="nil"/>
            </w:tcBorders>
            <w:hideMark/>
          </w:tcPr>
          <w:p w14:paraId="04CD21BE" w14:textId="77777777" w:rsidR="00451912" w:rsidRPr="00451912" w:rsidRDefault="00451912" w:rsidP="00451912">
            <w:pPr>
              <w:spacing w:line="259" w:lineRule="auto"/>
              <w:jc w:val="both"/>
              <w:rPr>
                <w:rFonts w:ascii="Garamond" w:hAnsi="Garamond"/>
                <w:b/>
                <w:bCs/>
                <w:iCs/>
                <w:sz w:val="20"/>
                <w:szCs w:val="20"/>
              </w:rPr>
            </w:pPr>
            <w:r w:rsidRPr="00451912">
              <w:rPr>
                <w:rFonts w:ascii="Garamond" w:hAnsi="Garamond"/>
                <w:b/>
                <w:bCs/>
                <w:iCs/>
                <w:sz w:val="20"/>
                <w:szCs w:val="20"/>
              </w:rPr>
              <w:t>Duration of Diagnosis</w:t>
            </w:r>
          </w:p>
        </w:tc>
        <w:tc>
          <w:tcPr>
            <w:tcW w:w="2022" w:type="dxa"/>
            <w:tcBorders>
              <w:top w:val="single" w:sz="4" w:space="0" w:color="auto"/>
              <w:left w:val="nil"/>
              <w:bottom w:val="nil"/>
              <w:right w:val="nil"/>
            </w:tcBorders>
          </w:tcPr>
          <w:p w14:paraId="4C942AD9" w14:textId="77777777" w:rsidR="00451912" w:rsidRPr="00451912" w:rsidRDefault="00451912" w:rsidP="00451912">
            <w:pPr>
              <w:spacing w:line="259" w:lineRule="auto"/>
              <w:jc w:val="both"/>
              <w:rPr>
                <w:rFonts w:ascii="Garamond" w:hAnsi="Garamond"/>
                <w:bCs/>
                <w:iCs/>
                <w:sz w:val="20"/>
                <w:szCs w:val="20"/>
              </w:rPr>
            </w:pPr>
          </w:p>
        </w:tc>
      </w:tr>
      <w:tr w:rsidR="00451912" w:rsidRPr="00451912" w14:paraId="294EB4B6" w14:textId="77777777" w:rsidTr="00451912">
        <w:tc>
          <w:tcPr>
            <w:tcW w:w="2977" w:type="dxa"/>
            <w:tcBorders>
              <w:top w:val="nil"/>
              <w:left w:val="nil"/>
              <w:bottom w:val="nil"/>
              <w:right w:val="nil"/>
            </w:tcBorders>
            <w:hideMark/>
          </w:tcPr>
          <w:p w14:paraId="10401469"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≥12 Months</w:t>
            </w:r>
          </w:p>
        </w:tc>
        <w:tc>
          <w:tcPr>
            <w:tcW w:w="2022" w:type="dxa"/>
            <w:tcBorders>
              <w:top w:val="nil"/>
              <w:left w:val="nil"/>
              <w:bottom w:val="nil"/>
              <w:right w:val="nil"/>
            </w:tcBorders>
            <w:hideMark/>
          </w:tcPr>
          <w:p w14:paraId="055BAED4"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152(63.1)</w:t>
            </w:r>
          </w:p>
        </w:tc>
      </w:tr>
      <w:tr w:rsidR="00451912" w:rsidRPr="00451912" w14:paraId="68A114E3" w14:textId="77777777" w:rsidTr="00451912">
        <w:tc>
          <w:tcPr>
            <w:tcW w:w="2977" w:type="dxa"/>
            <w:tcBorders>
              <w:top w:val="nil"/>
              <w:left w:val="nil"/>
              <w:bottom w:val="nil"/>
              <w:right w:val="nil"/>
            </w:tcBorders>
            <w:hideMark/>
          </w:tcPr>
          <w:p w14:paraId="4B777EB6"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13-36 Months</w:t>
            </w:r>
          </w:p>
        </w:tc>
        <w:tc>
          <w:tcPr>
            <w:tcW w:w="2022" w:type="dxa"/>
            <w:tcBorders>
              <w:top w:val="nil"/>
              <w:left w:val="nil"/>
              <w:bottom w:val="nil"/>
              <w:right w:val="nil"/>
            </w:tcBorders>
            <w:hideMark/>
          </w:tcPr>
          <w:p w14:paraId="4244E8BB"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39(16.2)</w:t>
            </w:r>
          </w:p>
        </w:tc>
      </w:tr>
      <w:tr w:rsidR="00451912" w:rsidRPr="00451912" w14:paraId="1978BF5F" w14:textId="77777777" w:rsidTr="00451912">
        <w:tc>
          <w:tcPr>
            <w:tcW w:w="2977" w:type="dxa"/>
            <w:tcBorders>
              <w:top w:val="nil"/>
              <w:left w:val="nil"/>
              <w:bottom w:val="nil"/>
              <w:right w:val="nil"/>
            </w:tcBorders>
            <w:hideMark/>
          </w:tcPr>
          <w:p w14:paraId="06AB4932"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 xml:space="preserve">&gt;36 Months </w:t>
            </w:r>
          </w:p>
        </w:tc>
        <w:tc>
          <w:tcPr>
            <w:tcW w:w="2022" w:type="dxa"/>
            <w:tcBorders>
              <w:top w:val="nil"/>
              <w:left w:val="nil"/>
              <w:bottom w:val="nil"/>
              <w:right w:val="nil"/>
            </w:tcBorders>
            <w:hideMark/>
          </w:tcPr>
          <w:p w14:paraId="7423B8E3"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50(20.7)</w:t>
            </w:r>
          </w:p>
        </w:tc>
      </w:tr>
      <w:tr w:rsidR="00451912" w:rsidRPr="00451912" w14:paraId="1D51A3A9" w14:textId="77777777" w:rsidTr="00451912">
        <w:tc>
          <w:tcPr>
            <w:tcW w:w="2977" w:type="dxa"/>
            <w:tcBorders>
              <w:top w:val="nil"/>
              <w:left w:val="nil"/>
              <w:bottom w:val="nil"/>
              <w:right w:val="nil"/>
            </w:tcBorders>
            <w:hideMark/>
          </w:tcPr>
          <w:p w14:paraId="4852705C" w14:textId="77777777" w:rsidR="00451912" w:rsidRPr="00451912" w:rsidRDefault="00451912" w:rsidP="00451912">
            <w:pPr>
              <w:spacing w:line="259" w:lineRule="auto"/>
              <w:jc w:val="both"/>
              <w:rPr>
                <w:rFonts w:ascii="Garamond" w:hAnsi="Garamond"/>
                <w:b/>
                <w:bCs/>
                <w:iCs/>
                <w:sz w:val="20"/>
                <w:szCs w:val="20"/>
              </w:rPr>
            </w:pPr>
            <w:r w:rsidRPr="00451912">
              <w:rPr>
                <w:rFonts w:ascii="Garamond" w:hAnsi="Garamond"/>
                <w:b/>
                <w:bCs/>
                <w:iCs/>
                <w:sz w:val="20"/>
                <w:szCs w:val="20"/>
              </w:rPr>
              <w:t>Classes of Anti-hypertensive Medication</w:t>
            </w:r>
          </w:p>
        </w:tc>
        <w:tc>
          <w:tcPr>
            <w:tcW w:w="2022" w:type="dxa"/>
            <w:tcBorders>
              <w:top w:val="nil"/>
              <w:left w:val="nil"/>
              <w:bottom w:val="nil"/>
              <w:right w:val="nil"/>
            </w:tcBorders>
          </w:tcPr>
          <w:p w14:paraId="1DAD52E4" w14:textId="77777777" w:rsidR="00451912" w:rsidRPr="00451912" w:rsidRDefault="00451912" w:rsidP="00451912">
            <w:pPr>
              <w:spacing w:line="259" w:lineRule="auto"/>
              <w:jc w:val="both"/>
              <w:rPr>
                <w:rFonts w:ascii="Garamond" w:hAnsi="Garamond"/>
                <w:bCs/>
                <w:iCs/>
                <w:sz w:val="20"/>
                <w:szCs w:val="20"/>
              </w:rPr>
            </w:pPr>
          </w:p>
        </w:tc>
      </w:tr>
      <w:tr w:rsidR="00451912" w:rsidRPr="00451912" w14:paraId="4811088D" w14:textId="77777777" w:rsidTr="00451912">
        <w:tc>
          <w:tcPr>
            <w:tcW w:w="2977" w:type="dxa"/>
            <w:tcBorders>
              <w:top w:val="nil"/>
              <w:left w:val="nil"/>
              <w:bottom w:val="nil"/>
              <w:right w:val="nil"/>
            </w:tcBorders>
            <w:hideMark/>
          </w:tcPr>
          <w:p w14:paraId="60005206"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Calcium Chain blockers</w:t>
            </w:r>
          </w:p>
        </w:tc>
        <w:tc>
          <w:tcPr>
            <w:tcW w:w="2022" w:type="dxa"/>
            <w:tcBorders>
              <w:top w:val="nil"/>
              <w:left w:val="nil"/>
              <w:bottom w:val="nil"/>
              <w:right w:val="nil"/>
            </w:tcBorders>
            <w:hideMark/>
          </w:tcPr>
          <w:p w14:paraId="0757A2E6"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164(68)</w:t>
            </w:r>
          </w:p>
        </w:tc>
      </w:tr>
      <w:tr w:rsidR="00451912" w:rsidRPr="00451912" w14:paraId="2B0B4E4A" w14:textId="77777777" w:rsidTr="00451912">
        <w:tc>
          <w:tcPr>
            <w:tcW w:w="2977" w:type="dxa"/>
            <w:tcBorders>
              <w:top w:val="nil"/>
              <w:left w:val="nil"/>
              <w:bottom w:val="nil"/>
              <w:right w:val="nil"/>
            </w:tcBorders>
            <w:hideMark/>
          </w:tcPr>
          <w:p w14:paraId="5081EF80"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Diuretics</w:t>
            </w:r>
          </w:p>
        </w:tc>
        <w:tc>
          <w:tcPr>
            <w:tcW w:w="2022" w:type="dxa"/>
            <w:tcBorders>
              <w:top w:val="nil"/>
              <w:left w:val="nil"/>
              <w:bottom w:val="nil"/>
              <w:right w:val="nil"/>
            </w:tcBorders>
            <w:hideMark/>
          </w:tcPr>
          <w:p w14:paraId="23CDD905"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184(76.3)</w:t>
            </w:r>
          </w:p>
        </w:tc>
      </w:tr>
      <w:tr w:rsidR="00451912" w:rsidRPr="00451912" w14:paraId="1F8A4D5D" w14:textId="77777777" w:rsidTr="00451912">
        <w:tc>
          <w:tcPr>
            <w:tcW w:w="2977" w:type="dxa"/>
            <w:tcBorders>
              <w:top w:val="nil"/>
              <w:left w:val="nil"/>
              <w:bottom w:val="nil"/>
              <w:right w:val="nil"/>
            </w:tcBorders>
            <w:hideMark/>
          </w:tcPr>
          <w:p w14:paraId="6BC72C92"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Angiotensin converting enzyme inhibitors</w:t>
            </w:r>
          </w:p>
        </w:tc>
        <w:tc>
          <w:tcPr>
            <w:tcW w:w="2022" w:type="dxa"/>
            <w:tcBorders>
              <w:top w:val="nil"/>
              <w:left w:val="nil"/>
              <w:bottom w:val="nil"/>
              <w:right w:val="nil"/>
            </w:tcBorders>
            <w:hideMark/>
          </w:tcPr>
          <w:p w14:paraId="5305C603"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104(43.2)</w:t>
            </w:r>
          </w:p>
        </w:tc>
      </w:tr>
      <w:tr w:rsidR="00451912" w:rsidRPr="00451912" w14:paraId="57696421" w14:textId="77777777" w:rsidTr="00451912">
        <w:tc>
          <w:tcPr>
            <w:tcW w:w="2977" w:type="dxa"/>
            <w:tcBorders>
              <w:top w:val="nil"/>
              <w:left w:val="nil"/>
              <w:bottom w:val="nil"/>
              <w:right w:val="nil"/>
            </w:tcBorders>
            <w:hideMark/>
          </w:tcPr>
          <w:p w14:paraId="17C6AE52"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Angiotensin receptor blockers</w:t>
            </w:r>
          </w:p>
        </w:tc>
        <w:tc>
          <w:tcPr>
            <w:tcW w:w="2022" w:type="dxa"/>
            <w:tcBorders>
              <w:top w:val="nil"/>
              <w:left w:val="nil"/>
              <w:bottom w:val="nil"/>
              <w:right w:val="nil"/>
            </w:tcBorders>
            <w:hideMark/>
          </w:tcPr>
          <w:p w14:paraId="3C1A48D8"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45(18.7)</w:t>
            </w:r>
          </w:p>
        </w:tc>
      </w:tr>
      <w:tr w:rsidR="00451912" w:rsidRPr="00451912" w14:paraId="1BCACF7D" w14:textId="77777777" w:rsidTr="00451912">
        <w:tc>
          <w:tcPr>
            <w:tcW w:w="2977" w:type="dxa"/>
            <w:tcBorders>
              <w:top w:val="nil"/>
              <w:left w:val="nil"/>
              <w:bottom w:val="nil"/>
              <w:right w:val="nil"/>
            </w:tcBorders>
            <w:hideMark/>
          </w:tcPr>
          <w:p w14:paraId="013321C8"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 xml:space="preserve">Centrally acting agents </w:t>
            </w:r>
          </w:p>
        </w:tc>
        <w:tc>
          <w:tcPr>
            <w:tcW w:w="2022" w:type="dxa"/>
            <w:tcBorders>
              <w:top w:val="nil"/>
              <w:left w:val="nil"/>
              <w:bottom w:val="nil"/>
              <w:right w:val="nil"/>
            </w:tcBorders>
            <w:hideMark/>
          </w:tcPr>
          <w:p w14:paraId="21A39654"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15(6.2)</w:t>
            </w:r>
          </w:p>
        </w:tc>
      </w:tr>
      <w:tr w:rsidR="00451912" w:rsidRPr="00451912" w14:paraId="74C36617" w14:textId="77777777" w:rsidTr="00451912">
        <w:tc>
          <w:tcPr>
            <w:tcW w:w="2977" w:type="dxa"/>
            <w:tcBorders>
              <w:top w:val="nil"/>
              <w:left w:val="nil"/>
              <w:bottom w:val="nil"/>
              <w:right w:val="nil"/>
            </w:tcBorders>
            <w:hideMark/>
          </w:tcPr>
          <w:p w14:paraId="4E86AB83"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Beta-blockers</w:t>
            </w:r>
          </w:p>
        </w:tc>
        <w:tc>
          <w:tcPr>
            <w:tcW w:w="2022" w:type="dxa"/>
            <w:tcBorders>
              <w:top w:val="nil"/>
              <w:left w:val="nil"/>
              <w:bottom w:val="nil"/>
              <w:right w:val="nil"/>
            </w:tcBorders>
            <w:hideMark/>
          </w:tcPr>
          <w:p w14:paraId="1F6EB285"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110(45.6)</w:t>
            </w:r>
          </w:p>
        </w:tc>
      </w:tr>
      <w:tr w:rsidR="00451912" w:rsidRPr="00451912" w14:paraId="332A259C" w14:textId="77777777" w:rsidTr="00451912">
        <w:tc>
          <w:tcPr>
            <w:tcW w:w="2977" w:type="dxa"/>
            <w:tcBorders>
              <w:top w:val="nil"/>
              <w:left w:val="nil"/>
              <w:bottom w:val="nil"/>
              <w:right w:val="nil"/>
            </w:tcBorders>
            <w:hideMark/>
          </w:tcPr>
          <w:p w14:paraId="07306F07"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Alpha blockers</w:t>
            </w:r>
          </w:p>
        </w:tc>
        <w:tc>
          <w:tcPr>
            <w:tcW w:w="2022" w:type="dxa"/>
            <w:tcBorders>
              <w:top w:val="nil"/>
              <w:left w:val="nil"/>
              <w:bottom w:val="nil"/>
              <w:right w:val="nil"/>
            </w:tcBorders>
            <w:hideMark/>
          </w:tcPr>
          <w:p w14:paraId="68201DF5"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6(2.5)</w:t>
            </w:r>
          </w:p>
        </w:tc>
      </w:tr>
      <w:tr w:rsidR="00451912" w:rsidRPr="00451912" w14:paraId="2D05ACCE" w14:textId="77777777" w:rsidTr="00451912">
        <w:tc>
          <w:tcPr>
            <w:tcW w:w="2977" w:type="dxa"/>
            <w:tcBorders>
              <w:top w:val="nil"/>
              <w:left w:val="nil"/>
              <w:bottom w:val="nil"/>
              <w:right w:val="nil"/>
            </w:tcBorders>
            <w:hideMark/>
          </w:tcPr>
          <w:p w14:paraId="72F190D5"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Vasodilators</w:t>
            </w:r>
          </w:p>
        </w:tc>
        <w:tc>
          <w:tcPr>
            <w:tcW w:w="2022" w:type="dxa"/>
            <w:tcBorders>
              <w:top w:val="nil"/>
              <w:left w:val="nil"/>
              <w:bottom w:val="nil"/>
              <w:right w:val="nil"/>
            </w:tcBorders>
            <w:hideMark/>
          </w:tcPr>
          <w:p w14:paraId="384E404D"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42(17.4)</w:t>
            </w:r>
          </w:p>
        </w:tc>
      </w:tr>
      <w:tr w:rsidR="00451912" w:rsidRPr="00451912" w14:paraId="6F7986FE" w14:textId="77777777" w:rsidTr="00451912">
        <w:tc>
          <w:tcPr>
            <w:tcW w:w="2977" w:type="dxa"/>
            <w:tcBorders>
              <w:top w:val="nil"/>
              <w:left w:val="nil"/>
              <w:bottom w:val="nil"/>
              <w:right w:val="nil"/>
            </w:tcBorders>
            <w:hideMark/>
          </w:tcPr>
          <w:p w14:paraId="4DC324B7" w14:textId="63C32294" w:rsidR="00451912" w:rsidRPr="00451912" w:rsidRDefault="00B06F7D" w:rsidP="00451912">
            <w:pPr>
              <w:spacing w:line="259" w:lineRule="auto"/>
              <w:jc w:val="both"/>
              <w:rPr>
                <w:rFonts w:ascii="Garamond" w:hAnsi="Garamond"/>
                <w:bCs/>
                <w:iCs/>
                <w:sz w:val="20"/>
                <w:szCs w:val="20"/>
              </w:rPr>
            </w:pPr>
            <w:r w:rsidRPr="00451912">
              <w:rPr>
                <w:rFonts w:ascii="Garamond" w:hAnsi="Garamond"/>
                <w:bCs/>
                <w:iCs/>
                <w:sz w:val="20"/>
                <w:szCs w:val="20"/>
              </w:rPr>
              <w:t>Mineralocorticoid</w:t>
            </w:r>
            <w:r w:rsidR="00451912" w:rsidRPr="00451912">
              <w:rPr>
                <w:rFonts w:ascii="Garamond" w:hAnsi="Garamond"/>
                <w:bCs/>
                <w:iCs/>
                <w:sz w:val="20"/>
                <w:szCs w:val="20"/>
              </w:rPr>
              <w:t xml:space="preserve"> receptor blockers</w:t>
            </w:r>
          </w:p>
        </w:tc>
        <w:tc>
          <w:tcPr>
            <w:tcW w:w="2022" w:type="dxa"/>
            <w:tcBorders>
              <w:top w:val="nil"/>
              <w:left w:val="nil"/>
              <w:bottom w:val="nil"/>
              <w:right w:val="nil"/>
            </w:tcBorders>
            <w:hideMark/>
          </w:tcPr>
          <w:p w14:paraId="52645E11"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30(12.4)</w:t>
            </w:r>
          </w:p>
        </w:tc>
      </w:tr>
      <w:tr w:rsidR="00451912" w:rsidRPr="00451912" w14:paraId="3345F9F7" w14:textId="77777777" w:rsidTr="00451912">
        <w:tc>
          <w:tcPr>
            <w:tcW w:w="2977" w:type="dxa"/>
            <w:tcBorders>
              <w:top w:val="nil"/>
              <w:left w:val="nil"/>
              <w:bottom w:val="nil"/>
              <w:right w:val="nil"/>
            </w:tcBorders>
            <w:hideMark/>
          </w:tcPr>
          <w:p w14:paraId="243CAFCB" w14:textId="77777777" w:rsidR="00451912" w:rsidRPr="00451912" w:rsidRDefault="00451912" w:rsidP="00451912">
            <w:pPr>
              <w:spacing w:line="259" w:lineRule="auto"/>
              <w:jc w:val="both"/>
              <w:rPr>
                <w:rFonts w:ascii="Garamond" w:hAnsi="Garamond"/>
                <w:b/>
                <w:bCs/>
                <w:iCs/>
                <w:sz w:val="20"/>
                <w:szCs w:val="20"/>
              </w:rPr>
            </w:pPr>
            <w:r w:rsidRPr="00451912">
              <w:rPr>
                <w:rFonts w:ascii="Garamond" w:hAnsi="Garamond"/>
                <w:b/>
                <w:bCs/>
                <w:iCs/>
                <w:sz w:val="20"/>
                <w:szCs w:val="20"/>
              </w:rPr>
              <w:t xml:space="preserve">Have Comorbidity </w:t>
            </w:r>
          </w:p>
        </w:tc>
        <w:tc>
          <w:tcPr>
            <w:tcW w:w="2022" w:type="dxa"/>
            <w:tcBorders>
              <w:top w:val="nil"/>
              <w:left w:val="nil"/>
              <w:bottom w:val="nil"/>
              <w:right w:val="nil"/>
            </w:tcBorders>
          </w:tcPr>
          <w:p w14:paraId="4730B96A" w14:textId="77777777" w:rsidR="00451912" w:rsidRPr="00451912" w:rsidRDefault="00451912" w:rsidP="00451912">
            <w:pPr>
              <w:spacing w:line="259" w:lineRule="auto"/>
              <w:jc w:val="both"/>
              <w:rPr>
                <w:rFonts w:ascii="Garamond" w:hAnsi="Garamond"/>
                <w:bCs/>
                <w:iCs/>
                <w:sz w:val="20"/>
                <w:szCs w:val="20"/>
              </w:rPr>
            </w:pPr>
          </w:p>
        </w:tc>
      </w:tr>
      <w:tr w:rsidR="00451912" w:rsidRPr="00451912" w14:paraId="0EBB81A9" w14:textId="77777777" w:rsidTr="00451912">
        <w:tc>
          <w:tcPr>
            <w:tcW w:w="2977" w:type="dxa"/>
            <w:tcBorders>
              <w:top w:val="nil"/>
              <w:left w:val="nil"/>
              <w:bottom w:val="nil"/>
              <w:right w:val="nil"/>
            </w:tcBorders>
            <w:hideMark/>
          </w:tcPr>
          <w:p w14:paraId="1E934622"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Yes</w:t>
            </w:r>
          </w:p>
        </w:tc>
        <w:tc>
          <w:tcPr>
            <w:tcW w:w="2022" w:type="dxa"/>
            <w:tcBorders>
              <w:top w:val="nil"/>
              <w:left w:val="nil"/>
              <w:bottom w:val="nil"/>
              <w:right w:val="nil"/>
            </w:tcBorders>
            <w:hideMark/>
          </w:tcPr>
          <w:p w14:paraId="12F6522F"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172(71.4)</w:t>
            </w:r>
          </w:p>
        </w:tc>
      </w:tr>
      <w:tr w:rsidR="00451912" w:rsidRPr="00451912" w14:paraId="1B4F3BB4" w14:textId="77777777" w:rsidTr="00451912">
        <w:tc>
          <w:tcPr>
            <w:tcW w:w="2977" w:type="dxa"/>
            <w:tcBorders>
              <w:top w:val="nil"/>
              <w:left w:val="nil"/>
              <w:bottom w:val="nil"/>
              <w:right w:val="nil"/>
            </w:tcBorders>
            <w:hideMark/>
          </w:tcPr>
          <w:p w14:paraId="4A69E6CB"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No</w:t>
            </w:r>
          </w:p>
        </w:tc>
        <w:tc>
          <w:tcPr>
            <w:tcW w:w="2022" w:type="dxa"/>
            <w:tcBorders>
              <w:top w:val="nil"/>
              <w:left w:val="nil"/>
              <w:bottom w:val="nil"/>
              <w:right w:val="nil"/>
            </w:tcBorders>
            <w:hideMark/>
          </w:tcPr>
          <w:p w14:paraId="5BC7CEA3"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69(28.6)</w:t>
            </w:r>
          </w:p>
        </w:tc>
      </w:tr>
      <w:tr w:rsidR="00451912" w:rsidRPr="00451912" w14:paraId="0CE1DFCF" w14:textId="77777777" w:rsidTr="00451912">
        <w:tc>
          <w:tcPr>
            <w:tcW w:w="2977" w:type="dxa"/>
            <w:tcBorders>
              <w:top w:val="nil"/>
              <w:left w:val="nil"/>
              <w:bottom w:val="nil"/>
              <w:right w:val="nil"/>
            </w:tcBorders>
            <w:hideMark/>
          </w:tcPr>
          <w:p w14:paraId="49B21EDD" w14:textId="77777777" w:rsidR="00451912" w:rsidRPr="00451912" w:rsidRDefault="00451912" w:rsidP="00451912">
            <w:pPr>
              <w:spacing w:line="259" w:lineRule="auto"/>
              <w:jc w:val="both"/>
              <w:rPr>
                <w:rFonts w:ascii="Garamond" w:hAnsi="Garamond"/>
                <w:b/>
                <w:bCs/>
                <w:iCs/>
                <w:sz w:val="20"/>
                <w:szCs w:val="20"/>
              </w:rPr>
            </w:pPr>
            <w:r w:rsidRPr="00451912">
              <w:rPr>
                <w:rFonts w:ascii="Garamond" w:hAnsi="Garamond"/>
                <w:b/>
                <w:bCs/>
                <w:iCs/>
                <w:sz w:val="20"/>
                <w:szCs w:val="20"/>
              </w:rPr>
              <w:t>Type comorbidity n=172</w:t>
            </w:r>
          </w:p>
        </w:tc>
        <w:tc>
          <w:tcPr>
            <w:tcW w:w="2022" w:type="dxa"/>
            <w:tcBorders>
              <w:top w:val="nil"/>
              <w:left w:val="nil"/>
              <w:bottom w:val="nil"/>
              <w:right w:val="nil"/>
            </w:tcBorders>
          </w:tcPr>
          <w:p w14:paraId="5156E026" w14:textId="77777777" w:rsidR="00451912" w:rsidRPr="00451912" w:rsidRDefault="00451912" w:rsidP="00451912">
            <w:pPr>
              <w:spacing w:line="259" w:lineRule="auto"/>
              <w:jc w:val="both"/>
              <w:rPr>
                <w:rFonts w:ascii="Garamond" w:hAnsi="Garamond"/>
                <w:bCs/>
                <w:iCs/>
                <w:sz w:val="20"/>
                <w:szCs w:val="20"/>
              </w:rPr>
            </w:pPr>
          </w:p>
        </w:tc>
      </w:tr>
      <w:tr w:rsidR="00451912" w:rsidRPr="00451912" w14:paraId="02953DCA" w14:textId="77777777" w:rsidTr="00451912">
        <w:tc>
          <w:tcPr>
            <w:tcW w:w="2977" w:type="dxa"/>
            <w:tcBorders>
              <w:top w:val="nil"/>
              <w:left w:val="nil"/>
              <w:bottom w:val="nil"/>
              <w:right w:val="nil"/>
            </w:tcBorders>
            <w:hideMark/>
          </w:tcPr>
          <w:p w14:paraId="5053BF0C"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Hypertension</w:t>
            </w:r>
          </w:p>
        </w:tc>
        <w:tc>
          <w:tcPr>
            <w:tcW w:w="2022" w:type="dxa"/>
            <w:tcBorders>
              <w:top w:val="nil"/>
              <w:left w:val="nil"/>
              <w:bottom w:val="nil"/>
              <w:right w:val="nil"/>
            </w:tcBorders>
            <w:hideMark/>
          </w:tcPr>
          <w:p w14:paraId="37D507B3"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125(72.7)</w:t>
            </w:r>
          </w:p>
        </w:tc>
      </w:tr>
      <w:tr w:rsidR="00451912" w:rsidRPr="00451912" w14:paraId="6F4399F4" w14:textId="77777777" w:rsidTr="00451912">
        <w:tc>
          <w:tcPr>
            <w:tcW w:w="2977" w:type="dxa"/>
            <w:tcBorders>
              <w:top w:val="nil"/>
              <w:left w:val="nil"/>
              <w:bottom w:val="nil"/>
              <w:right w:val="nil"/>
            </w:tcBorders>
            <w:hideMark/>
          </w:tcPr>
          <w:p w14:paraId="3270271B"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Hepatitis B</w:t>
            </w:r>
          </w:p>
        </w:tc>
        <w:tc>
          <w:tcPr>
            <w:tcW w:w="2022" w:type="dxa"/>
            <w:tcBorders>
              <w:top w:val="nil"/>
              <w:left w:val="nil"/>
              <w:bottom w:val="nil"/>
              <w:right w:val="nil"/>
            </w:tcBorders>
            <w:hideMark/>
          </w:tcPr>
          <w:p w14:paraId="1398FD8C"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3(1.7)</w:t>
            </w:r>
          </w:p>
        </w:tc>
      </w:tr>
      <w:tr w:rsidR="00451912" w:rsidRPr="00451912" w14:paraId="080E3740" w14:textId="77777777" w:rsidTr="00451912">
        <w:tc>
          <w:tcPr>
            <w:tcW w:w="2977" w:type="dxa"/>
            <w:tcBorders>
              <w:top w:val="nil"/>
              <w:left w:val="nil"/>
              <w:bottom w:val="nil"/>
              <w:right w:val="nil"/>
            </w:tcBorders>
            <w:hideMark/>
          </w:tcPr>
          <w:p w14:paraId="0F762B64"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Ulcer</w:t>
            </w:r>
          </w:p>
        </w:tc>
        <w:tc>
          <w:tcPr>
            <w:tcW w:w="2022" w:type="dxa"/>
            <w:tcBorders>
              <w:top w:val="nil"/>
              <w:left w:val="nil"/>
              <w:bottom w:val="nil"/>
              <w:right w:val="nil"/>
            </w:tcBorders>
            <w:hideMark/>
          </w:tcPr>
          <w:p w14:paraId="436B57A5"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17(9.8)</w:t>
            </w:r>
          </w:p>
        </w:tc>
      </w:tr>
      <w:tr w:rsidR="00451912" w:rsidRPr="00451912" w14:paraId="7687CC6A" w14:textId="77777777" w:rsidTr="00451912">
        <w:tc>
          <w:tcPr>
            <w:tcW w:w="2977" w:type="dxa"/>
            <w:tcBorders>
              <w:top w:val="nil"/>
              <w:left w:val="nil"/>
              <w:bottom w:val="nil"/>
              <w:right w:val="nil"/>
            </w:tcBorders>
            <w:hideMark/>
          </w:tcPr>
          <w:p w14:paraId="246A51B7"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Diabetes</w:t>
            </w:r>
          </w:p>
        </w:tc>
        <w:tc>
          <w:tcPr>
            <w:tcW w:w="2022" w:type="dxa"/>
            <w:tcBorders>
              <w:top w:val="nil"/>
              <w:left w:val="nil"/>
              <w:bottom w:val="nil"/>
              <w:right w:val="nil"/>
            </w:tcBorders>
            <w:hideMark/>
          </w:tcPr>
          <w:p w14:paraId="1DCDAD8D"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60(34.9)</w:t>
            </w:r>
          </w:p>
        </w:tc>
      </w:tr>
      <w:tr w:rsidR="00451912" w:rsidRPr="00451912" w14:paraId="7D48EB3A" w14:textId="77777777" w:rsidTr="00451912">
        <w:tc>
          <w:tcPr>
            <w:tcW w:w="2977" w:type="dxa"/>
            <w:tcBorders>
              <w:top w:val="nil"/>
              <w:left w:val="nil"/>
              <w:bottom w:val="nil"/>
              <w:right w:val="nil"/>
            </w:tcBorders>
            <w:hideMark/>
          </w:tcPr>
          <w:p w14:paraId="52BA08AD"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Asthma</w:t>
            </w:r>
          </w:p>
        </w:tc>
        <w:tc>
          <w:tcPr>
            <w:tcW w:w="2022" w:type="dxa"/>
            <w:tcBorders>
              <w:top w:val="nil"/>
              <w:left w:val="nil"/>
              <w:bottom w:val="nil"/>
              <w:right w:val="nil"/>
            </w:tcBorders>
            <w:hideMark/>
          </w:tcPr>
          <w:p w14:paraId="45EBAC97"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6(3.5)</w:t>
            </w:r>
          </w:p>
        </w:tc>
      </w:tr>
      <w:tr w:rsidR="00451912" w:rsidRPr="00451912" w14:paraId="7D720DFF" w14:textId="77777777" w:rsidTr="00451912">
        <w:tc>
          <w:tcPr>
            <w:tcW w:w="2977" w:type="dxa"/>
            <w:tcBorders>
              <w:top w:val="nil"/>
              <w:left w:val="nil"/>
              <w:bottom w:val="nil"/>
              <w:right w:val="nil"/>
            </w:tcBorders>
            <w:hideMark/>
          </w:tcPr>
          <w:p w14:paraId="7175101F"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Cancer</w:t>
            </w:r>
          </w:p>
        </w:tc>
        <w:tc>
          <w:tcPr>
            <w:tcW w:w="2022" w:type="dxa"/>
            <w:tcBorders>
              <w:top w:val="nil"/>
              <w:left w:val="nil"/>
              <w:bottom w:val="nil"/>
              <w:right w:val="nil"/>
            </w:tcBorders>
            <w:hideMark/>
          </w:tcPr>
          <w:p w14:paraId="32F85F70"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12(7.0)</w:t>
            </w:r>
          </w:p>
        </w:tc>
      </w:tr>
      <w:tr w:rsidR="00451912" w:rsidRPr="00451912" w14:paraId="2D640F92" w14:textId="77777777" w:rsidTr="00451912">
        <w:tc>
          <w:tcPr>
            <w:tcW w:w="2977" w:type="dxa"/>
            <w:tcBorders>
              <w:top w:val="nil"/>
              <w:left w:val="nil"/>
              <w:bottom w:val="nil"/>
              <w:right w:val="nil"/>
            </w:tcBorders>
            <w:hideMark/>
          </w:tcPr>
          <w:p w14:paraId="1B8FE653"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HIV</w:t>
            </w:r>
          </w:p>
        </w:tc>
        <w:tc>
          <w:tcPr>
            <w:tcW w:w="2022" w:type="dxa"/>
            <w:tcBorders>
              <w:top w:val="nil"/>
              <w:left w:val="nil"/>
              <w:bottom w:val="nil"/>
              <w:right w:val="nil"/>
            </w:tcBorders>
            <w:hideMark/>
          </w:tcPr>
          <w:p w14:paraId="7A83CD33"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18(10.5)</w:t>
            </w:r>
          </w:p>
        </w:tc>
      </w:tr>
      <w:tr w:rsidR="00451912" w:rsidRPr="00451912" w14:paraId="22B285DD" w14:textId="77777777" w:rsidTr="00451912">
        <w:tc>
          <w:tcPr>
            <w:tcW w:w="2977" w:type="dxa"/>
            <w:tcBorders>
              <w:top w:val="nil"/>
              <w:left w:val="nil"/>
              <w:bottom w:val="nil"/>
              <w:right w:val="nil"/>
            </w:tcBorders>
            <w:hideMark/>
          </w:tcPr>
          <w:p w14:paraId="72B61932"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CLD</w:t>
            </w:r>
          </w:p>
        </w:tc>
        <w:tc>
          <w:tcPr>
            <w:tcW w:w="2022" w:type="dxa"/>
            <w:tcBorders>
              <w:top w:val="nil"/>
              <w:left w:val="nil"/>
              <w:bottom w:val="nil"/>
              <w:right w:val="nil"/>
            </w:tcBorders>
            <w:hideMark/>
          </w:tcPr>
          <w:p w14:paraId="4EF1861A"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3(1.7)</w:t>
            </w:r>
          </w:p>
        </w:tc>
      </w:tr>
      <w:tr w:rsidR="00451912" w:rsidRPr="00451912" w14:paraId="21FC2889" w14:textId="77777777" w:rsidTr="00451912">
        <w:tc>
          <w:tcPr>
            <w:tcW w:w="2977" w:type="dxa"/>
            <w:tcBorders>
              <w:top w:val="nil"/>
              <w:left w:val="nil"/>
              <w:bottom w:val="nil"/>
              <w:right w:val="nil"/>
            </w:tcBorders>
            <w:hideMark/>
          </w:tcPr>
          <w:p w14:paraId="35C630C6" w14:textId="77777777" w:rsidR="00451912" w:rsidRPr="00451912" w:rsidRDefault="00451912" w:rsidP="00451912">
            <w:pPr>
              <w:spacing w:line="259" w:lineRule="auto"/>
              <w:jc w:val="both"/>
              <w:rPr>
                <w:rFonts w:ascii="Garamond" w:hAnsi="Garamond"/>
                <w:b/>
                <w:bCs/>
                <w:iCs/>
                <w:sz w:val="20"/>
                <w:szCs w:val="20"/>
              </w:rPr>
            </w:pPr>
            <w:r w:rsidRPr="00451912">
              <w:rPr>
                <w:rFonts w:ascii="Garamond" w:hAnsi="Garamond"/>
                <w:b/>
                <w:bCs/>
                <w:iCs/>
                <w:sz w:val="20"/>
                <w:szCs w:val="20"/>
              </w:rPr>
              <w:t>Family history of CKD</w:t>
            </w:r>
          </w:p>
        </w:tc>
        <w:tc>
          <w:tcPr>
            <w:tcW w:w="2022" w:type="dxa"/>
            <w:tcBorders>
              <w:top w:val="nil"/>
              <w:left w:val="nil"/>
              <w:bottom w:val="nil"/>
              <w:right w:val="nil"/>
            </w:tcBorders>
          </w:tcPr>
          <w:p w14:paraId="0F49EC55" w14:textId="77777777" w:rsidR="00451912" w:rsidRPr="00451912" w:rsidRDefault="00451912" w:rsidP="00451912">
            <w:pPr>
              <w:spacing w:line="259" w:lineRule="auto"/>
              <w:jc w:val="both"/>
              <w:rPr>
                <w:rFonts w:ascii="Garamond" w:hAnsi="Garamond"/>
                <w:bCs/>
                <w:iCs/>
                <w:sz w:val="20"/>
                <w:szCs w:val="20"/>
              </w:rPr>
            </w:pPr>
          </w:p>
        </w:tc>
      </w:tr>
      <w:tr w:rsidR="00451912" w:rsidRPr="00451912" w14:paraId="2D8E370A" w14:textId="77777777" w:rsidTr="00451912">
        <w:tc>
          <w:tcPr>
            <w:tcW w:w="2977" w:type="dxa"/>
            <w:tcBorders>
              <w:top w:val="nil"/>
              <w:left w:val="nil"/>
              <w:bottom w:val="nil"/>
              <w:right w:val="nil"/>
            </w:tcBorders>
            <w:hideMark/>
          </w:tcPr>
          <w:p w14:paraId="61ABD753"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Yes</w:t>
            </w:r>
          </w:p>
        </w:tc>
        <w:tc>
          <w:tcPr>
            <w:tcW w:w="2022" w:type="dxa"/>
            <w:tcBorders>
              <w:top w:val="nil"/>
              <w:left w:val="nil"/>
              <w:bottom w:val="nil"/>
              <w:right w:val="nil"/>
            </w:tcBorders>
            <w:hideMark/>
          </w:tcPr>
          <w:p w14:paraId="187076E7"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53(22.0)</w:t>
            </w:r>
          </w:p>
        </w:tc>
      </w:tr>
      <w:tr w:rsidR="00451912" w:rsidRPr="00451912" w14:paraId="6BA20541" w14:textId="77777777" w:rsidTr="00451912">
        <w:tc>
          <w:tcPr>
            <w:tcW w:w="2977" w:type="dxa"/>
            <w:tcBorders>
              <w:top w:val="nil"/>
              <w:left w:val="nil"/>
              <w:bottom w:val="nil"/>
              <w:right w:val="nil"/>
            </w:tcBorders>
            <w:hideMark/>
          </w:tcPr>
          <w:p w14:paraId="43E23A2C"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No</w:t>
            </w:r>
          </w:p>
        </w:tc>
        <w:tc>
          <w:tcPr>
            <w:tcW w:w="2022" w:type="dxa"/>
            <w:tcBorders>
              <w:top w:val="nil"/>
              <w:left w:val="nil"/>
              <w:bottom w:val="nil"/>
              <w:right w:val="nil"/>
            </w:tcBorders>
            <w:hideMark/>
          </w:tcPr>
          <w:p w14:paraId="58DE8505"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188(78.0)</w:t>
            </w:r>
          </w:p>
        </w:tc>
      </w:tr>
      <w:tr w:rsidR="00451912" w:rsidRPr="00451912" w14:paraId="4AF828BC" w14:textId="77777777" w:rsidTr="00451912">
        <w:tc>
          <w:tcPr>
            <w:tcW w:w="2977" w:type="dxa"/>
            <w:tcBorders>
              <w:top w:val="nil"/>
              <w:left w:val="nil"/>
              <w:bottom w:val="nil"/>
              <w:right w:val="nil"/>
            </w:tcBorders>
            <w:hideMark/>
          </w:tcPr>
          <w:p w14:paraId="41B072CB" w14:textId="77777777" w:rsidR="00451912" w:rsidRPr="00451912" w:rsidRDefault="00451912" w:rsidP="00451912">
            <w:pPr>
              <w:spacing w:line="259" w:lineRule="auto"/>
              <w:jc w:val="both"/>
              <w:rPr>
                <w:rFonts w:ascii="Garamond" w:hAnsi="Garamond"/>
                <w:b/>
                <w:bCs/>
                <w:iCs/>
                <w:sz w:val="20"/>
                <w:szCs w:val="20"/>
              </w:rPr>
            </w:pPr>
            <w:r w:rsidRPr="00451912">
              <w:rPr>
                <w:rFonts w:ascii="Garamond" w:hAnsi="Garamond"/>
                <w:b/>
                <w:bCs/>
                <w:iCs/>
                <w:sz w:val="20"/>
                <w:szCs w:val="20"/>
              </w:rPr>
              <w:t>Specify Family member n=53</w:t>
            </w:r>
          </w:p>
        </w:tc>
        <w:tc>
          <w:tcPr>
            <w:tcW w:w="2022" w:type="dxa"/>
            <w:tcBorders>
              <w:top w:val="nil"/>
              <w:left w:val="nil"/>
              <w:bottom w:val="nil"/>
              <w:right w:val="nil"/>
            </w:tcBorders>
          </w:tcPr>
          <w:p w14:paraId="2930AA0B" w14:textId="77777777" w:rsidR="00451912" w:rsidRPr="00451912" w:rsidRDefault="00451912" w:rsidP="00451912">
            <w:pPr>
              <w:spacing w:line="259" w:lineRule="auto"/>
              <w:jc w:val="both"/>
              <w:rPr>
                <w:rFonts w:ascii="Garamond" w:hAnsi="Garamond"/>
                <w:bCs/>
                <w:iCs/>
                <w:sz w:val="20"/>
                <w:szCs w:val="20"/>
              </w:rPr>
            </w:pPr>
          </w:p>
        </w:tc>
      </w:tr>
      <w:tr w:rsidR="00451912" w:rsidRPr="00451912" w14:paraId="3AFAC0DB" w14:textId="77777777" w:rsidTr="00451912">
        <w:tc>
          <w:tcPr>
            <w:tcW w:w="2977" w:type="dxa"/>
            <w:tcBorders>
              <w:top w:val="nil"/>
              <w:left w:val="nil"/>
              <w:bottom w:val="nil"/>
              <w:right w:val="nil"/>
            </w:tcBorders>
            <w:hideMark/>
          </w:tcPr>
          <w:p w14:paraId="2D3F8BBD"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Father</w:t>
            </w:r>
          </w:p>
        </w:tc>
        <w:tc>
          <w:tcPr>
            <w:tcW w:w="2022" w:type="dxa"/>
            <w:tcBorders>
              <w:top w:val="nil"/>
              <w:left w:val="nil"/>
              <w:bottom w:val="nil"/>
              <w:right w:val="nil"/>
            </w:tcBorders>
            <w:hideMark/>
          </w:tcPr>
          <w:p w14:paraId="79E0AA86"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29(54.7)</w:t>
            </w:r>
          </w:p>
        </w:tc>
      </w:tr>
      <w:tr w:rsidR="00451912" w:rsidRPr="00451912" w14:paraId="4DDC4C4B" w14:textId="77777777" w:rsidTr="00451912">
        <w:tc>
          <w:tcPr>
            <w:tcW w:w="2977" w:type="dxa"/>
            <w:tcBorders>
              <w:top w:val="nil"/>
              <w:left w:val="nil"/>
              <w:bottom w:val="nil"/>
              <w:right w:val="nil"/>
            </w:tcBorders>
            <w:hideMark/>
          </w:tcPr>
          <w:p w14:paraId="40C553DF"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Mother</w:t>
            </w:r>
          </w:p>
        </w:tc>
        <w:tc>
          <w:tcPr>
            <w:tcW w:w="2022" w:type="dxa"/>
            <w:tcBorders>
              <w:top w:val="nil"/>
              <w:left w:val="nil"/>
              <w:bottom w:val="nil"/>
              <w:right w:val="nil"/>
            </w:tcBorders>
            <w:hideMark/>
          </w:tcPr>
          <w:p w14:paraId="6D2F6255"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16(30.2)</w:t>
            </w:r>
          </w:p>
        </w:tc>
      </w:tr>
      <w:tr w:rsidR="00451912" w:rsidRPr="00451912" w14:paraId="552BA3B4" w14:textId="77777777" w:rsidTr="00451912">
        <w:tc>
          <w:tcPr>
            <w:tcW w:w="2977" w:type="dxa"/>
            <w:tcBorders>
              <w:top w:val="nil"/>
              <w:left w:val="nil"/>
              <w:bottom w:val="nil"/>
              <w:right w:val="nil"/>
            </w:tcBorders>
            <w:hideMark/>
          </w:tcPr>
          <w:p w14:paraId="1767A500"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Sibling</w:t>
            </w:r>
          </w:p>
        </w:tc>
        <w:tc>
          <w:tcPr>
            <w:tcW w:w="2022" w:type="dxa"/>
            <w:tcBorders>
              <w:top w:val="nil"/>
              <w:left w:val="nil"/>
              <w:bottom w:val="nil"/>
              <w:right w:val="nil"/>
            </w:tcBorders>
            <w:hideMark/>
          </w:tcPr>
          <w:p w14:paraId="7E31BCF9"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2(3.8)</w:t>
            </w:r>
          </w:p>
        </w:tc>
      </w:tr>
      <w:tr w:rsidR="00451912" w:rsidRPr="00451912" w14:paraId="42022FDA" w14:textId="77777777" w:rsidTr="00451912">
        <w:tc>
          <w:tcPr>
            <w:tcW w:w="2977" w:type="dxa"/>
            <w:tcBorders>
              <w:top w:val="nil"/>
              <w:left w:val="nil"/>
              <w:bottom w:val="nil"/>
              <w:right w:val="nil"/>
            </w:tcBorders>
            <w:hideMark/>
          </w:tcPr>
          <w:p w14:paraId="063404FD" w14:textId="77777777" w:rsidR="00451912" w:rsidRPr="00451912" w:rsidRDefault="00451912" w:rsidP="00451912">
            <w:pPr>
              <w:spacing w:line="259" w:lineRule="auto"/>
              <w:jc w:val="both"/>
              <w:rPr>
                <w:rFonts w:ascii="Garamond" w:hAnsi="Garamond"/>
                <w:b/>
                <w:bCs/>
                <w:iCs/>
                <w:sz w:val="20"/>
                <w:szCs w:val="20"/>
              </w:rPr>
            </w:pPr>
            <w:r w:rsidRPr="00451912">
              <w:rPr>
                <w:rFonts w:ascii="Garamond" w:hAnsi="Garamond"/>
                <w:b/>
                <w:bCs/>
                <w:iCs/>
                <w:sz w:val="20"/>
                <w:szCs w:val="20"/>
              </w:rPr>
              <w:t>Uncle</w:t>
            </w:r>
          </w:p>
        </w:tc>
        <w:tc>
          <w:tcPr>
            <w:tcW w:w="2022" w:type="dxa"/>
            <w:tcBorders>
              <w:top w:val="nil"/>
              <w:left w:val="nil"/>
              <w:bottom w:val="nil"/>
              <w:right w:val="nil"/>
            </w:tcBorders>
            <w:hideMark/>
          </w:tcPr>
          <w:p w14:paraId="14B01429"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6(11.3)</w:t>
            </w:r>
          </w:p>
        </w:tc>
      </w:tr>
      <w:tr w:rsidR="00451912" w:rsidRPr="00451912" w14:paraId="7630762C" w14:textId="77777777" w:rsidTr="00451912">
        <w:tc>
          <w:tcPr>
            <w:tcW w:w="2977" w:type="dxa"/>
            <w:tcBorders>
              <w:top w:val="nil"/>
              <w:left w:val="nil"/>
              <w:bottom w:val="nil"/>
              <w:right w:val="nil"/>
            </w:tcBorders>
            <w:hideMark/>
          </w:tcPr>
          <w:p w14:paraId="68F2988F" w14:textId="77777777" w:rsidR="00451912" w:rsidRPr="00451912" w:rsidRDefault="00451912" w:rsidP="00451912">
            <w:pPr>
              <w:spacing w:line="259" w:lineRule="auto"/>
              <w:jc w:val="both"/>
              <w:rPr>
                <w:rFonts w:ascii="Garamond" w:hAnsi="Garamond"/>
                <w:b/>
                <w:bCs/>
                <w:iCs/>
                <w:sz w:val="20"/>
                <w:szCs w:val="20"/>
              </w:rPr>
            </w:pPr>
            <w:r w:rsidRPr="00451912">
              <w:rPr>
                <w:rFonts w:ascii="Garamond" w:hAnsi="Garamond"/>
                <w:b/>
                <w:bCs/>
                <w:iCs/>
                <w:sz w:val="20"/>
                <w:szCs w:val="20"/>
              </w:rPr>
              <w:t>Use alternative treatment</w:t>
            </w:r>
          </w:p>
        </w:tc>
        <w:tc>
          <w:tcPr>
            <w:tcW w:w="2022" w:type="dxa"/>
            <w:tcBorders>
              <w:top w:val="nil"/>
              <w:left w:val="nil"/>
              <w:bottom w:val="nil"/>
              <w:right w:val="nil"/>
            </w:tcBorders>
          </w:tcPr>
          <w:p w14:paraId="3DD38209" w14:textId="77777777" w:rsidR="00451912" w:rsidRPr="00451912" w:rsidRDefault="00451912" w:rsidP="00451912">
            <w:pPr>
              <w:spacing w:line="259" w:lineRule="auto"/>
              <w:jc w:val="both"/>
              <w:rPr>
                <w:rFonts w:ascii="Garamond" w:hAnsi="Garamond"/>
                <w:bCs/>
                <w:iCs/>
                <w:sz w:val="20"/>
                <w:szCs w:val="20"/>
              </w:rPr>
            </w:pPr>
          </w:p>
        </w:tc>
      </w:tr>
      <w:tr w:rsidR="00451912" w:rsidRPr="00451912" w14:paraId="4786058D" w14:textId="77777777" w:rsidTr="00451912">
        <w:tc>
          <w:tcPr>
            <w:tcW w:w="2977" w:type="dxa"/>
            <w:tcBorders>
              <w:top w:val="nil"/>
              <w:left w:val="nil"/>
              <w:bottom w:val="nil"/>
              <w:right w:val="nil"/>
            </w:tcBorders>
            <w:hideMark/>
          </w:tcPr>
          <w:p w14:paraId="3C326D32"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Yes</w:t>
            </w:r>
          </w:p>
        </w:tc>
        <w:tc>
          <w:tcPr>
            <w:tcW w:w="2022" w:type="dxa"/>
            <w:tcBorders>
              <w:top w:val="nil"/>
              <w:left w:val="nil"/>
              <w:bottom w:val="nil"/>
              <w:right w:val="nil"/>
            </w:tcBorders>
            <w:hideMark/>
          </w:tcPr>
          <w:p w14:paraId="7593F0B3"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30(12.4)</w:t>
            </w:r>
          </w:p>
        </w:tc>
      </w:tr>
      <w:tr w:rsidR="00451912" w:rsidRPr="00451912" w14:paraId="1EBCEDF9" w14:textId="77777777" w:rsidTr="00451912">
        <w:tc>
          <w:tcPr>
            <w:tcW w:w="2977" w:type="dxa"/>
            <w:tcBorders>
              <w:top w:val="nil"/>
              <w:left w:val="nil"/>
              <w:bottom w:val="single" w:sz="4" w:space="0" w:color="auto"/>
              <w:right w:val="nil"/>
            </w:tcBorders>
            <w:hideMark/>
          </w:tcPr>
          <w:p w14:paraId="7B8FDC3E"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No</w:t>
            </w:r>
          </w:p>
        </w:tc>
        <w:tc>
          <w:tcPr>
            <w:tcW w:w="2022" w:type="dxa"/>
            <w:tcBorders>
              <w:top w:val="nil"/>
              <w:left w:val="nil"/>
              <w:bottom w:val="single" w:sz="4" w:space="0" w:color="auto"/>
              <w:right w:val="nil"/>
            </w:tcBorders>
            <w:hideMark/>
          </w:tcPr>
          <w:p w14:paraId="5901378C"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211(87.6)</w:t>
            </w:r>
          </w:p>
        </w:tc>
      </w:tr>
    </w:tbl>
    <w:p w14:paraId="51022373" w14:textId="77777777" w:rsidR="00451912" w:rsidRPr="00451912" w:rsidRDefault="00451912" w:rsidP="00451912">
      <w:pPr>
        <w:spacing w:line="259" w:lineRule="auto"/>
        <w:jc w:val="both"/>
        <w:rPr>
          <w:rFonts w:ascii="Garamond" w:hAnsi="Garamond"/>
          <w:bCs/>
          <w:iCs/>
          <w:sz w:val="20"/>
          <w:szCs w:val="20"/>
        </w:rPr>
      </w:pPr>
    </w:p>
    <w:p w14:paraId="5A16E33E" w14:textId="77777777" w:rsidR="00451912" w:rsidRP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The treatment characteristics in the table showed that 152 (63.1%) of the respondents had been diagnosed for 12 months or less, 184 (76.3%) take diuretics, 172 (71.4%) had comorbidity, of which 125 were hypertensive, 53 (22.0%) had a family history of CKD, and 30 (12.4%) use other methods of treatment. (Table 2)</w:t>
      </w:r>
    </w:p>
    <w:p w14:paraId="73905A3E" w14:textId="77777777" w:rsidR="00057CF5" w:rsidRDefault="00057CF5" w:rsidP="007A1526">
      <w:pPr>
        <w:spacing w:line="259" w:lineRule="auto"/>
        <w:jc w:val="both"/>
        <w:rPr>
          <w:rFonts w:ascii="Garamond" w:hAnsi="Garamond"/>
          <w:bCs/>
          <w:iCs/>
          <w:sz w:val="20"/>
          <w:szCs w:val="20"/>
        </w:rPr>
      </w:pPr>
    </w:p>
    <w:p w14:paraId="5511603F" w14:textId="77777777" w:rsidR="00451912" w:rsidRPr="00451912" w:rsidRDefault="00451912" w:rsidP="00451912">
      <w:pPr>
        <w:spacing w:line="259" w:lineRule="auto"/>
        <w:jc w:val="both"/>
        <w:rPr>
          <w:rFonts w:ascii="Garamond" w:hAnsi="Garamond"/>
          <w:b/>
          <w:bCs/>
          <w:iCs/>
          <w:sz w:val="20"/>
          <w:szCs w:val="20"/>
        </w:rPr>
      </w:pPr>
      <w:r w:rsidRPr="00451912">
        <w:rPr>
          <w:rFonts w:ascii="Garamond" w:hAnsi="Garamond"/>
          <w:b/>
          <w:bCs/>
          <w:iCs/>
          <w:sz w:val="20"/>
          <w:szCs w:val="20"/>
        </w:rPr>
        <w:t xml:space="preserve">Table 3: </w:t>
      </w:r>
      <w:r w:rsidRPr="00451912">
        <w:rPr>
          <w:rFonts w:ascii="Garamond" w:hAnsi="Garamond"/>
          <w:iCs/>
          <w:sz w:val="20"/>
          <w:szCs w:val="20"/>
        </w:rPr>
        <w:t>Medication Adherence</w:t>
      </w:r>
      <w:r w:rsidRPr="00451912">
        <w:rPr>
          <w:rFonts w:ascii="Garamond" w:hAnsi="Garamond"/>
          <w:b/>
          <w:bCs/>
          <w:iCs/>
          <w:sz w:val="20"/>
          <w:szCs w:val="20"/>
        </w:rPr>
        <w:t xml:space="preserve"> </w:t>
      </w:r>
    </w:p>
    <w:tbl>
      <w:tblPr>
        <w:tblW w:w="4687" w:type="dxa"/>
        <w:tblLook w:val="04A0" w:firstRow="1" w:lastRow="0" w:firstColumn="1" w:lastColumn="0" w:noHBand="0" w:noVBand="1"/>
      </w:tblPr>
      <w:tblGrid>
        <w:gridCol w:w="2631"/>
        <w:gridCol w:w="1168"/>
        <w:gridCol w:w="888"/>
      </w:tblGrid>
      <w:tr w:rsidR="00451912" w:rsidRPr="00451912" w14:paraId="0FC938CC" w14:textId="77777777" w:rsidTr="00451912">
        <w:trPr>
          <w:trHeight w:val="66"/>
        </w:trPr>
        <w:tc>
          <w:tcPr>
            <w:tcW w:w="2631" w:type="dxa"/>
            <w:tcBorders>
              <w:top w:val="single" w:sz="4" w:space="0" w:color="auto"/>
              <w:left w:val="nil"/>
              <w:bottom w:val="single" w:sz="4" w:space="0" w:color="auto"/>
              <w:right w:val="nil"/>
            </w:tcBorders>
            <w:vAlign w:val="bottom"/>
            <w:hideMark/>
          </w:tcPr>
          <w:p w14:paraId="16A63F42" w14:textId="77777777" w:rsidR="00451912" w:rsidRPr="00451912" w:rsidRDefault="00451912" w:rsidP="00451912">
            <w:pPr>
              <w:jc w:val="both"/>
              <w:rPr>
                <w:rFonts w:ascii="Garamond" w:hAnsi="Garamond"/>
                <w:b/>
                <w:bCs/>
                <w:iCs/>
                <w:sz w:val="20"/>
                <w:szCs w:val="20"/>
              </w:rPr>
            </w:pPr>
            <w:r w:rsidRPr="00451912">
              <w:rPr>
                <w:rFonts w:ascii="Garamond" w:hAnsi="Garamond"/>
                <w:b/>
                <w:bCs/>
                <w:iCs/>
                <w:sz w:val="20"/>
                <w:szCs w:val="20"/>
              </w:rPr>
              <w:t>Variable</w:t>
            </w:r>
          </w:p>
        </w:tc>
        <w:tc>
          <w:tcPr>
            <w:tcW w:w="1168" w:type="dxa"/>
            <w:tcBorders>
              <w:top w:val="single" w:sz="4" w:space="0" w:color="auto"/>
              <w:left w:val="nil"/>
              <w:bottom w:val="single" w:sz="4" w:space="0" w:color="auto"/>
              <w:right w:val="nil"/>
            </w:tcBorders>
            <w:noWrap/>
            <w:vAlign w:val="bottom"/>
            <w:hideMark/>
          </w:tcPr>
          <w:p w14:paraId="02D58FD0" w14:textId="77777777" w:rsidR="00451912" w:rsidRPr="00451912" w:rsidRDefault="00451912" w:rsidP="00451912">
            <w:pPr>
              <w:jc w:val="both"/>
              <w:rPr>
                <w:rFonts w:ascii="Garamond" w:hAnsi="Garamond"/>
                <w:b/>
                <w:bCs/>
                <w:iCs/>
                <w:sz w:val="20"/>
                <w:szCs w:val="20"/>
              </w:rPr>
            </w:pPr>
            <w:r w:rsidRPr="00451912">
              <w:rPr>
                <w:rFonts w:ascii="Garamond" w:hAnsi="Garamond"/>
                <w:b/>
                <w:bCs/>
                <w:iCs/>
                <w:sz w:val="20"/>
                <w:szCs w:val="20"/>
              </w:rPr>
              <w:t>Frequency n=241</w:t>
            </w:r>
          </w:p>
        </w:tc>
        <w:tc>
          <w:tcPr>
            <w:tcW w:w="888" w:type="dxa"/>
            <w:tcBorders>
              <w:top w:val="single" w:sz="4" w:space="0" w:color="auto"/>
              <w:left w:val="nil"/>
              <w:bottom w:val="single" w:sz="4" w:space="0" w:color="auto"/>
              <w:right w:val="nil"/>
            </w:tcBorders>
            <w:noWrap/>
            <w:vAlign w:val="bottom"/>
            <w:hideMark/>
          </w:tcPr>
          <w:p w14:paraId="55FAC0F4" w14:textId="77777777" w:rsidR="00451912" w:rsidRPr="00451912" w:rsidRDefault="00451912" w:rsidP="00451912">
            <w:pPr>
              <w:jc w:val="both"/>
              <w:rPr>
                <w:rFonts w:ascii="Garamond" w:hAnsi="Garamond"/>
                <w:b/>
                <w:bCs/>
                <w:iCs/>
                <w:sz w:val="20"/>
                <w:szCs w:val="20"/>
              </w:rPr>
            </w:pPr>
            <w:r w:rsidRPr="00451912">
              <w:rPr>
                <w:rFonts w:ascii="Garamond" w:hAnsi="Garamond"/>
                <w:b/>
                <w:bCs/>
                <w:iCs/>
                <w:sz w:val="20"/>
                <w:szCs w:val="20"/>
              </w:rPr>
              <w:t>Percent</w:t>
            </w:r>
          </w:p>
        </w:tc>
      </w:tr>
      <w:tr w:rsidR="00451912" w:rsidRPr="00451912" w14:paraId="6F0C57D7" w14:textId="77777777" w:rsidTr="00451912">
        <w:trPr>
          <w:trHeight w:val="12"/>
        </w:trPr>
        <w:tc>
          <w:tcPr>
            <w:tcW w:w="2631" w:type="dxa"/>
            <w:vAlign w:val="bottom"/>
            <w:hideMark/>
          </w:tcPr>
          <w:p w14:paraId="3594A0A8" w14:textId="77777777" w:rsidR="00451912" w:rsidRPr="00451912" w:rsidRDefault="00451912" w:rsidP="00451912">
            <w:pPr>
              <w:jc w:val="both"/>
              <w:rPr>
                <w:rFonts w:ascii="Garamond" w:hAnsi="Garamond"/>
                <w:b/>
                <w:bCs/>
                <w:iCs/>
                <w:sz w:val="20"/>
                <w:szCs w:val="20"/>
              </w:rPr>
            </w:pPr>
            <w:r w:rsidRPr="00451912">
              <w:rPr>
                <w:rFonts w:ascii="Garamond" w:hAnsi="Garamond"/>
                <w:b/>
                <w:bCs/>
                <w:iCs/>
                <w:sz w:val="20"/>
                <w:szCs w:val="20"/>
              </w:rPr>
              <w:t>Sometimes forget to take medication</w:t>
            </w:r>
          </w:p>
        </w:tc>
        <w:tc>
          <w:tcPr>
            <w:tcW w:w="1168" w:type="dxa"/>
            <w:vAlign w:val="bottom"/>
            <w:hideMark/>
          </w:tcPr>
          <w:p w14:paraId="21E42FDD" w14:textId="77777777" w:rsidR="00451912" w:rsidRPr="00451912" w:rsidRDefault="00451912" w:rsidP="00451912">
            <w:pPr>
              <w:jc w:val="both"/>
              <w:rPr>
                <w:rFonts w:ascii="Garamond" w:hAnsi="Garamond"/>
                <w:b/>
                <w:bCs/>
                <w:iCs/>
                <w:sz w:val="20"/>
                <w:szCs w:val="20"/>
              </w:rPr>
            </w:pPr>
          </w:p>
        </w:tc>
        <w:tc>
          <w:tcPr>
            <w:tcW w:w="888" w:type="dxa"/>
            <w:vAlign w:val="bottom"/>
            <w:hideMark/>
          </w:tcPr>
          <w:p w14:paraId="4A0CFB2A" w14:textId="77777777" w:rsidR="00451912" w:rsidRPr="00451912" w:rsidRDefault="00451912" w:rsidP="00451912">
            <w:pPr>
              <w:jc w:val="both"/>
              <w:rPr>
                <w:rFonts w:ascii="Garamond" w:hAnsi="Garamond"/>
                <w:bCs/>
                <w:iCs/>
                <w:sz w:val="20"/>
                <w:szCs w:val="20"/>
              </w:rPr>
            </w:pPr>
          </w:p>
        </w:tc>
      </w:tr>
      <w:tr w:rsidR="00451912" w:rsidRPr="00451912" w14:paraId="7245168E" w14:textId="77777777" w:rsidTr="00451912">
        <w:trPr>
          <w:trHeight w:val="66"/>
        </w:trPr>
        <w:tc>
          <w:tcPr>
            <w:tcW w:w="2631" w:type="dxa"/>
            <w:vAlign w:val="bottom"/>
            <w:hideMark/>
          </w:tcPr>
          <w:p w14:paraId="4792CE4A"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Yes</w:t>
            </w:r>
          </w:p>
        </w:tc>
        <w:tc>
          <w:tcPr>
            <w:tcW w:w="1168" w:type="dxa"/>
            <w:noWrap/>
            <w:vAlign w:val="bottom"/>
            <w:hideMark/>
          </w:tcPr>
          <w:p w14:paraId="6600B809"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152</w:t>
            </w:r>
          </w:p>
        </w:tc>
        <w:tc>
          <w:tcPr>
            <w:tcW w:w="888" w:type="dxa"/>
            <w:noWrap/>
            <w:vAlign w:val="bottom"/>
            <w:hideMark/>
          </w:tcPr>
          <w:p w14:paraId="44A1123A"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63.1</w:t>
            </w:r>
          </w:p>
        </w:tc>
      </w:tr>
      <w:tr w:rsidR="00451912" w:rsidRPr="00451912" w14:paraId="3196A20A" w14:textId="77777777" w:rsidTr="00451912">
        <w:trPr>
          <w:trHeight w:val="66"/>
        </w:trPr>
        <w:tc>
          <w:tcPr>
            <w:tcW w:w="2631" w:type="dxa"/>
            <w:vAlign w:val="bottom"/>
            <w:hideMark/>
          </w:tcPr>
          <w:p w14:paraId="5F7F3D78"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No</w:t>
            </w:r>
          </w:p>
        </w:tc>
        <w:tc>
          <w:tcPr>
            <w:tcW w:w="1168" w:type="dxa"/>
            <w:noWrap/>
            <w:vAlign w:val="bottom"/>
            <w:hideMark/>
          </w:tcPr>
          <w:p w14:paraId="2F661669"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89</w:t>
            </w:r>
          </w:p>
        </w:tc>
        <w:tc>
          <w:tcPr>
            <w:tcW w:w="888" w:type="dxa"/>
            <w:noWrap/>
            <w:vAlign w:val="bottom"/>
            <w:hideMark/>
          </w:tcPr>
          <w:p w14:paraId="7A76909C"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36.9</w:t>
            </w:r>
          </w:p>
        </w:tc>
      </w:tr>
      <w:tr w:rsidR="00451912" w:rsidRPr="00451912" w14:paraId="2C6A92B7" w14:textId="77777777" w:rsidTr="00451912">
        <w:trPr>
          <w:trHeight w:val="128"/>
        </w:trPr>
        <w:tc>
          <w:tcPr>
            <w:tcW w:w="2631" w:type="dxa"/>
            <w:vAlign w:val="bottom"/>
            <w:hideMark/>
          </w:tcPr>
          <w:p w14:paraId="7AD32CBA" w14:textId="77777777" w:rsidR="00451912" w:rsidRPr="00451912" w:rsidRDefault="00451912" w:rsidP="00451912">
            <w:pPr>
              <w:jc w:val="both"/>
              <w:rPr>
                <w:rFonts w:ascii="Garamond" w:hAnsi="Garamond"/>
                <w:b/>
                <w:bCs/>
                <w:iCs/>
                <w:sz w:val="20"/>
                <w:szCs w:val="20"/>
              </w:rPr>
            </w:pPr>
            <w:r w:rsidRPr="00451912">
              <w:rPr>
                <w:rFonts w:ascii="Garamond" w:hAnsi="Garamond"/>
                <w:b/>
                <w:bCs/>
                <w:iCs/>
                <w:sz w:val="20"/>
                <w:szCs w:val="20"/>
              </w:rPr>
              <w:t>Days did not take medication over the past two weeks</w:t>
            </w:r>
          </w:p>
        </w:tc>
        <w:tc>
          <w:tcPr>
            <w:tcW w:w="1168" w:type="dxa"/>
            <w:noWrap/>
            <w:vAlign w:val="bottom"/>
            <w:hideMark/>
          </w:tcPr>
          <w:p w14:paraId="1267C645" w14:textId="77777777" w:rsidR="00451912" w:rsidRPr="00451912" w:rsidRDefault="00451912" w:rsidP="00451912">
            <w:pPr>
              <w:jc w:val="both"/>
              <w:rPr>
                <w:rFonts w:ascii="Garamond" w:hAnsi="Garamond"/>
                <w:b/>
                <w:bCs/>
                <w:iCs/>
                <w:sz w:val="20"/>
                <w:szCs w:val="20"/>
              </w:rPr>
            </w:pPr>
          </w:p>
        </w:tc>
        <w:tc>
          <w:tcPr>
            <w:tcW w:w="888" w:type="dxa"/>
            <w:noWrap/>
            <w:vAlign w:val="bottom"/>
            <w:hideMark/>
          </w:tcPr>
          <w:p w14:paraId="322E11B8" w14:textId="77777777" w:rsidR="00451912" w:rsidRPr="00451912" w:rsidRDefault="00451912" w:rsidP="00451912">
            <w:pPr>
              <w:jc w:val="both"/>
              <w:rPr>
                <w:rFonts w:ascii="Garamond" w:hAnsi="Garamond"/>
                <w:bCs/>
                <w:iCs/>
                <w:sz w:val="20"/>
                <w:szCs w:val="20"/>
              </w:rPr>
            </w:pPr>
          </w:p>
        </w:tc>
      </w:tr>
      <w:tr w:rsidR="00451912" w:rsidRPr="00451912" w14:paraId="5422F254" w14:textId="77777777" w:rsidTr="00451912">
        <w:trPr>
          <w:trHeight w:val="66"/>
        </w:trPr>
        <w:tc>
          <w:tcPr>
            <w:tcW w:w="2631" w:type="dxa"/>
            <w:vAlign w:val="bottom"/>
            <w:hideMark/>
          </w:tcPr>
          <w:p w14:paraId="0F8B4C47"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Yes</w:t>
            </w:r>
          </w:p>
        </w:tc>
        <w:tc>
          <w:tcPr>
            <w:tcW w:w="1168" w:type="dxa"/>
            <w:noWrap/>
            <w:vAlign w:val="bottom"/>
            <w:hideMark/>
          </w:tcPr>
          <w:p w14:paraId="6DF9F271"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104</w:t>
            </w:r>
          </w:p>
        </w:tc>
        <w:tc>
          <w:tcPr>
            <w:tcW w:w="888" w:type="dxa"/>
            <w:noWrap/>
            <w:vAlign w:val="bottom"/>
            <w:hideMark/>
          </w:tcPr>
          <w:p w14:paraId="28D6D12A"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43.2</w:t>
            </w:r>
          </w:p>
        </w:tc>
      </w:tr>
      <w:tr w:rsidR="00451912" w:rsidRPr="00451912" w14:paraId="1A796FA8" w14:textId="77777777" w:rsidTr="00451912">
        <w:trPr>
          <w:trHeight w:val="66"/>
        </w:trPr>
        <w:tc>
          <w:tcPr>
            <w:tcW w:w="2631" w:type="dxa"/>
            <w:vAlign w:val="bottom"/>
            <w:hideMark/>
          </w:tcPr>
          <w:p w14:paraId="5BB75196"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No</w:t>
            </w:r>
          </w:p>
        </w:tc>
        <w:tc>
          <w:tcPr>
            <w:tcW w:w="1168" w:type="dxa"/>
            <w:noWrap/>
            <w:vAlign w:val="bottom"/>
            <w:hideMark/>
          </w:tcPr>
          <w:p w14:paraId="22C1D5DD"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137</w:t>
            </w:r>
          </w:p>
        </w:tc>
        <w:tc>
          <w:tcPr>
            <w:tcW w:w="888" w:type="dxa"/>
            <w:noWrap/>
            <w:vAlign w:val="bottom"/>
            <w:hideMark/>
          </w:tcPr>
          <w:p w14:paraId="0136481F"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56.8</w:t>
            </w:r>
          </w:p>
        </w:tc>
      </w:tr>
      <w:tr w:rsidR="00451912" w:rsidRPr="00451912" w14:paraId="066C9206" w14:textId="77777777" w:rsidTr="00451912">
        <w:trPr>
          <w:trHeight w:val="216"/>
        </w:trPr>
        <w:tc>
          <w:tcPr>
            <w:tcW w:w="2631" w:type="dxa"/>
            <w:vAlign w:val="bottom"/>
            <w:hideMark/>
          </w:tcPr>
          <w:p w14:paraId="3FBD41D2" w14:textId="77777777" w:rsidR="00451912" w:rsidRPr="00451912" w:rsidRDefault="00451912" w:rsidP="00451912">
            <w:pPr>
              <w:jc w:val="both"/>
              <w:rPr>
                <w:rFonts w:ascii="Garamond" w:hAnsi="Garamond"/>
                <w:b/>
                <w:bCs/>
                <w:iCs/>
                <w:sz w:val="20"/>
                <w:szCs w:val="20"/>
              </w:rPr>
            </w:pPr>
            <w:r w:rsidRPr="00451912">
              <w:rPr>
                <w:rFonts w:ascii="Garamond" w:hAnsi="Garamond"/>
                <w:b/>
                <w:bCs/>
                <w:iCs/>
                <w:sz w:val="20"/>
                <w:szCs w:val="20"/>
              </w:rPr>
              <w:t>Ever cut back of stopped taking medication without telling doctor, because you felt worse when you took it</w:t>
            </w:r>
          </w:p>
        </w:tc>
        <w:tc>
          <w:tcPr>
            <w:tcW w:w="1168" w:type="dxa"/>
            <w:noWrap/>
            <w:vAlign w:val="bottom"/>
            <w:hideMark/>
          </w:tcPr>
          <w:p w14:paraId="5A92E6B3" w14:textId="77777777" w:rsidR="00451912" w:rsidRPr="00451912" w:rsidRDefault="00451912" w:rsidP="00451912">
            <w:pPr>
              <w:jc w:val="both"/>
              <w:rPr>
                <w:rFonts w:ascii="Garamond" w:hAnsi="Garamond"/>
                <w:b/>
                <w:bCs/>
                <w:iCs/>
                <w:sz w:val="20"/>
                <w:szCs w:val="20"/>
              </w:rPr>
            </w:pPr>
          </w:p>
        </w:tc>
        <w:tc>
          <w:tcPr>
            <w:tcW w:w="888" w:type="dxa"/>
            <w:noWrap/>
            <w:vAlign w:val="bottom"/>
            <w:hideMark/>
          </w:tcPr>
          <w:p w14:paraId="50A9353F" w14:textId="77777777" w:rsidR="00451912" w:rsidRPr="00451912" w:rsidRDefault="00451912" w:rsidP="00451912">
            <w:pPr>
              <w:jc w:val="both"/>
              <w:rPr>
                <w:rFonts w:ascii="Garamond" w:hAnsi="Garamond"/>
                <w:bCs/>
                <w:iCs/>
                <w:sz w:val="20"/>
                <w:szCs w:val="20"/>
              </w:rPr>
            </w:pPr>
          </w:p>
        </w:tc>
      </w:tr>
      <w:tr w:rsidR="00451912" w:rsidRPr="00451912" w14:paraId="7C30E28B" w14:textId="77777777" w:rsidTr="00451912">
        <w:trPr>
          <w:trHeight w:val="66"/>
        </w:trPr>
        <w:tc>
          <w:tcPr>
            <w:tcW w:w="2631" w:type="dxa"/>
            <w:vAlign w:val="bottom"/>
            <w:hideMark/>
          </w:tcPr>
          <w:p w14:paraId="0E2AA562"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Yes</w:t>
            </w:r>
          </w:p>
        </w:tc>
        <w:tc>
          <w:tcPr>
            <w:tcW w:w="1168" w:type="dxa"/>
            <w:noWrap/>
            <w:vAlign w:val="bottom"/>
            <w:hideMark/>
          </w:tcPr>
          <w:p w14:paraId="151752BB"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126</w:t>
            </w:r>
          </w:p>
        </w:tc>
        <w:tc>
          <w:tcPr>
            <w:tcW w:w="888" w:type="dxa"/>
            <w:noWrap/>
            <w:vAlign w:val="bottom"/>
            <w:hideMark/>
          </w:tcPr>
          <w:p w14:paraId="3ACD9744"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52.3</w:t>
            </w:r>
          </w:p>
        </w:tc>
      </w:tr>
      <w:tr w:rsidR="00451912" w:rsidRPr="00451912" w14:paraId="02E8AF13" w14:textId="77777777" w:rsidTr="00451912">
        <w:trPr>
          <w:trHeight w:val="66"/>
        </w:trPr>
        <w:tc>
          <w:tcPr>
            <w:tcW w:w="2631" w:type="dxa"/>
            <w:vAlign w:val="bottom"/>
            <w:hideMark/>
          </w:tcPr>
          <w:p w14:paraId="7A6FDC56"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No</w:t>
            </w:r>
          </w:p>
        </w:tc>
        <w:tc>
          <w:tcPr>
            <w:tcW w:w="1168" w:type="dxa"/>
            <w:noWrap/>
            <w:vAlign w:val="bottom"/>
            <w:hideMark/>
          </w:tcPr>
          <w:p w14:paraId="3064DA89"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115</w:t>
            </w:r>
          </w:p>
        </w:tc>
        <w:tc>
          <w:tcPr>
            <w:tcW w:w="888" w:type="dxa"/>
            <w:noWrap/>
            <w:vAlign w:val="bottom"/>
            <w:hideMark/>
          </w:tcPr>
          <w:p w14:paraId="28208706"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47.7</w:t>
            </w:r>
          </w:p>
        </w:tc>
      </w:tr>
      <w:tr w:rsidR="00451912" w:rsidRPr="00451912" w14:paraId="6049BC71" w14:textId="77777777" w:rsidTr="00451912">
        <w:trPr>
          <w:trHeight w:val="77"/>
        </w:trPr>
        <w:tc>
          <w:tcPr>
            <w:tcW w:w="2631" w:type="dxa"/>
            <w:vAlign w:val="bottom"/>
            <w:hideMark/>
          </w:tcPr>
          <w:p w14:paraId="339120BA" w14:textId="77777777" w:rsidR="00451912" w:rsidRPr="00451912" w:rsidRDefault="00451912" w:rsidP="00451912">
            <w:pPr>
              <w:jc w:val="both"/>
              <w:rPr>
                <w:rFonts w:ascii="Garamond" w:hAnsi="Garamond"/>
                <w:b/>
                <w:bCs/>
                <w:iCs/>
                <w:sz w:val="20"/>
                <w:szCs w:val="20"/>
              </w:rPr>
            </w:pPr>
            <w:r w:rsidRPr="00451912">
              <w:rPr>
                <w:rFonts w:ascii="Garamond" w:hAnsi="Garamond"/>
                <w:b/>
                <w:bCs/>
                <w:iCs/>
                <w:sz w:val="20"/>
                <w:szCs w:val="20"/>
              </w:rPr>
              <w:t>Sometimes forget to bring along medication when you travel</w:t>
            </w:r>
          </w:p>
        </w:tc>
        <w:tc>
          <w:tcPr>
            <w:tcW w:w="1168" w:type="dxa"/>
            <w:noWrap/>
            <w:vAlign w:val="bottom"/>
            <w:hideMark/>
          </w:tcPr>
          <w:p w14:paraId="61A15B95" w14:textId="77777777" w:rsidR="00451912" w:rsidRPr="00451912" w:rsidRDefault="00451912" w:rsidP="00451912">
            <w:pPr>
              <w:jc w:val="both"/>
              <w:rPr>
                <w:rFonts w:ascii="Garamond" w:hAnsi="Garamond"/>
                <w:b/>
                <w:bCs/>
                <w:iCs/>
                <w:sz w:val="20"/>
                <w:szCs w:val="20"/>
              </w:rPr>
            </w:pPr>
          </w:p>
        </w:tc>
        <w:tc>
          <w:tcPr>
            <w:tcW w:w="888" w:type="dxa"/>
            <w:noWrap/>
            <w:vAlign w:val="bottom"/>
            <w:hideMark/>
          </w:tcPr>
          <w:p w14:paraId="06435613" w14:textId="77777777" w:rsidR="00451912" w:rsidRPr="00451912" w:rsidRDefault="00451912" w:rsidP="00451912">
            <w:pPr>
              <w:jc w:val="both"/>
              <w:rPr>
                <w:rFonts w:ascii="Garamond" w:hAnsi="Garamond"/>
                <w:bCs/>
                <w:iCs/>
                <w:sz w:val="20"/>
                <w:szCs w:val="20"/>
              </w:rPr>
            </w:pPr>
          </w:p>
        </w:tc>
      </w:tr>
      <w:tr w:rsidR="00451912" w:rsidRPr="00451912" w14:paraId="30C31442" w14:textId="77777777" w:rsidTr="00451912">
        <w:trPr>
          <w:trHeight w:val="66"/>
        </w:trPr>
        <w:tc>
          <w:tcPr>
            <w:tcW w:w="2631" w:type="dxa"/>
            <w:vAlign w:val="bottom"/>
            <w:hideMark/>
          </w:tcPr>
          <w:p w14:paraId="07CF14F8"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Yes</w:t>
            </w:r>
          </w:p>
        </w:tc>
        <w:tc>
          <w:tcPr>
            <w:tcW w:w="1168" w:type="dxa"/>
            <w:noWrap/>
            <w:vAlign w:val="bottom"/>
            <w:hideMark/>
          </w:tcPr>
          <w:p w14:paraId="2E64205F"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134</w:t>
            </w:r>
          </w:p>
        </w:tc>
        <w:tc>
          <w:tcPr>
            <w:tcW w:w="888" w:type="dxa"/>
            <w:noWrap/>
            <w:vAlign w:val="bottom"/>
            <w:hideMark/>
          </w:tcPr>
          <w:p w14:paraId="523AB1C8"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55.6</w:t>
            </w:r>
          </w:p>
        </w:tc>
      </w:tr>
      <w:tr w:rsidR="00451912" w:rsidRPr="00451912" w14:paraId="266EED09" w14:textId="77777777" w:rsidTr="00451912">
        <w:trPr>
          <w:trHeight w:val="66"/>
        </w:trPr>
        <w:tc>
          <w:tcPr>
            <w:tcW w:w="2631" w:type="dxa"/>
            <w:vAlign w:val="bottom"/>
            <w:hideMark/>
          </w:tcPr>
          <w:p w14:paraId="46ECF035"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lastRenderedPageBreak/>
              <w:t>No</w:t>
            </w:r>
          </w:p>
        </w:tc>
        <w:tc>
          <w:tcPr>
            <w:tcW w:w="1168" w:type="dxa"/>
            <w:noWrap/>
            <w:vAlign w:val="bottom"/>
            <w:hideMark/>
          </w:tcPr>
          <w:p w14:paraId="0AC7FEFE"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107</w:t>
            </w:r>
          </w:p>
        </w:tc>
        <w:tc>
          <w:tcPr>
            <w:tcW w:w="888" w:type="dxa"/>
            <w:noWrap/>
            <w:vAlign w:val="bottom"/>
            <w:hideMark/>
          </w:tcPr>
          <w:p w14:paraId="358E12AB"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44.4</w:t>
            </w:r>
          </w:p>
        </w:tc>
      </w:tr>
      <w:tr w:rsidR="00451912" w:rsidRPr="00451912" w14:paraId="490D15C5" w14:textId="77777777" w:rsidTr="00451912">
        <w:trPr>
          <w:trHeight w:val="131"/>
        </w:trPr>
        <w:tc>
          <w:tcPr>
            <w:tcW w:w="2631" w:type="dxa"/>
            <w:vAlign w:val="bottom"/>
            <w:hideMark/>
          </w:tcPr>
          <w:p w14:paraId="08882D9E" w14:textId="77777777" w:rsidR="00451912" w:rsidRPr="00451912" w:rsidRDefault="00451912" w:rsidP="00451912">
            <w:pPr>
              <w:jc w:val="both"/>
              <w:rPr>
                <w:rFonts w:ascii="Garamond" w:hAnsi="Garamond"/>
                <w:b/>
                <w:bCs/>
                <w:iCs/>
                <w:sz w:val="20"/>
                <w:szCs w:val="20"/>
              </w:rPr>
            </w:pPr>
            <w:r w:rsidRPr="00451912">
              <w:rPr>
                <w:rFonts w:ascii="Garamond" w:hAnsi="Garamond"/>
                <w:b/>
                <w:bCs/>
                <w:iCs/>
                <w:sz w:val="20"/>
                <w:szCs w:val="20"/>
              </w:rPr>
              <w:t>Took medication yesterday</w:t>
            </w:r>
          </w:p>
        </w:tc>
        <w:tc>
          <w:tcPr>
            <w:tcW w:w="1168" w:type="dxa"/>
            <w:noWrap/>
            <w:vAlign w:val="bottom"/>
            <w:hideMark/>
          </w:tcPr>
          <w:p w14:paraId="6B4AB47A" w14:textId="77777777" w:rsidR="00451912" w:rsidRPr="00451912" w:rsidRDefault="00451912" w:rsidP="00451912">
            <w:pPr>
              <w:jc w:val="both"/>
              <w:rPr>
                <w:rFonts w:ascii="Garamond" w:hAnsi="Garamond"/>
                <w:b/>
                <w:bCs/>
                <w:iCs/>
                <w:sz w:val="20"/>
                <w:szCs w:val="20"/>
              </w:rPr>
            </w:pPr>
          </w:p>
        </w:tc>
        <w:tc>
          <w:tcPr>
            <w:tcW w:w="888" w:type="dxa"/>
            <w:noWrap/>
            <w:vAlign w:val="bottom"/>
            <w:hideMark/>
          </w:tcPr>
          <w:p w14:paraId="2BFAA15C" w14:textId="77777777" w:rsidR="00451912" w:rsidRPr="00451912" w:rsidRDefault="00451912" w:rsidP="00451912">
            <w:pPr>
              <w:jc w:val="both"/>
              <w:rPr>
                <w:rFonts w:ascii="Garamond" w:hAnsi="Garamond"/>
                <w:bCs/>
                <w:iCs/>
                <w:sz w:val="20"/>
                <w:szCs w:val="20"/>
              </w:rPr>
            </w:pPr>
          </w:p>
        </w:tc>
      </w:tr>
      <w:tr w:rsidR="00451912" w:rsidRPr="00451912" w14:paraId="5DF0D2BC" w14:textId="77777777" w:rsidTr="00451912">
        <w:trPr>
          <w:trHeight w:val="66"/>
        </w:trPr>
        <w:tc>
          <w:tcPr>
            <w:tcW w:w="2631" w:type="dxa"/>
            <w:vAlign w:val="bottom"/>
            <w:hideMark/>
          </w:tcPr>
          <w:p w14:paraId="16090E1F"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Yes</w:t>
            </w:r>
          </w:p>
        </w:tc>
        <w:tc>
          <w:tcPr>
            <w:tcW w:w="1168" w:type="dxa"/>
            <w:noWrap/>
            <w:vAlign w:val="bottom"/>
            <w:hideMark/>
          </w:tcPr>
          <w:p w14:paraId="746F6FC9"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208</w:t>
            </w:r>
          </w:p>
        </w:tc>
        <w:tc>
          <w:tcPr>
            <w:tcW w:w="888" w:type="dxa"/>
            <w:noWrap/>
            <w:vAlign w:val="bottom"/>
            <w:hideMark/>
          </w:tcPr>
          <w:p w14:paraId="72205885"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86.3</w:t>
            </w:r>
          </w:p>
        </w:tc>
      </w:tr>
      <w:tr w:rsidR="00451912" w:rsidRPr="00451912" w14:paraId="7753FACE" w14:textId="77777777" w:rsidTr="00451912">
        <w:trPr>
          <w:trHeight w:val="66"/>
        </w:trPr>
        <w:tc>
          <w:tcPr>
            <w:tcW w:w="2631" w:type="dxa"/>
            <w:vAlign w:val="bottom"/>
            <w:hideMark/>
          </w:tcPr>
          <w:p w14:paraId="7AD17034"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No</w:t>
            </w:r>
          </w:p>
        </w:tc>
        <w:tc>
          <w:tcPr>
            <w:tcW w:w="1168" w:type="dxa"/>
            <w:noWrap/>
            <w:vAlign w:val="bottom"/>
            <w:hideMark/>
          </w:tcPr>
          <w:p w14:paraId="4FCA6909"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33</w:t>
            </w:r>
          </w:p>
        </w:tc>
        <w:tc>
          <w:tcPr>
            <w:tcW w:w="888" w:type="dxa"/>
            <w:noWrap/>
            <w:vAlign w:val="bottom"/>
            <w:hideMark/>
          </w:tcPr>
          <w:p w14:paraId="232C58B6"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13.7</w:t>
            </w:r>
          </w:p>
        </w:tc>
      </w:tr>
      <w:tr w:rsidR="00451912" w:rsidRPr="00451912" w14:paraId="2EA177F1" w14:textId="77777777" w:rsidTr="00451912">
        <w:trPr>
          <w:trHeight w:val="197"/>
        </w:trPr>
        <w:tc>
          <w:tcPr>
            <w:tcW w:w="2631" w:type="dxa"/>
            <w:vAlign w:val="bottom"/>
            <w:hideMark/>
          </w:tcPr>
          <w:p w14:paraId="6BC9B5FB" w14:textId="77777777" w:rsidR="00451912" w:rsidRPr="00451912" w:rsidRDefault="00451912" w:rsidP="00451912">
            <w:pPr>
              <w:jc w:val="both"/>
              <w:rPr>
                <w:rFonts w:ascii="Garamond" w:hAnsi="Garamond"/>
                <w:b/>
                <w:bCs/>
                <w:iCs/>
                <w:sz w:val="20"/>
                <w:szCs w:val="20"/>
              </w:rPr>
            </w:pPr>
            <w:r w:rsidRPr="00451912">
              <w:rPr>
                <w:rFonts w:ascii="Garamond" w:hAnsi="Garamond"/>
                <w:b/>
                <w:bCs/>
                <w:iCs/>
                <w:sz w:val="20"/>
                <w:szCs w:val="20"/>
              </w:rPr>
              <w:t xml:space="preserve">Sometimes stop taking medication when feel healthy </w:t>
            </w:r>
          </w:p>
        </w:tc>
        <w:tc>
          <w:tcPr>
            <w:tcW w:w="1168" w:type="dxa"/>
            <w:noWrap/>
            <w:vAlign w:val="bottom"/>
            <w:hideMark/>
          </w:tcPr>
          <w:p w14:paraId="345755D8" w14:textId="77777777" w:rsidR="00451912" w:rsidRPr="00451912" w:rsidRDefault="00451912" w:rsidP="00451912">
            <w:pPr>
              <w:jc w:val="both"/>
              <w:rPr>
                <w:rFonts w:ascii="Garamond" w:hAnsi="Garamond"/>
                <w:b/>
                <w:bCs/>
                <w:iCs/>
                <w:sz w:val="20"/>
                <w:szCs w:val="20"/>
              </w:rPr>
            </w:pPr>
          </w:p>
        </w:tc>
        <w:tc>
          <w:tcPr>
            <w:tcW w:w="888" w:type="dxa"/>
            <w:noWrap/>
            <w:vAlign w:val="bottom"/>
            <w:hideMark/>
          </w:tcPr>
          <w:p w14:paraId="15851C75" w14:textId="77777777" w:rsidR="00451912" w:rsidRPr="00451912" w:rsidRDefault="00451912" w:rsidP="00451912">
            <w:pPr>
              <w:jc w:val="both"/>
              <w:rPr>
                <w:rFonts w:ascii="Garamond" w:hAnsi="Garamond"/>
                <w:bCs/>
                <w:iCs/>
                <w:sz w:val="20"/>
                <w:szCs w:val="20"/>
              </w:rPr>
            </w:pPr>
          </w:p>
        </w:tc>
      </w:tr>
      <w:tr w:rsidR="00451912" w:rsidRPr="00451912" w14:paraId="2BA36137" w14:textId="77777777" w:rsidTr="00451912">
        <w:trPr>
          <w:trHeight w:val="66"/>
        </w:trPr>
        <w:tc>
          <w:tcPr>
            <w:tcW w:w="2631" w:type="dxa"/>
            <w:vAlign w:val="bottom"/>
            <w:hideMark/>
          </w:tcPr>
          <w:p w14:paraId="03831E50"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Yes</w:t>
            </w:r>
          </w:p>
        </w:tc>
        <w:tc>
          <w:tcPr>
            <w:tcW w:w="1168" w:type="dxa"/>
            <w:noWrap/>
            <w:vAlign w:val="bottom"/>
            <w:hideMark/>
          </w:tcPr>
          <w:p w14:paraId="582E9AA8"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131</w:t>
            </w:r>
          </w:p>
        </w:tc>
        <w:tc>
          <w:tcPr>
            <w:tcW w:w="888" w:type="dxa"/>
            <w:noWrap/>
            <w:vAlign w:val="bottom"/>
            <w:hideMark/>
          </w:tcPr>
          <w:p w14:paraId="0EF016B2"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54.4</w:t>
            </w:r>
          </w:p>
        </w:tc>
      </w:tr>
      <w:tr w:rsidR="00451912" w:rsidRPr="00451912" w14:paraId="41D72438" w14:textId="77777777" w:rsidTr="00451912">
        <w:trPr>
          <w:trHeight w:val="66"/>
        </w:trPr>
        <w:tc>
          <w:tcPr>
            <w:tcW w:w="2631" w:type="dxa"/>
            <w:vAlign w:val="bottom"/>
            <w:hideMark/>
          </w:tcPr>
          <w:p w14:paraId="35D53773"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No</w:t>
            </w:r>
          </w:p>
        </w:tc>
        <w:tc>
          <w:tcPr>
            <w:tcW w:w="1168" w:type="dxa"/>
            <w:noWrap/>
            <w:vAlign w:val="bottom"/>
            <w:hideMark/>
          </w:tcPr>
          <w:p w14:paraId="4FBD00A8"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110</w:t>
            </w:r>
          </w:p>
        </w:tc>
        <w:tc>
          <w:tcPr>
            <w:tcW w:w="888" w:type="dxa"/>
            <w:noWrap/>
            <w:vAlign w:val="bottom"/>
            <w:hideMark/>
          </w:tcPr>
          <w:p w14:paraId="20CF0A9E"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45.6</w:t>
            </w:r>
          </w:p>
        </w:tc>
      </w:tr>
      <w:tr w:rsidR="00451912" w:rsidRPr="00451912" w14:paraId="34A1E698" w14:textId="77777777" w:rsidTr="00451912">
        <w:trPr>
          <w:trHeight w:val="197"/>
        </w:trPr>
        <w:tc>
          <w:tcPr>
            <w:tcW w:w="2631" w:type="dxa"/>
            <w:vAlign w:val="bottom"/>
            <w:hideMark/>
          </w:tcPr>
          <w:p w14:paraId="7595437E" w14:textId="77777777" w:rsidR="00451912" w:rsidRPr="00451912" w:rsidRDefault="00451912" w:rsidP="00451912">
            <w:pPr>
              <w:jc w:val="both"/>
              <w:rPr>
                <w:rFonts w:ascii="Garamond" w:hAnsi="Garamond"/>
                <w:b/>
                <w:bCs/>
                <w:iCs/>
                <w:sz w:val="20"/>
                <w:szCs w:val="20"/>
              </w:rPr>
            </w:pPr>
            <w:r w:rsidRPr="00451912">
              <w:rPr>
                <w:rFonts w:ascii="Garamond" w:hAnsi="Garamond"/>
                <w:b/>
                <w:bCs/>
                <w:iCs/>
                <w:sz w:val="20"/>
                <w:szCs w:val="20"/>
              </w:rPr>
              <w:t>Get hassled about sticking to your medication</w:t>
            </w:r>
          </w:p>
        </w:tc>
        <w:tc>
          <w:tcPr>
            <w:tcW w:w="1168" w:type="dxa"/>
            <w:noWrap/>
            <w:vAlign w:val="bottom"/>
            <w:hideMark/>
          </w:tcPr>
          <w:p w14:paraId="7A4B4017" w14:textId="77777777" w:rsidR="00451912" w:rsidRPr="00451912" w:rsidRDefault="00451912" w:rsidP="00451912">
            <w:pPr>
              <w:jc w:val="both"/>
              <w:rPr>
                <w:rFonts w:ascii="Garamond" w:hAnsi="Garamond"/>
                <w:b/>
                <w:bCs/>
                <w:iCs/>
                <w:sz w:val="20"/>
                <w:szCs w:val="20"/>
              </w:rPr>
            </w:pPr>
          </w:p>
        </w:tc>
        <w:tc>
          <w:tcPr>
            <w:tcW w:w="888" w:type="dxa"/>
            <w:noWrap/>
            <w:vAlign w:val="bottom"/>
            <w:hideMark/>
          </w:tcPr>
          <w:p w14:paraId="33E6B45B" w14:textId="77777777" w:rsidR="00451912" w:rsidRPr="00451912" w:rsidRDefault="00451912" w:rsidP="00451912">
            <w:pPr>
              <w:jc w:val="both"/>
              <w:rPr>
                <w:rFonts w:ascii="Garamond" w:hAnsi="Garamond"/>
                <w:bCs/>
                <w:iCs/>
                <w:sz w:val="20"/>
                <w:szCs w:val="20"/>
              </w:rPr>
            </w:pPr>
          </w:p>
        </w:tc>
      </w:tr>
      <w:tr w:rsidR="00451912" w:rsidRPr="00451912" w14:paraId="51796484" w14:textId="77777777" w:rsidTr="00451912">
        <w:trPr>
          <w:trHeight w:val="66"/>
        </w:trPr>
        <w:tc>
          <w:tcPr>
            <w:tcW w:w="2631" w:type="dxa"/>
            <w:vAlign w:val="bottom"/>
            <w:hideMark/>
          </w:tcPr>
          <w:p w14:paraId="42181F66"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Yes</w:t>
            </w:r>
          </w:p>
        </w:tc>
        <w:tc>
          <w:tcPr>
            <w:tcW w:w="1168" w:type="dxa"/>
            <w:noWrap/>
            <w:vAlign w:val="bottom"/>
            <w:hideMark/>
          </w:tcPr>
          <w:p w14:paraId="32795F27"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187</w:t>
            </w:r>
          </w:p>
        </w:tc>
        <w:tc>
          <w:tcPr>
            <w:tcW w:w="888" w:type="dxa"/>
            <w:noWrap/>
            <w:vAlign w:val="bottom"/>
            <w:hideMark/>
          </w:tcPr>
          <w:p w14:paraId="75441F80"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77.6</w:t>
            </w:r>
          </w:p>
        </w:tc>
      </w:tr>
      <w:tr w:rsidR="00451912" w:rsidRPr="00451912" w14:paraId="6671CDE9" w14:textId="77777777" w:rsidTr="00451912">
        <w:trPr>
          <w:trHeight w:val="66"/>
        </w:trPr>
        <w:tc>
          <w:tcPr>
            <w:tcW w:w="2631" w:type="dxa"/>
            <w:vAlign w:val="bottom"/>
            <w:hideMark/>
          </w:tcPr>
          <w:p w14:paraId="3911EEE6"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No</w:t>
            </w:r>
          </w:p>
        </w:tc>
        <w:tc>
          <w:tcPr>
            <w:tcW w:w="1168" w:type="dxa"/>
            <w:noWrap/>
            <w:vAlign w:val="bottom"/>
            <w:hideMark/>
          </w:tcPr>
          <w:p w14:paraId="0006CA52"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54</w:t>
            </w:r>
          </w:p>
        </w:tc>
        <w:tc>
          <w:tcPr>
            <w:tcW w:w="888" w:type="dxa"/>
            <w:noWrap/>
            <w:vAlign w:val="bottom"/>
            <w:hideMark/>
          </w:tcPr>
          <w:p w14:paraId="1F8C5A52"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22.4</w:t>
            </w:r>
          </w:p>
        </w:tc>
      </w:tr>
      <w:tr w:rsidR="00451912" w:rsidRPr="00451912" w14:paraId="5A61DC1C" w14:textId="77777777" w:rsidTr="00451912">
        <w:trPr>
          <w:trHeight w:val="197"/>
        </w:trPr>
        <w:tc>
          <w:tcPr>
            <w:tcW w:w="2631" w:type="dxa"/>
            <w:vAlign w:val="bottom"/>
            <w:hideMark/>
          </w:tcPr>
          <w:p w14:paraId="36F54E1E" w14:textId="77777777" w:rsidR="00451912" w:rsidRPr="00451912" w:rsidRDefault="00451912" w:rsidP="00451912">
            <w:pPr>
              <w:jc w:val="both"/>
              <w:rPr>
                <w:rFonts w:ascii="Garamond" w:hAnsi="Garamond"/>
                <w:b/>
                <w:bCs/>
                <w:iCs/>
                <w:sz w:val="20"/>
                <w:szCs w:val="20"/>
              </w:rPr>
            </w:pPr>
            <w:r w:rsidRPr="00451912">
              <w:rPr>
                <w:rFonts w:ascii="Garamond" w:hAnsi="Garamond"/>
                <w:b/>
                <w:bCs/>
                <w:iCs/>
                <w:sz w:val="20"/>
                <w:szCs w:val="20"/>
              </w:rPr>
              <w:t xml:space="preserve">Have difficulty remembering to take all your medication </w:t>
            </w:r>
          </w:p>
        </w:tc>
        <w:tc>
          <w:tcPr>
            <w:tcW w:w="1168" w:type="dxa"/>
            <w:noWrap/>
            <w:vAlign w:val="bottom"/>
            <w:hideMark/>
          </w:tcPr>
          <w:p w14:paraId="7BC2B301" w14:textId="77777777" w:rsidR="00451912" w:rsidRPr="00451912" w:rsidRDefault="00451912" w:rsidP="00451912">
            <w:pPr>
              <w:jc w:val="both"/>
              <w:rPr>
                <w:rFonts w:ascii="Garamond" w:hAnsi="Garamond"/>
                <w:b/>
                <w:bCs/>
                <w:iCs/>
                <w:sz w:val="20"/>
                <w:szCs w:val="20"/>
              </w:rPr>
            </w:pPr>
          </w:p>
        </w:tc>
        <w:tc>
          <w:tcPr>
            <w:tcW w:w="888" w:type="dxa"/>
            <w:noWrap/>
            <w:vAlign w:val="bottom"/>
            <w:hideMark/>
          </w:tcPr>
          <w:p w14:paraId="775A32F5" w14:textId="77777777" w:rsidR="00451912" w:rsidRPr="00451912" w:rsidRDefault="00451912" w:rsidP="00451912">
            <w:pPr>
              <w:jc w:val="both"/>
              <w:rPr>
                <w:rFonts w:ascii="Garamond" w:hAnsi="Garamond"/>
                <w:bCs/>
                <w:iCs/>
                <w:sz w:val="20"/>
                <w:szCs w:val="20"/>
              </w:rPr>
            </w:pPr>
          </w:p>
        </w:tc>
      </w:tr>
      <w:tr w:rsidR="00451912" w:rsidRPr="00451912" w14:paraId="459258D2" w14:textId="77777777" w:rsidTr="00451912">
        <w:trPr>
          <w:trHeight w:val="66"/>
        </w:trPr>
        <w:tc>
          <w:tcPr>
            <w:tcW w:w="2631" w:type="dxa"/>
            <w:vAlign w:val="bottom"/>
            <w:hideMark/>
          </w:tcPr>
          <w:p w14:paraId="774608CB"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Never</w:t>
            </w:r>
          </w:p>
        </w:tc>
        <w:tc>
          <w:tcPr>
            <w:tcW w:w="1168" w:type="dxa"/>
            <w:noWrap/>
            <w:vAlign w:val="bottom"/>
            <w:hideMark/>
          </w:tcPr>
          <w:p w14:paraId="54CC3FCB"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63</w:t>
            </w:r>
          </w:p>
        </w:tc>
        <w:tc>
          <w:tcPr>
            <w:tcW w:w="888" w:type="dxa"/>
            <w:noWrap/>
            <w:vAlign w:val="bottom"/>
            <w:hideMark/>
          </w:tcPr>
          <w:p w14:paraId="3AB825E3"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26.1</w:t>
            </w:r>
          </w:p>
        </w:tc>
      </w:tr>
      <w:tr w:rsidR="00451912" w:rsidRPr="00451912" w14:paraId="753A473D" w14:textId="77777777" w:rsidTr="00451912">
        <w:trPr>
          <w:trHeight w:val="66"/>
        </w:trPr>
        <w:tc>
          <w:tcPr>
            <w:tcW w:w="2631" w:type="dxa"/>
            <w:vAlign w:val="bottom"/>
            <w:hideMark/>
          </w:tcPr>
          <w:p w14:paraId="1A664496"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Sometimes</w:t>
            </w:r>
          </w:p>
        </w:tc>
        <w:tc>
          <w:tcPr>
            <w:tcW w:w="1168" w:type="dxa"/>
            <w:noWrap/>
            <w:vAlign w:val="bottom"/>
            <w:hideMark/>
          </w:tcPr>
          <w:p w14:paraId="6061EF3B"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130</w:t>
            </w:r>
          </w:p>
        </w:tc>
        <w:tc>
          <w:tcPr>
            <w:tcW w:w="888" w:type="dxa"/>
            <w:noWrap/>
            <w:vAlign w:val="bottom"/>
            <w:hideMark/>
          </w:tcPr>
          <w:p w14:paraId="282381E0"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53.9</w:t>
            </w:r>
          </w:p>
        </w:tc>
      </w:tr>
      <w:tr w:rsidR="00451912" w:rsidRPr="00451912" w14:paraId="2A72DEB2" w14:textId="77777777" w:rsidTr="00451912">
        <w:trPr>
          <w:trHeight w:val="66"/>
        </w:trPr>
        <w:tc>
          <w:tcPr>
            <w:tcW w:w="2631" w:type="dxa"/>
            <w:vAlign w:val="bottom"/>
            <w:hideMark/>
          </w:tcPr>
          <w:p w14:paraId="57CBD955"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Often</w:t>
            </w:r>
          </w:p>
        </w:tc>
        <w:tc>
          <w:tcPr>
            <w:tcW w:w="1168" w:type="dxa"/>
            <w:noWrap/>
            <w:vAlign w:val="bottom"/>
            <w:hideMark/>
          </w:tcPr>
          <w:p w14:paraId="425D7A8E"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39</w:t>
            </w:r>
          </w:p>
        </w:tc>
        <w:tc>
          <w:tcPr>
            <w:tcW w:w="888" w:type="dxa"/>
            <w:noWrap/>
            <w:vAlign w:val="bottom"/>
            <w:hideMark/>
          </w:tcPr>
          <w:p w14:paraId="173369E9"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16.2</w:t>
            </w:r>
          </w:p>
        </w:tc>
      </w:tr>
      <w:tr w:rsidR="00451912" w:rsidRPr="00451912" w14:paraId="571CABCC" w14:textId="77777777" w:rsidTr="00451912">
        <w:trPr>
          <w:trHeight w:val="66"/>
        </w:trPr>
        <w:tc>
          <w:tcPr>
            <w:tcW w:w="2631" w:type="dxa"/>
            <w:tcBorders>
              <w:top w:val="nil"/>
              <w:left w:val="nil"/>
              <w:bottom w:val="single" w:sz="4" w:space="0" w:color="auto"/>
              <w:right w:val="nil"/>
            </w:tcBorders>
            <w:vAlign w:val="bottom"/>
            <w:hideMark/>
          </w:tcPr>
          <w:p w14:paraId="13D61E58"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Always</w:t>
            </w:r>
          </w:p>
        </w:tc>
        <w:tc>
          <w:tcPr>
            <w:tcW w:w="1168" w:type="dxa"/>
            <w:tcBorders>
              <w:top w:val="nil"/>
              <w:left w:val="nil"/>
              <w:bottom w:val="single" w:sz="4" w:space="0" w:color="auto"/>
              <w:right w:val="nil"/>
            </w:tcBorders>
            <w:noWrap/>
            <w:vAlign w:val="bottom"/>
            <w:hideMark/>
          </w:tcPr>
          <w:p w14:paraId="1856DAFB"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9</w:t>
            </w:r>
          </w:p>
        </w:tc>
        <w:tc>
          <w:tcPr>
            <w:tcW w:w="888" w:type="dxa"/>
            <w:tcBorders>
              <w:top w:val="nil"/>
              <w:left w:val="nil"/>
              <w:bottom w:val="single" w:sz="4" w:space="0" w:color="auto"/>
              <w:right w:val="nil"/>
            </w:tcBorders>
            <w:noWrap/>
            <w:vAlign w:val="bottom"/>
            <w:hideMark/>
          </w:tcPr>
          <w:p w14:paraId="571B8DD3" w14:textId="77777777" w:rsidR="00451912" w:rsidRPr="00451912" w:rsidRDefault="00451912" w:rsidP="00451912">
            <w:pPr>
              <w:jc w:val="both"/>
              <w:rPr>
                <w:rFonts w:ascii="Garamond" w:hAnsi="Garamond"/>
                <w:bCs/>
                <w:iCs/>
                <w:sz w:val="20"/>
                <w:szCs w:val="20"/>
              </w:rPr>
            </w:pPr>
            <w:r w:rsidRPr="00451912">
              <w:rPr>
                <w:rFonts w:ascii="Garamond" w:hAnsi="Garamond"/>
                <w:bCs/>
                <w:iCs/>
                <w:sz w:val="20"/>
                <w:szCs w:val="20"/>
              </w:rPr>
              <w:t>3.7</w:t>
            </w:r>
          </w:p>
        </w:tc>
      </w:tr>
    </w:tbl>
    <w:p w14:paraId="01F78A47" w14:textId="77777777" w:rsidR="00451912" w:rsidRPr="00451912" w:rsidRDefault="00451912" w:rsidP="00451912">
      <w:pPr>
        <w:spacing w:line="259" w:lineRule="auto"/>
        <w:jc w:val="both"/>
        <w:rPr>
          <w:rFonts w:ascii="Garamond" w:hAnsi="Garamond"/>
          <w:bCs/>
          <w:iCs/>
          <w:sz w:val="20"/>
          <w:szCs w:val="20"/>
        </w:rPr>
      </w:pPr>
    </w:p>
    <w:p w14:paraId="10807F1E" w14:textId="77777777" w:rsidR="00451912" w:rsidRDefault="00451912" w:rsidP="00451912">
      <w:pPr>
        <w:spacing w:line="259" w:lineRule="auto"/>
        <w:jc w:val="both"/>
        <w:rPr>
          <w:rFonts w:ascii="Garamond" w:hAnsi="Garamond"/>
          <w:bCs/>
          <w:iCs/>
          <w:sz w:val="20"/>
          <w:szCs w:val="20"/>
        </w:rPr>
      </w:pPr>
      <w:r w:rsidRPr="00451912">
        <w:rPr>
          <w:rFonts w:ascii="Garamond" w:hAnsi="Garamond"/>
          <w:bCs/>
          <w:iCs/>
          <w:sz w:val="20"/>
          <w:szCs w:val="20"/>
        </w:rPr>
        <w:t>Table 3 showed that 152 (63.1%) of the respondents sometimes forget to take their medication, 104 (43.2%) did not take their medication for some days in the past two weeks, 126 (52.3%) had cut back or stopped taking their medication without telling their doctor because they felt worse when they did so, 134 (55.6%) sometimes forget to bring along their medication when they travel, 208 (86.3%) took their medication yesterday, 131 (54.4%) sometimes stop taking their medication when they feel healthy, 187 (77.7%) get hassled about sticking to their medication, and 130 (53.9%) sometimes have difficulty in remembering to take all their medication.</w:t>
      </w:r>
    </w:p>
    <w:p w14:paraId="40018074" w14:textId="77777777" w:rsidR="00B06F7D" w:rsidRDefault="00B06F7D" w:rsidP="00451912">
      <w:pPr>
        <w:spacing w:line="259" w:lineRule="auto"/>
        <w:jc w:val="both"/>
        <w:rPr>
          <w:rFonts w:ascii="Garamond" w:hAnsi="Garamond"/>
          <w:bCs/>
          <w:iCs/>
          <w:sz w:val="20"/>
          <w:szCs w:val="20"/>
        </w:rPr>
      </w:pPr>
    </w:p>
    <w:p w14:paraId="082C751F" w14:textId="77777777" w:rsidR="00B06F7D" w:rsidRPr="00B06F7D" w:rsidRDefault="00B06F7D" w:rsidP="00B06F7D">
      <w:pPr>
        <w:spacing w:line="259" w:lineRule="auto"/>
        <w:jc w:val="both"/>
        <w:rPr>
          <w:rFonts w:ascii="Garamond" w:hAnsi="Garamond"/>
          <w:b/>
          <w:bCs/>
          <w:iCs/>
          <w:sz w:val="22"/>
          <w:szCs w:val="22"/>
        </w:rPr>
      </w:pPr>
      <w:r w:rsidRPr="00B06F7D">
        <w:rPr>
          <w:rFonts w:ascii="Garamond" w:hAnsi="Garamond"/>
          <w:b/>
          <w:bCs/>
          <w:iCs/>
          <w:sz w:val="22"/>
          <w:szCs w:val="22"/>
        </w:rPr>
        <w:t xml:space="preserve">DISCUSSION </w:t>
      </w:r>
    </w:p>
    <w:p w14:paraId="2C95E9A0" w14:textId="77777777" w:rsidR="00B06F7D" w:rsidRDefault="00B06F7D" w:rsidP="00B06F7D">
      <w:pPr>
        <w:spacing w:line="259" w:lineRule="auto"/>
        <w:jc w:val="both"/>
        <w:rPr>
          <w:rFonts w:ascii="Garamond" w:hAnsi="Garamond"/>
          <w:bCs/>
          <w:iCs/>
          <w:sz w:val="20"/>
          <w:szCs w:val="20"/>
        </w:rPr>
      </w:pPr>
      <w:r w:rsidRPr="00431E6B">
        <w:rPr>
          <w:rFonts w:ascii="Garamond" w:hAnsi="Garamond"/>
          <w:bCs/>
          <w:iCs/>
          <w:sz w:val="20"/>
          <w:szCs w:val="20"/>
        </w:rPr>
        <w:t>The study assessed the treatment characteristics and adherence to antihypertensive medications among chronic kidney disease (CKD) patients in the University of Port Harcourt Teaching Hospital (UPTH). The findings revealed that about two-thirds of the respondents were on diuretics and calcium channel blockers, while approximately half were on angiotensin-converting enzyme inhibitors. Furthermore, more than a quarter of the respondents were on beta-blockers, and less than a quarter were on angiotensin receptor blockers, vasodilators, alpha-blockers, mineralocorticoid receptor blockers, and centrally acting agents.</w:t>
      </w:r>
    </w:p>
    <w:p w14:paraId="0E305DEB" w14:textId="77777777" w:rsidR="00B06F7D" w:rsidRDefault="00B06F7D" w:rsidP="00B06F7D">
      <w:pPr>
        <w:spacing w:line="259" w:lineRule="auto"/>
        <w:jc w:val="both"/>
        <w:rPr>
          <w:rFonts w:ascii="Garamond" w:hAnsi="Garamond"/>
          <w:bCs/>
          <w:iCs/>
          <w:sz w:val="20"/>
          <w:szCs w:val="20"/>
        </w:rPr>
      </w:pPr>
      <w:r w:rsidRPr="00431E6B">
        <w:rPr>
          <w:rFonts w:ascii="Garamond" w:hAnsi="Garamond"/>
          <w:bCs/>
          <w:iCs/>
          <w:sz w:val="20"/>
          <w:szCs w:val="20"/>
        </w:rPr>
        <w:t xml:space="preserve">More than half of the respondents had low medication adherence, while only about 6% demonstrated high adherence. The level of adherence observed was lower than that reported among CKD patients in Northern </w:t>
      </w:r>
      <w:r w:rsidRPr="00431E6B">
        <w:rPr>
          <w:rFonts w:ascii="Garamond" w:hAnsi="Garamond"/>
          <w:bCs/>
          <w:iCs/>
          <w:sz w:val="20"/>
          <w:szCs w:val="20"/>
        </w:rPr>
        <w:t>Nigeria, Ethiopia, and other parts of the world. Poor adherence to medication may accelerate the progression of kidney disease and increase the risk of complications, hospitalization, and mortality among CKD patients.</w:t>
      </w:r>
    </w:p>
    <w:p w14:paraId="708FBC16" w14:textId="77777777" w:rsidR="00B06F7D" w:rsidRDefault="00B06F7D" w:rsidP="00B06F7D">
      <w:pPr>
        <w:spacing w:line="259" w:lineRule="auto"/>
        <w:jc w:val="both"/>
        <w:rPr>
          <w:rFonts w:ascii="Garamond" w:hAnsi="Garamond"/>
          <w:bCs/>
          <w:iCs/>
          <w:sz w:val="20"/>
          <w:szCs w:val="20"/>
        </w:rPr>
      </w:pPr>
      <w:r w:rsidRPr="00431E6B">
        <w:rPr>
          <w:rFonts w:ascii="Garamond" w:hAnsi="Garamond"/>
          <w:bCs/>
          <w:iCs/>
          <w:sz w:val="20"/>
          <w:szCs w:val="20"/>
        </w:rPr>
        <w:t>The results also showed that over 12% of respondents used alternative forms of treatment. This finding is consistent with reports among CKD patients in Switzerland. However, the prevalence of alternative treatment use in this study was lower than that reported in Tanzania and Northern Nigeria. The relatively low use of alternative treatments may be attributed to the urban residence of most respondents, which may be associated with greater awareness of the risks of using unprescribed therapies. The use of alternative treatments may worsen kidney function and may interact with prescribed medications, thereby reducing their effectiveness. Additionally, reliance on alternative treatments may lead to catastrophic health expenditure, particularly as most healthcare costs are paid out-of-pocket.</w:t>
      </w:r>
    </w:p>
    <w:p w14:paraId="552F8F47" w14:textId="77777777" w:rsidR="00B06F7D" w:rsidRPr="00431E6B" w:rsidRDefault="00B06F7D" w:rsidP="00B06F7D">
      <w:pPr>
        <w:spacing w:line="259" w:lineRule="auto"/>
        <w:jc w:val="both"/>
        <w:rPr>
          <w:rFonts w:ascii="Garamond" w:hAnsi="Garamond"/>
          <w:bCs/>
          <w:iCs/>
          <w:sz w:val="20"/>
          <w:szCs w:val="20"/>
        </w:rPr>
      </w:pPr>
      <w:r w:rsidRPr="00431E6B">
        <w:rPr>
          <w:rFonts w:ascii="Garamond" w:hAnsi="Garamond"/>
          <w:bCs/>
          <w:iCs/>
          <w:sz w:val="20"/>
          <w:szCs w:val="20"/>
        </w:rPr>
        <w:t>The level of partner education was significantly associated with medication adherence, with adherence improving as the level of partner education increased. This may be explained by a better understanding of the disease and its treatment among individuals whose partners are more educated, thereby providing stronger social support for adherence to prescribed medications.</w:t>
      </w:r>
    </w:p>
    <w:p w14:paraId="1C98773A" w14:textId="77777777" w:rsidR="00B06F7D" w:rsidRDefault="00B06F7D" w:rsidP="00B06F7D">
      <w:pPr>
        <w:spacing w:line="259" w:lineRule="auto"/>
        <w:jc w:val="both"/>
        <w:rPr>
          <w:rFonts w:ascii="Garamond" w:hAnsi="Garamond"/>
          <w:bCs/>
          <w:iCs/>
          <w:sz w:val="20"/>
          <w:szCs w:val="20"/>
        </w:rPr>
      </w:pPr>
      <w:r w:rsidRPr="00431E6B">
        <w:rPr>
          <w:rFonts w:ascii="Garamond" w:hAnsi="Garamond"/>
          <w:bCs/>
          <w:iCs/>
          <w:sz w:val="20"/>
          <w:szCs w:val="20"/>
        </w:rPr>
        <w:t>The average monthly income of respondents was also significantly associated with medication adherence. Adherence improved as income levels decreased. This may be due to a greater perceived severity of illness among lower-income patients and concern about the high costs of complications such as dialysis. In addition, individuals with lower income levels are more likely to rely on public healthcare facilities, which often provide structured follow-up systems and relatively lower treatment costs.</w:t>
      </w:r>
    </w:p>
    <w:p w14:paraId="2022BD25" w14:textId="77777777" w:rsidR="00B06F7D" w:rsidRDefault="00B06F7D" w:rsidP="00B06F7D">
      <w:pPr>
        <w:spacing w:line="259" w:lineRule="auto"/>
        <w:jc w:val="both"/>
        <w:rPr>
          <w:rFonts w:ascii="Garamond" w:hAnsi="Garamond"/>
          <w:bCs/>
          <w:iCs/>
          <w:sz w:val="20"/>
          <w:szCs w:val="20"/>
        </w:rPr>
      </w:pPr>
      <w:r w:rsidRPr="00431E6B">
        <w:rPr>
          <w:rFonts w:ascii="Garamond" w:hAnsi="Garamond"/>
          <w:bCs/>
          <w:iCs/>
          <w:sz w:val="20"/>
          <w:szCs w:val="20"/>
        </w:rPr>
        <w:t>Relationship status was another factor significantly associated with medication adherence. Respondents without partners were found to have higher adherence compared with those with partners. This may be related to greater autonomy and fewer household responsibilities, allowing individuals without partners to maintain more consistent medication routines without disruptions associated with family obligations.</w:t>
      </w:r>
    </w:p>
    <w:p w14:paraId="6FBEFC72" w14:textId="77777777" w:rsidR="00B06F7D" w:rsidRDefault="00B06F7D" w:rsidP="00B06F7D">
      <w:pPr>
        <w:spacing w:line="259" w:lineRule="auto"/>
        <w:jc w:val="both"/>
        <w:rPr>
          <w:rFonts w:ascii="Garamond" w:hAnsi="Garamond"/>
          <w:bCs/>
          <w:iCs/>
          <w:sz w:val="20"/>
          <w:szCs w:val="20"/>
        </w:rPr>
      </w:pPr>
      <w:r w:rsidRPr="00431E6B">
        <w:rPr>
          <w:rFonts w:ascii="Garamond" w:hAnsi="Garamond"/>
          <w:bCs/>
          <w:iCs/>
          <w:sz w:val="20"/>
          <w:szCs w:val="20"/>
        </w:rPr>
        <w:t xml:space="preserve">The duration of diagnosis was also significantly associated with adherence. Medication adherence was higher among individuals with a shorter duration of diagnosis. Newly diagnosed patients may be more motivated to follow treatment recommendations closely </w:t>
      </w:r>
      <w:r w:rsidRPr="00431E6B">
        <w:rPr>
          <w:rFonts w:ascii="Garamond" w:hAnsi="Garamond"/>
          <w:bCs/>
          <w:iCs/>
          <w:sz w:val="20"/>
          <w:szCs w:val="20"/>
        </w:rPr>
        <w:lastRenderedPageBreak/>
        <w:t>in order to prevent disease progression. In addition, newly diagnosed patients tend to have more frequent clinical appointments, providing greater monitoring and counseling. In contrast, patients with longer disease duration may experience treatment fatigue due to prolonged therapy.</w:t>
      </w:r>
    </w:p>
    <w:p w14:paraId="35CDB2D9" w14:textId="77777777" w:rsidR="00B06F7D" w:rsidRDefault="00B06F7D" w:rsidP="00B06F7D">
      <w:pPr>
        <w:spacing w:line="259" w:lineRule="auto"/>
        <w:jc w:val="both"/>
        <w:rPr>
          <w:rFonts w:ascii="Garamond" w:hAnsi="Garamond"/>
          <w:bCs/>
          <w:iCs/>
          <w:sz w:val="20"/>
          <w:szCs w:val="20"/>
        </w:rPr>
      </w:pPr>
      <w:r w:rsidRPr="00431E6B">
        <w:rPr>
          <w:rFonts w:ascii="Garamond" w:hAnsi="Garamond"/>
          <w:bCs/>
          <w:iCs/>
          <w:sz w:val="20"/>
          <w:szCs w:val="20"/>
        </w:rPr>
        <w:t>A family history of CKD was also significantly associated with medication adherence. Respondents without a family history of CKD demonstrated better adherence to prescribed medications. This may be related to a heightened perception of risk and urgency in managing the condition among individuals unfamiliar with the diseas</w:t>
      </w:r>
      <w:r>
        <w:rPr>
          <w:rFonts w:ascii="Garamond" w:hAnsi="Garamond"/>
          <w:bCs/>
          <w:iCs/>
          <w:sz w:val="20"/>
          <w:szCs w:val="20"/>
        </w:rPr>
        <w:t>e</w:t>
      </w:r>
    </w:p>
    <w:p w14:paraId="1CB7A03B" w14:textId="77777777" w:rsidR="00B06F7D" w:rsidRDefault="00B06F7D" w:rsidP="00B06F7D">
      <w:pPr>
        <w:spacing w:line="259" w:lineRule="auto"/>
        <w:jc w:val="both"/>
        <w:rPr>
          <w:rFonts w:ascii="Garamond" w:hAnsi="Garamond"/>
          <w:bCs/>
          <w:iCs/>
          <w:sz w:val="20"/>
          <w:szCs w:val="20"/>
        </w:rPr>
        <w:sectPr w:rsidR="00B06F7D" w:rsidSect="003D02D5">
          <w:type w:val="continuous"/>
          <w:pgSz w:w="12240" w:h="15840"/>
          <w:pgMar w:top="1440" w:right="1440" w:bottom="1440" w:left="1440" w:header="720" w:footer="720" w:gutter="0"/>
          <w:cols w:num="2" w:space="720"/>
          <w:titlePg/>
          <w:docGrid w:linePitch="360"/>
        </w:sectPr>
      </w:pPr>
    </w:p>
    <w:p w14:paraId="2F52F617" w14:textId="77777777" w:rsidR="00B06F7D" w:rsidRDefault="00B06F7D" w:rsidP="00B06F7D">
      <w:pPr>
        <w:spacing w:line="259" w:lineRule="auto"/>
        <w:jc w:val="both"/>
        <w:rPr>
          <w:rFonts w:ascii="Garamond" w:hAnsi="Garamond"/>
          <w:bCs/>
          <w:iCs/>
          <w:sz w:val="20"/>
          <w:szCs w:val="20"/>
        </w:rPr>
        <w:sectPr w:rsidR="00B06F7D" w:rsidSect="00B06F7D">
          <w:type w:val="continuous"/>
          <w:pgSz w:w="12240" w:h="15840"/>
          <w:pgMar w:top="1440" w:right="1440" w:bottom="1440" w:left="1440" w:header="720" w:footer="720" w:gutter="0"/>
          <w:cols w:space="720"/>
          <w:titlePg/>
          <w:docGrid w:linePitch="360"/>
        </w:sectPr>
      </w:pPr>
    </w:p>
    <w:p w14:paraId="4B8AC309" w14:textId="77777777" w:rsidR="00B06F7D" w:rsidRPr="00072B63" w:rsidRDefault="00B06F7D" w:rsidP="00B06F7D">
      <w:pPr>
        <w:spacing w:line="259" w:lineRule="auto"/>
        <w:jc w:val="both"/>
        <w:rPr>
          <w:rFonts w:ascii="Garamond" w:hAnsi="Garamond"/>
          <w:b/>
          <w:bCs/>
          <w:iCs/>
          <w:sz w:val="20"/>
          <w:szCs w:val="20"/>
        </w:rPr>
      </w:pPr>
      <w:r w:rsidRPr="00072B63">
        <w:rPr>
          <w:rFonts w:ascii="Garamond" w:hAnsi="Garamond"/>
          <w:b/>
          <w:bCs/>
          <w:iCs/>
          <w:sz w:val="20"/>
          <w:szCs w:val="20"/>
        </w:rPr>
        <w:t xml:space="preserve">Table 4: </w:t>
      </w:r>
      <w:r w:rsidRPr="00072B63">
        <w:rPr>
          <w:rFonts w:ascii="Garamond" w:hAnsi="Garamond"/>
          <w:iCs/>
          <w:sz w:val="20"/>
          <w:szCs w:val="20"/>
        </w:rPr>
        <w:t>Factors associated with Medication adherence</w:t>
      </w:r>
      <w:r w:rsidRPr="00072B63">
        <w:rPr>
          <w:rFonts w:ascii="Garamond" w:hAnsi="Garamond"/>
          <w:b/>
          <w:bCs/>
          <w:iCs/>
          <w:sz w:val="20"/>
          <w:szCs w:val="20"/>
        </w:rPr>
        <w:t xml:space="preserve"> </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84"/>
        <w:gridCol w:w="2254"/>
        <w:gridCol w:w="2254"/>
        <w:gridCol w:w="2254"/>
      </w:tblGrid>
      <w:tr w:rsidR="00B06F7D" w:rsidRPr="00072B63" w14:paraId="173C7ABD" w14:textId="77777777" w:rsidTr="005C3CBF">
        <w:tc>
          <w:tcPr>
            <w:tcW w:w="2254" w:type="dxa"/>
            <w:gridSpan w:val="2"/>
            <w:tcBorders>
              <w:top w:val="single" w:sz="4" w:space="0" w:color="auto"/>
              <w:left w:val="nil"/>
              <w:bottom w:val="nil"/>
              <w:right w:val="nil"/>
            </w:tcBorders>
            <w:hideMark/>
          </w:tcPr>
          <w:p w14:paraId="256914AD"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Variable</w:t>
            </w:r>
          </w:p>
        </w:tc>
        <w:tc>
          <w:tcPr>
            <w:tcW w:w="4508" w:type="dxa"/>
            <w:gridSpan w:val="2"/>
            <w:tcBorders>
              <w:top w:val="single" w:sz="4" w:space="0" w:color="auto"/>
              <w:left w:val="nil"/>
              <w:bottom w:val="nil"/>
              <w:right w:val="nil"/>
            </w:tcBorders>
            <w:hideMark/>
          </w:tcPr>
          <w:p w14:paraId="4B4AF39C"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Adherence</w:t>
            </w:r>
          </w:p>
        </w:tc>
        <w:tc>
          <w:tcPr>
            <w:tcW w:w="2254" w:type="dxa"/>
            <w:tcBorders>
              <w:top w:val="single" w:sz="4" w:space="0" w:color="auto"/>
              <w:left w:val="nil"/>
              <w:bottom w:val="nil"/>
              <w:right w:val="nil"/>
            </w:tcBorders>
            <w:hideMark/>
          </w:tcPr>
          <w:p w14:paraId="15707B72"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X</w:t>
            </w:r>
            <w:r w:rsidRPr="00072B63">
              <w:rPr>
                <w:rFonts w:ascii="Garamond" w:hAnsi="Garamond"/>
                <w:b/>
                <w:bCs/>
                <w:iCs/>
                <w:sz w:val="20"/>
                <w:szCs w:val="20"/>
                <w:vertAlign w:val="superscript"/>
              </w:rPr>
              <w:t>2</w:t>
            </w:r>
            <w:r w:rsidRPr="00072B63">
              <w:rPr>
                <w:rFonts w:ascii="Garamond" w:hAnsi="Garamond"/>
                <w:b/>
                <w:bCs/>
                <w:iCs/>
                <w:sz w:val="20"/>
                <w:szCs w:val="20"/>
              </w:rPr>
              <w:t>(p-value)</w:t>
            </w:r>
          </w:p>
        </w:tc>
      </w:tr>
      <w:tr w:rsidR="00B06F7D" w:rsidRPr="00072B63" w14:paraId="68885186" w14:textId="77777777" w:rsidTr="005C3CBF">
        <w:tc>
          <w:tcPr>
            <w:tcW w:w="2070" w:type="dxa"/>
            <w:tcBorders>
              <w:top w:val="nil"/>
              <w:left w:val="nil"/>
              <w:bottom w:val="single" w:sz="4" w:space="0" w:color="auto"/>
              <w:right w:val="nil"/>
            </w:tcBorders>
          </w:tcPr>
          <w:p w14:paraId="063D7297" w14:textId="77777777" w:rsidR="00B06F7D" w:rsidRPr="00072B63" w:rsidRDefault="00B06F7D" w:rsidP="005C3CBF">
            <w:pPr>
              <w:spacing w:line="259" w:lineRule="auto"/>
              <w:jc w:val="both"/>
              <w:rPr>
                <w:rFonts w:ascii="Garamond" w:hAnsi="Garamond"/>
                <w:b/>
                <w:bCs/>
                <w:iCs/>
                <w:sz w:val="20"/>
                <w:szCs w:val="20"/>
              </w:rPr>
            </w:pPr>
          </w:p>
        </w:tc>
        <w:tc>
          <w:tcPr>
            <w:tcW w:w="2438" w:type="dxa"/>
            <w:gridSpan w:val="2"/>
            <w:tcBorders>
              <w:top w:val="nil"/>
              <w:left w:val="nil"/>
              <w:bottom w:val="single" w:sz="4" w:space="0" w:color="auto"/>
              <w:right w:val="nil"/>
            </w:tcBorders>
            <w:hideMark/>
          </w:tcPr>
          <w:p w14:paraId="7E61BABB"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Low/Moderate n (%)</w:t>
            </w:r>
          </w:p>
        </w:tc>
        <w:tc>
          <w:tcPr>
            <w:tcW w:w="2254" w:type="dxa"/>
            <w:tcBorders>
              <w:top w:val="nil"/>
              <w:left w:val="nil"/>
              <w:bottom w:val="single" w:sz="4" w:space="0" w:color="auto"/>
              <w:right w:val="nil"/>
            </w:tcBorders>
            <w:hideMark/>
          </w:tcPr>
          <w:p w14:paraId="06459AC3"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High n (%)</w:t>
            </w:r>
          </w:p>
        </w:tc>
        <w:tc>
          <w:tcPr>
            <w:tcW w:w="2254" w:type="dxa"/>
            <w:tcBorders>
              <w:top w:val="nil"/>
              <w:left w:val="nil"/>
              <w:bottom w:val="single" w:sz="4" w:space="0" w:color="auto"/>
              <w:right w:val="nil"/>
            </w:tcBorders>
          </w:tcPr>
          <w:p w14:paraId="374EE3DC" w14:textId="77777777" w:rsidR="00B06F7D" w:rsidRPr="00072B63" w:rsidRDefault="00B06F7D" w:rsidP="005C3CBF">
            <w:pPr>
              <w:spacing w:line="259" w:lineRule="auto"/>
              <w:jc w:val="both"/>
              <w:rPr>
                <w:rFonts w:ascii="Garamond" w:hAnsi="Garamond"/>
                <w:b/>
                <w:bCs/>
                <w:iCs/>
                <w:sz w:val="20"/>
                <w:szCs w:val="20"/>
              </w:rPr>
            </w:pPr>
          </w:p>
        </w:tc>
      </w:tr>
      <w:tr w:rsidR="00B06F7D" w:rsidRPr="00072B63" w14:paraId="473D1996" w14:textId="77777777" w:rsidTr="005C3CBF">
        <w:tc>
          <w:tcPr>
            <w:tcW w:w="2254" w:type="dxa"/>
            <w:gridSpan w:val="2"/>
            <w:tcBorders>
              <w:top w:val="single" w:sz="4" w:space="0" w:color="auto"/>
              <w:left w:val="nil"/>
              <w:bottom w:val="nil"/>
              <w:right w:val="nil"/>
            </w:tcBorders>
            <w:hideMark/>
          </w:tcPr>
          <w:p w14:paraId="50AC8361"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Age group</w:t>
            </w:r>
          </w:p>
        </w:tc>
        <w:tc>
          <w:tcPr>
            <w:tcW w:w="2254" w:type="dxa"/>
            <w:tcBorders>
              <w:top w:val="single" w:sz="4" w:space="0" w:color="auto"/>
              <w:left w:val="nil"/>
              <w:bottom w:val="nil"/>
              <w:right w:val="nil"/>
            </w:tcBorders>
          </w:tcPr>
          <w:p w14:paraId="05390A31" w14:textId="77777777" w:rsidR="00B06F7D" w:rsidRPr="00072B63" w:rsidRDefault="00B06F7D" w:rsidP="005C3CBF">
            <w:pPr>
              <w:spacing w:line="259" w:lineRule="auto"/>
              <w:jc w:val="both"/>
              <w:rPr>
                <w:rFonts w:ascii="Garamond" w:hAnsi="Garamond"/>
                <w:b/>
                <w:bCs/>
                <w:iCs/>
                <w:sz w:val="20"/>
                <w:szCs w:val="20"/>
              </w:rPr>
            </w:pPr>
          </w:p>
        </w:tc>
        <w:tc>
          <w:tcPr>
            <w:tcW w:w="2254" w:type="dxa"/>
            <w:tcBorders>
              <w:top w:val="single" w:sz="4" w:space="0" w:color="auto"/>
              <w:left w:val="nil"/>
              <w:bottom w:val="nil"/>
              <w:right w:val="nil"/>
            </w:tcBorders>
          </w:tcPr>
          <w:p w14:paraId="7848A721" w14:textId="77777777" w:rsidR="00B06F7D" w:rsidRPr="00072B63" w:rsidRDefault="00B06F7D" w:rsidP="005C3CBF">
            <w:pPr>
              <w:spacing w:line="259" w:lineRule="auto"/>
              <w:jc w:val="both"/>
              <w:rPr>
                <w:rFonts w:ascii="Garamond" w:hAnsi="Garamond"/>
                <w:b/>
                <w:bCs/>
                <w:iCs/>
                <w:sz w:val="20"/>
                <w:szCs w:val="20"/>
              </w:rPr>
            </w:pPr>
          </w:p>
        </w:tc>
        <w:tc>
          <w:tcPr>
            <w:tcW w:w="2254" w:type="dxa"/>
            <w:tcBorders>
              <w:top w:val="single" w:sz="4" w:space="0" w:color="auto"/>
              <w:left w:val="nil"/>
              <w:bottom w:val="nil"/>
              <w:right w:val="nil"/>
            </w:tcBorders>
          </w:tcPr>
          <w:p w14:paraId="16409913" w14:textId="77777777" w:rsidR="00B06F7D" w:rsidRPr="00072B63" w:rsidRDefault="00B06F7D" w:rsidP="005C3CBF">
            <w:pPr>
              <w:spacing w:line="259" w:lineRule="auto"/>
              <w:jc w:val="both"/>
              <w:rPr>
                <w:rFonts w:ascii="Garamond" w:hAnsi="Garamond"/>
                <w:b/>
                <w:bCs/>
                <w:iCs/>
                <w:sz w:val="20"/>
                <w:szCs w:val="20"/>
              </w:rPr>
            </w:pPr>
          </w:p>
        </w:tc>
      </w:tr>
      <w:tr w:rsidR="00B06F7D" w:rsidRPr="00072B63" w14:paraId="1CD9E98A" w14:textId="77777777" w:rsidTr="005C3CBF">
        <w:tc>
          <w:tcPr>
            <w:tcW w:w="2254" w:type="dxa"/>
            <w:gridSpan w:val="2"/>
            <w:tcBorders>
              <w:top w:val="nil"/>
              <w:left w:val="nil"/>
              <w:bottom w:val="nil"/>
              <w:right w:val="nil"/>
            </w:tcBorders>
            <w:hideMark/>
          </w:tcPr>
          <w:p w14:paraId="0E0B655D"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≤40</w:t>
            </w:r>
          </w:p>
        </w:tc>
        <w:tc>
          <w:tcPr>
            <w:tcW w:w="2254" w:type="dxa"/>
            <w:tcBorders>
              <w:top w:val="nil"/>
              <w:left w:val="nil"/>
              <w:bottom w:val="nil"/>
              <w:right w:val="nil"/>
            </w:tcBorders>
            <w:hideMark/>
          </w:tcPr>
          <w:p w14:paraId="663C5A67"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57(90.5)</w:t>
            </w:r>
          </w:p>
        </w:tc>
        <w:tc>
          <w:tcPr>
            <w:tcW w:w="2254" w:type="dxa"/>
            <w:tcBorders>
              <w:top w:val="nil"/>
              <w:left w:val="nil"/>
              <w:bottom w:val="nil"/>
              <w:right w:val="nil"/>
            </w:tcBorders>
            <w:hideMark/>
          </w:tcPr>
          <w:p w14:paraId="34651568"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6(9.5)</w:t>
            </w:r>
          </w:p>
        </w:tc>
        <w:tc>
          <w:tcPr>
            <w:tcW w:w="2254" w:type="dxa"/>
            <w:tcBorders>
              <w:top w:val="nil"/>
              <w:left w:val="nil"/>
              <w:bottom w:val="nil"/>
              <w:right w:val="nil"/>
            </w:tcBorders>
            <w:hideMark/>
          </w:tcPr>
          <w:p w14:paraId="24F31784"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1.591(0.207)</w:t>
            </w:r>
          </w:p>
        </w:tc>
      </w:tr>
      <w:tr w:rsidR="00B06F7D" w:rsidRPr="00072B63" w14:paraId="5720E5FB" w14:textId="77777777" w:rsidTr="005C3CBF">
        <w:tc>
          <w:tcPr>
            <w:tcW w:w="2254" w:type="dxa"/>
            <w:gridSpan w:val="2"/>
            <w:tcBorders>
              <w:top w:val="nil"/>
              <w:left w:val="nil"/>
              <w:bottom w:val="nil"/>
              <w:right w:val="nil"/>
            </w:tcBorders>
            <w:hideMark/>
          </w:tcPr>
          <w:p w14:paraId="6EE10AA7"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&gt;40</w:t>
            </w:r>
          </w:p>
        </w:tc>
        <w:tc>
          <w:tcPr>
            <w:tcW w:w="2254" w:type="dxa"/>
            <w:tcBorders>
              <w:top w:val="nil"/>
              <w:left w:val="nil"/>
              <w:bottom w:val="nil"/>
              <w:right w:val="nil"/>
            </w:tcBorders>
            <w:hideMark/>
          </w:tcPr>
          <w:p w14:paraId="4A62995C"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169(94.9)</w:t>
            </w:r>
          </w:p>
        </w:tc>
        <w:tc>
          <w:tcPr>
            <w:tcW w:w="2254" w:type="dxa"/>
            <w:tcBorders>
              <w:top w:val="nil"/>
              <w:left w:val="nil"/>
              <w:bottom w:val="nil"/>
              <w:right w:val="nil"/>
            </w:tcBorders>
            <w:hideMark/>
          </w:tcPr>
          <w:p w14:paraId="43A23F74"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9(5.1)</w:t>
            </w:r>
          </w:p>
        </w:tc>
        <w:tc>
          <w:tcPr>
            <w:tcW w:w="2254" w:type="dxa"/>
            <w:tcBorders>
              <w:top w:val="nil"/>
              <w:left w:val="nil"/>
              <w:bottom w:val="nil"/>
              <w:right w:val="nil"/>
            </w:tcBorders>
          </w:tcPr>
          <w:p w14:paraId="42692799" w14:textId="77777777" w:rsidR="00B06F7D" w:rsidRPr="00072B63" w:rsidRDefault="00B06F7D" w:rsidP="005C3CBF">
            <w:pPr>
              <w:spacing w:line="259" w:lineRule="auto"/>
              <w:jc w:val="both"/>
              <w:rPr>
                <w:rFonts w:ascii="Garamond" w:hAnsi="Garamond"/>
                <w:bCs/>
                <w:iCs/>
                <w:sz w:val="20"/>
                <w:szCs w:val="20"/>
              </w:rPr>
            </w:pPr>
          </w:p>
        </w:tc>
      </w:tr>
      <w:tr w:rsidR="00B06F7D" w:rsidRPr="00072B63" w14:paraId="77FC5085" w14:textId="77777777" w:rsidTr="005C3CBF">
        <w:tc>
          <w:tcPr>
            <w:tcW w:w="2254" w:type="dxa"/>
            <w:gridSpan w:val="2"/>
            <w:tcBorders>
              <w:top w:val="nil"/>
              <w:left w:val="nil"/>
              <w:bottom w:val="nil"/>
              <w:right w:val="nil"/>
            </w:tcBorders>
            <w:hideMark/>
          </w:tcPr>
          <w:p w14:paraId="2423C060"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Sex</w:t>
            </w:r>
          </w:p>
        </w:tc>
        <w:tc>
          <w:tcPr>
            <w:tcW w:w="2254" w:type="dxa"/>
            <w:tcBorders>
              <w:top w:val="nil"/>
              <w:left w:val="nil"/>
              <w:bottom w:val="nil"/>
              <w:right w:val="nil"/>
            </w:tcBorders>
          </w:tcPr>
          <w:p w14:paraId="0A97F5D3" w14:textId="77777777" w:rsidR="00B06F7D" w:rsidRPr="00072B63" w:rsidRDefault="00B06F7D" w:rsidP="005C3CBF">
            <w:pPr>
              <w:spacing w:line="259" w:lineRule="auto"/>
              <w:jc w:val="both"/>
              <w:rPr>
                <w:rFonts w:ascii="Garamond" w:hAnsi="Garamond"/>
                <w:bCs/>
                <w:iCs/>
                <w:sz w:val="20"/>
                <w:szCs w:val="20"/>
              </w:rPr>
            </w:pPr>
          </w:p>
        </w:tc>
        <w:tc>
          <w:tcPr>
            <w:tcW w:w="2254" w:type="dxa"/>
            <w:tcBorders>
              <w:top w:val="nil"/>
              <w:left w:val="nil"/>
              <w:bottom w:val="nil"/>
              <w:right w:val="nil"/>
            </w:tcBorders>
          </w:tcPr>
          <w:p w14:paraId="02BE560E" w14:textId="77777777" w:rsidR="00B06F7D" w:rsidRPr="00072B63" w:rsidRDefault="00B06F7D" w:rsidP="005C3CBF">
            <w:pPr>
              <w:spacing w:line="259" w:lineRule="auto"/>
              <w:jc w:val="both"/>
              <w:rPr>
                <w:rFonts w:ascii="Garamond" w:hAnsi="Garamond"/>
                <w:bCs/>
                <w:iCs/>
                <w:sz w:val="20"/>
                <w:szCs w:val="20"/>
              </w:rPr>
            </w:pPr>
          </w:p>
        </w:tc>
        <w:tc>
          <w:tcPr>
            <w:tcW w:w="2254" w:type="dxa"/>
            <w:tcBorders>
              <w:top w:val="nil"/>
              <w:left w:val="nil"/>
              <w:bottom w:val="nil"/>
              <w:right w:val="nil"/>
            </w:tcBorders>
          </w:tcPr>
          <w:p w14:paraId="5AF8059D" w14:textId="77777777" w:rsidR="00B06F7D" w:rsidRPr="00072B63" w:rsidRDefault="00B06F7D" w:rsidP="005C3CBF">
            <w:pPr>
              <w:spacing w:line="259" w:lineRule="auto"/>
              <w:jc w:val="both"/>
              <w:rPr>
                <w:rFonts w:ascii="Garamond" w:hAnsi="Garamond"/>
                <w:bCs/>
                <w:iCs/>
                <w:sz w:val="20"/>
                <w:szCs w:val="20"/>
              </w:rPr>
            </w:pPr>
          </w:p>
        </w:tc>
      </w:tr>
      <w:tr w:rsidR="00B06F7D" w:rsidRPr="00072B63" w14:paraId="0AF9CC66" w14:textId="77777777" w:rsidTr="005C3CBF">
        <w:tc>
          <w:tcPr>
            <w:tcW w:w="2254" w:type="dxa"/>
            <w:gridSpan w:val="2"/>
            <w:tcBorders>
              <w:top w:val="nil"/>
              <w:left w:val="nil"/>
              <w:bottom w:val="nil"/>
              <w:right w:val="nil"/>
            </w:tcBorders>
            <w:hideMark/>
          </w:tcPr>
          <w:p w14:paraId="25A9F228"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Male</w:t>
            </w:r>
          </w:p>
        </w:tc>
        <w:tc>
          <w:tcPr>
            <w:tcW w:w="2254" w:type="dxa"/>
            <w:tcBorders>
              <w:top w:val="nil"/>
              <w:left w:val="nil"/>
              <w:bottom w:val="nil"/>
              <w:right w:val="nil"/>
            </w:tcBorders>
            <w:hideMark/>
          </w:tcPr>
          <w:p w14:paraId="03BBBB55"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148(92.5)</w:t>
            </w:r>
          </w:p>
        </w:tc>
        <w:tc>
          <w:tcPr>
            <w:tcW w:w="2254" w:type="dxa"/>
            <w:tcBorders>
              <w:top w:val="nil"/>
              <w:left w:val="nil"/>
              <w:bottom w:val="nil"/>
              <w:right w:val="nil"/>
            </w:tcBorders>
            <w:hideMark/>
          </w:tcPr>
          <w:p w14:paraId="540E5457"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12(7.5)</w:t>
            </w:r>
          </w:p>
        </w:tc>
        <w:tc>
          <w:tcPr>
            <w:tcW w:w="2254" w:type="dxa"/>
            <w:tcBorders>
              <w:top w:val="nil"/>
              <w:left w:val="nil"/>
              <w:bottom w:val="nil"/>
              <w:right w:val="nil"/>
            </w:tcBorders>
            <w:hideMark/>
          </w:tcPr>
          <w:p w14:paraId="44C66ABE"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1.328(0.249)</w:t>
            </w:r>
          </w:p>
        </w:tc>
      </w:tr>
      <w:tr w:rsidR="00B06F7D" w:rsidRPr="00072B63" w14:paraId="550AC92C" w14:textId="77777777" w:rsidTr="005C3CBF">
        <w:tc>
          <w:tcPr>
            <w:tcW w:w="2254" w:type="dxa"/>
            <w:gridSpan w:val="2"/>
            <w:tcBorders>
              <w:top w:val="nil"/>
              <w:left w:val="nil"/>
              <w:bottom w:val="nil"/>
              <w:right w:val="nil"/>
            </w:tcBorders>
            <w:hideMark/>
          </w:tcPr>
          <w:p w14:paraId="2C232293"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 xml:space="preserve">Female </w:t>
            </w:r>
          </w:p>
        </w:tc>
        <w:tc>
          <w:tcPr>
            <w:tcW w:w="2254" w:type="dxa"/>
            <w:tcBorders>
              <w:top w:val="nil"/>
              <w:left w:val="nil"/>
              <w:bottom w:val="nil"/>
              <w:right w:val="nil"/>
            </w:tcBorders>
            <w:hideMark/>
          </w:tcPr>
          <w:p w14:paraId="5AF219BF"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78(96.3)</w:t>
            </w:r>
          </w:p>
        </w:tc>
        <w:tc>
          <w:tcPr>
            <w:tcW w:w="2254" w:type="dxa"/>
            <w:tcBorders>
              <w:top w:val="nil"/>
              <w:left w:val="nil"/>
              <w:bottom w:val="nil"/>
              <w:right w:val="nil"/>
            </w:tcBorders>
            <w:hideMark/>
          </w:tcPr>
          <w:p w14:paraId="14D2A502"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3(3.7)</w:t>
            </w:r>
          </w:p>
        </w:tc>
        <w:tc>
          <w:tcPr>
            <w:tcW w:w="2254" w:type="dxa"/>
            <w:tcBorders>
              <w:top w:val="nil"/>
              <w:left w:val="nil"/>
              <w:bottom w:val="nil"/>
              <w:right w:val="nil"/>
            </w:tcBorders>
          </w:tcPr>
          <w:p w14:paraId="7010F16D" w14:textId="77777777" w:rsidR="00B06F7D" w:rsidRPr="00072B63" w:rsidRDefault="00B06F7D" w:rsidP="005C3CBF">
            <w:pPr>
              <w:spacing w:line="259" w:lineRule="auto"/>
              <w:jc w:val="both"/>
              <w:rPr>
                <w:rFonts w:ascii="Garamond" w:hAnsi="Garamond"/>
                <w:bCs/>
                <w:iCs/>
                <w:sz w:val="20"/>
                <w:szCs w:val="20"/>
              </w:rPr>
            </w:pPr>
          </w:p>
        </w:tc>
      </w:tr>
      <w:tr w:rsidR="00B06F7D" w:rsidRPr="00072B63" w14:paraId="1957EE29" w14:textId="77777777" w:rsidTr="005C3CBF">
        <w:tc>
          <w:tcPr>
            <w:tcW w:w="2254" w:type="dxa"/>
            <w:gridSpan w:val="2"/>
            <w:tcBorders>
              <w:top w:val="nil"/>
              <w:left w:val="nil"/>
              <w:bottom w:val="nil"/>
              <w:right w:val="nil"/>
            </w:tcBorders>
            <w:hideMark/>
          </w:tcPr>
          <w:p w14:paraId="19D49074"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Education</w:t>
            </w:r>
          </w:p>
        </w:tc>
        <w:tc>
          <w:tcPr>
            <w:tcW w:w="2254" w:type="dxa"/>
            <w:tcBorders>
              <w:top w:val="nil"/>
              <w:left w:val="nil"/>
              <w:bottom w:val="nil"/>
              <w:right w:val="nil"/>
            </w:tcBorders>
          </w:tcPr>
          <w:p w14:paraId="0AB66219" w14:textId="77777777" w:rsidR="00B06F7D" w:rsidRPr="00072B63" w:rsidRDefault="00B06F7D" w:rsidP="005C3CBF">
            <w:pPr>
              <w:spacing w:line="259" w:lineRule="auto"/>
              <w:jc w:val="both"/>
              <w:rPr>
                <w:rFonts w:ascii="Garamond" w:hAnsi="Garamond"/>
                <w:bCs/>
                <w:iCs/>
                <w:sz w:val="20"/>
                <w:szCs w:val="20"/>
              </w:rPr>
            </w:pPr>
          </w:p>
        </w:tc>
        <w:tc>
          <w:tcPr>
            <w:tcW w:w="2254" w:type="dxa"/>
            <w:tcBorders>
              <w:top w:val="nil"/>
              <w:left w:val="nil"/>
              <w:bottom w:val="nil"/>
              <w:right w:val="nil"/>
            </w:tcBorders>
          </w:tcPr>
          <w:p w14:paraId="11DE1627" w14:textId="77777777" w:rsidR="00B06F7D" w:rsidRPr="00072B63" w:rsidRDefault="00B06F7D" w:rsidP="005C3CBF">
            <w:pPr>
              <w:spacing w:line="259" w:lineRule="auto"/>
              <w:jc w:val="both"/>
              <w:rPr>
                <w:rFonts w:ascii="Garamond" w:hAnsi="Garamond"/>
                <w:bCs/>
                <w:iCs/>
                <w:sz w:val="20"/>
                <w:szCs w:val="20"/>
              </w:rPr>
            </w:pPr>
          </w:p>
        </w:tc>
        <w:tc>
          <w:tcPr>
            <w:tcW w:w="2254" w:type="dxa"/>
            <w:tcBorders>
              <w:top w:val="nil"/>
              <w:left w:val="nil"/>
              <w:bottom w:val="nil"/>
              <w:right w:val="nil"/>
            </w:tcBorders>
          </w:tcPr>
          <w:p w14:paraId="10048B12" w14:textId="77777777" w:rsidR="00B06F7D" w:rsidRPr="00072B63" w:rsidRDefault="00B06F7D" w:rsidP="005C3CBF">
            <w:pPr>
              <w:spacing w:line="259" w:lineRule="auto"/>
              <w:jc w:val="both"/>
              <w:rPr>
                <w:rFonts w:ascii="Garamond" w:hAnsi="Garamond"/>
                <w:bCs/>
                <w:iCs/>
                <w:sz w:val="20"/>
                <w:szCs w:val="20"/>
              </w:rPr>
            </w:pPr>
          </w:p>
        </w:tc>
      </w:tr>
      <w:tr w:rsidR="00B06F7D" w:rsidRPr="00072B63" w14:paraId="0D5DCC4C" w14:textId="77777777" w:rsidTr="005C3CBF">
        <w:tc>
          <w:tcPr>
            <w:tcW w:w="2254" w:type="dxa"/>
            <w:gridSpan w:val="2"/>
            <w:tcBorders>
              <w:top w:val="nil"/>
              <w:left w:val="nil"/>
              <w:bottom w:val="nil"/>
              <w:right w:val="nil"/>
            </w:tcBorders>
            <w:hideMark/>
          </w:tcPr>
          <w:p w14:paraId="5D584C59"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≤Secondary</w:t>
            </w:r>
          </w:p>
        </w:tc>
        <w:tc>
          <w:tcPr>
            <w:tcW w:w="2254" w:type="dxa"/>
            <w:tcBorders>
              <w:top w:val="nil"/>
              <w:left w:val="nil"/>
              <w:bottom w:val="nil"/>
              <w:right w:val="nil"/>
            </w:tcBorders>
            <w:hideMark/>
          </w:tcPr>
          <w:p w14:paraId="1F75C7AD"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113(92.6)</w:t>
            </w:r>
          </w:p>
        </w:tc>
        <w:tc>
          <w:tcPr>
            <w:tcW w:w="2254" w:type="dxa"/>
            <w:tcBorders>
              <w:top w:val="nil"/>
              <w:left w:val="nil"/>
              <w:bottom w:val="nil"/>
              <w:right w:val="nil"/>
            </w:tcBorders>
            <w:hideMark/>
          </w:tcPr>
          <w:p w14:paraId="047A0D6B"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9(7.4)</w:t>
            </w:r>
          </w:p>
        </w:tc>
        <w:tc>
          <w:tcPr>
            <w:tcW w:w="2254" w:type="dxa"/>
            <w:tcBorders>
              <w:top w:val="nil"/>
              <w:left w:val="nil"/>
              <w:bottom w:val="nil"/>
              <w:right w:val="nil"/>
            </w:tcBorders>
            <w:hideMark/>
          </w:tcPr>
          <w:p w14:paraId="596185FB"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0.563(0.453)</w:t>
            </w:r>
          </w:p>
        </w:tc>
      </w:tr>
      <w:tr w:rsidR="00B06F7D" w:rsidRPr="00072B63" w14:paraId="34EE5019" w14:textId="77777777" w:rsidTr="005C3CBF">
        <w:tc>
          <w:tcPr>
            <w:tcW w:w="2254" w:type="dxa"/>
            <w:gridSpan w:val="2"/>
            <w:tcBorders>
              <w:top w:val="nil"/>
              <w:left w:val="nil"/>
              <w:bottom w:val="nil"/>
              <w:right w:val="nil"/>
            </w:tcBorders>
            <w:hideMark/>
          </w:tcPr>
          <w:p w14:paraId="6273387A"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 xml:space="preserve">Tertiary </w:t>
            </w:r>
          </w:p>
        </w:tc>
        <w:tc>
          <w:tcPr>
            <w:tcW w:w="2254" w:type="dxa"/>
            <w:tcBorders>
              <w:top w:val="nil"/>
              <w:left w:val="nil"/>
              <w:bottom w:val="nil"/>
              <w:right w:val="nil"/>
            </w:tcBorders>
            <w:hideMark/>
          </w:tcPr>
          <w:p w14:paraId="794A9B59"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113(95.0)</w:t>
            </w:r>
          </w:p>
        </w:tc>
        <w:tc>
          <w:tcPr>
            <w:tcW w:w="2254" w:type="dxa"/>
            <w:tcBorders>
              <w:top w:val="nil"/>
              <w:left w:val="nil"/>
              <w:bottom w:val="nil"/>
              <w:right w:val="nil"/>
            </w:tcBorders>
            <w:hideMark/>
          </w:tcPr>
          <w:p w14:paraId="3E36AF47"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6(5.0)</w:t>
            </w:r>
          </w:p>
        </w:tc>
        <w:tc>
          <w:tcPr>
            <w:tcW w:w="2254" w:type="dxa"/>
            <w:tcBorders>
              <w:top w:val="nil"/>
              <w:left w:val="nil"/>
              <w:bottom w:val="nil"/>
              <w:right w:val="nil"/>
            </w:tcBorders>
          </w:tcPr>
          <w:p w14:paraId="52EEF9B4" w14:textId="77777777" w:rsidR="00B06F7D" w:rsidRPr="00072B63" w:rsidRDefault="00B06F7D" w:rsidP="005C3CBF">
            <w:pPr>
              <w:spacing w:line="259" w:lineRule="auto"/>
              <w:jc w:val="both"/>
              <w:rPr>
                <w:rFonts w:ascii="Garamond" w:hAnsi="Garamond"/>
                <w:bCs/>
                <w:iCs/>
                <w:sz w:val="20"/>
                <w:szCs w:val="20"/>
              </w:rPr>
            </w:pPr>
          </w:p>
        </w:tc>
      </w:tr>
      <w:tr w:rsidR="00B06F7D" w:rsidRPr="00072B63" w14:paraId="200B98CE" w14:textId="77777777" w:rsidTr="005C3CBF">
        <w:tc>
          <w:tcPr>
            <w:tcW w:w="2254" w:type="dxa"/>
            <w:gridSpan w:val="2"/>
            <w:tcBorders>
              <w:top w:val="nil"/>
              <w:left w:val="nil"/>
              <w:bottom w:val="nil"/>
              <w:right w:val="nil"/>
            </w:tcBorders>
            <w:hideMark/>
          </w:tcPr>
          <w:p w14:paraId="3583A387"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Partner Education</w:t>
            </w:r>
          </w:p>
        </w:tc>
        <w:tc>
          <w:tcPr>
            <w:tcW w:w="2254" w:type="dxa"/>
            <w:tcBorders>
              <w:top w:val="nil"/>
              <w:left w:val="nil"/>
              <w:bottom w:val="nil"/>
              <w:right w:val="nil"/>
            </w:tcBorders>
          </w:tcPr>
          <w:p w14:paraId="162540B8" w14:textId="77777777" w:rsidR="00B06F7D" w:rsidRPr="00072B63" w:rsidRDefault="00B06F7D" w:rsidP="005C3CBF">
            <w:pPr>
              <w:spacing w:line="259" w:lineRule="auto"/>
              <w:jc w:val="both"/>
              <w:rPr>
                <w:rFonts w:ascii="Garamond" w:hAnsi="Garamond"/>
                <w:bCs/>
                <w:iCs/>
                <w:sz w:val="20"/>
                <w:szCs w:val="20"/>
              </w:rPr>
            </w:pPr>
          </w:p>
        </w:tc>
        <w:tc>
          <w:tcPr>
            <w:tcW w:w="2254" w:type="dxa"/>
            <w:tcBorders>
              <w:top w:val="nil"/>
              <w:left w:val="nil"/>
              <w:bottom w:val="nil"/>
              <w:right w:val="nil"/>
            </w:tcBorders>
          </w:tcPr>
          <w:p w14:paraId="2E30A20B" w14:textId="77777777" w:rsidR="00B06F7D" w:rsidRPr="00072B63" w:rsidRDefault="00B06F7D" w:rsidP="005C3CBF">
            <w:pPr>
              <w:spacing w:line="259" w:lineRule="auto"/>
              <w:jc w:val="both"/>
              <w:rPr>
                <w:rFonts w:ascii="Garamond" w:hAnsi="Garamond"/>
                <w:bCs/>
                <w:iCs/>
                <w:sz w:val="20"/>
                <w:szCs w:val="20"/>
              </w:rPr>
            </w:pPr>
          </w:p>
        </w:tc>
        <w:tc>
          <w:tcPr>
            <w:tcW w:w="2254" w:type="dxa"/>
            <w:tcBorders>
              <w:top w:val="nil"/>
              <w:left w:val="nil"/>
              <w:bottom w:val="nil"/>
              <w:right w:val="nil"/>
            </w:tcBorders>
          </w:tcPr>
          <w:p w14:paraId="1AC5599D" w14:textId="77777777" w:rsidR="00B06F7D" w:rsidRPr="00072B63" w:rsidRDefault="00B06F7D" w:rsidP="005C3CBF">
            <w:pPr>
              <w:spacing w:line="259" w:lineRule="auto"/>
              <w:jc w:val="both"/>
              <w:rPr>
                <w:rFonts w:ascii="Garamond" w:hAnsi="Garamond"/>
                <w:bCs/>
                <w:iCs/>
                <w:sz w:val="20"/>
                <w:szCs w:val="20"/>
              </w:rPr>
            </w:pPr>
          </w:p>
        </w:tc>
      </w:tr>
      <w:tr w:rsidR="00B06F7D" w:rsidRPr="00072B63" w14:paraId="534CD792" w14:textId="77777777" w:rsidTr="005C3CBF">
        <w:tc>
          <w:tcPr>
            <w:tcW w:w="2254" w:type="dxa"/>
            <w:gridSpan w:val="2"/>
            <w:tcBorders>
              <w:top w:val="nil"/>
              <w:left w:val="nil"/>
              <w:bottom w:val="nil"/>
              <w:right w:val="nil"/>
            </w:tcBorders>
            <w:hideMark/>
          </w:tcPr>
          <w:p w14:paraId="77F1D639"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≤Secondary</w:t>
            </w:r>
          </w:p>
        </w:tc>
        <w:tc>
          <w:tcPr>
            <w:tcW w:w="2254" w:type="dxa"/>
            <w:tcBorders>
              <w:top w:val="nil"/>
              <w:left w:val="nil"/>
              <w:bottom w:val="nil"/>
              <w:right w:val="nil"/>
            </w:tcBorders>
            <w:hideMark/>
          </w:tcPr>
          <w:p w14:paraId="13B43C2D"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80(100.0)</w:t>
            </w:r>
          </w:p>
        </w:tc>
        <w:tc>
          <w:tcPr>
            <w:tcW w:w="2254" w:type="dxa"/>
            <w:tcBorders>
              <w:top w:val="nil"/>
              <w:left w:val="nil"/>
              <w:bottom w:val="nil"/>
              <w:right w:val="nil"/>
            </w:tcBorders>
            <w:hideMark/>
          </w:tcPr>
          <w:p w14:paraId="04753A61"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0(0.0)</w:t>
            </w:r>
          </w:p>
        </w:tc>
        <w:tc>
          <w:tcPr>
            <w:tcW w:w="2254" w:type="dxa"/>
            <w:tcBorders>
              <w:top w:val="nil"/>
              <w:left w:val="nil"/>
              <w:bottom w:val="nil"/>
              <w:right w:val="nil"/>
            </w:tcBorders>
            <w:hideMark/>
          </w:tcPr>
          <w:p w14:paraId="204D5F47"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7.948(0.005) *</w:t>
            </w:r>
          </w:p>
        </w:tc>
      </w:tr>
      <w:tr w:rsidR="00B06F7D" w:rsidRPr="00072B63" w14:paraId="1D514A41" w14:textId="77777777" w:rsidTr="005C3CBF">
        <w:tc>
          <w:tcPr>
            <w:tcW w:w="2254" w:type="dxa"/>
            <w:gridSpan w:val="2"/>
            <w:tcBorders>
              <w:top w:val="nil"/>
              <w:left w:val="nil"/>
              <w:bottom w:val="nil"/>
              <w:right w:val="nil"/>
            </w:tcBorders>
            <w:hideMark/>
          </w:tcPr>
          <w:p w14:paraId="45F6DF65"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 xml:space="preserve">Tertiary </w:t>
            </w:r>
          </w:p>
        </w:tc>
        <w:tc>
          <w:tcPr>
            <w:tcW w:w="2254" w:type="dxa"/>
            <w:tcBorders>
              <w:top w:val="nil"/>
              <w:left w:val="nil"/>
              <w:bottom w:val="nil"/>
              <w:right w:val="nil"/>
            </w:tcBorders>
            <w:hideMark/>
          </w:tcPr>
          <w:p w14:paraId="2AE4F9FD"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146(90.7)</w:t>
            </w:r>
          </w:p>
        </w:tc>
        <w:tc>
          <w:tcPr>
            <w:tcW w:w="2254" w:type="dxa"/>
            <w:tcBorders>
              <w:top w:val="nil"/>
              <w:left w:val="nil"/>
              <w:bottom w:val="nil"/>
              <w:right w:val="nil"/>
            </w:tcBorders>
            <w:hideMark/>
          </w:tcPr>
          <w:p w14:paraId="2D571FA6"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15(9.3)</w:t>
            </w:r>
          </w:p>
        </w:tc>
        <w:tc>
          <w:tcPr>
            <w:tcW w:w="2254" w:type="dxa"/>
            <w:tcBorders>
              <w:top w:val="nil"/>
              <w:left w:val="nil"/>
              <w:bottom w:val="nil"/>
              <w:right w:val="nil"/>
            </w:tcBorders>
          </w:tcPr>
          <w:p w14:paraId="0265FAC0" w14:textId="77777777" w:rsidR="00B06F7D" w:rsidRPr="00072B63" w:rsidRDefault="00B06F7D" w:rsidP="005C3CBF">
            <w:pPr>
              <w:spacing w:line="259" w:lineRule="auto"/>
              <w:jc w:val="both"/>
              <w:rPr>
                <w:rFonts w:ascii="Garamond" w:hAnsi="Garamond"/>
                <w:bCs/>
                <w:iCs/>
                <w:sz w:val="20"/>
                <w:szCs w:val="20"/>
              </w:rPr>
            </w:pPr>
          </w:p>
        </w:tc>
      </w:tr>
      <w:tr w:rsidR="00B06F7D" w:rsidRPr="00072B63" w14:paraId="579BFA3D" w14:textId="77777777" w:rsidTr="005C3CBF">
        <w:tc>
          <w:tcPr>
            <w:tcW w:w="2254" w:type="dxa"/>
            <w:gridSpan w:val="2"/>
            <w:tcBorders>
              <w:top w:val="nil"/>
              <w:left w:val="nil"/>
              <w:bottom w:val="nil"/>
              <w:right w:val="nil"/>
            </w:tcBorders>
            <w:hideMark/>
          </w:tcPr>
          <w:p w14:paraId="529A636D"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Average income</w:t>
            </w:r>
          </w:p>
        </w:tc>
        <w:tc>
          <w:tcPr>
            <w:tcW w:w="2254" w:type="dxa"/>
            <w:tcBorders>
              <w:top w:val="nil"/>
              <w:left w:val="nil"/>
              <w:bottom w:val="nil"/>
              <w:right w:val="nil"/>
            </w:tcBorders>
          </w:tcPr>
          <w:p w14:paraId="07E525D7" w14:textId="77777777" w:rsidR="00B06F7D" w:rsidRPr="00072B63" w:rsidRDefault="00B06F7D" w:rsidP="005C3CBF">
            <w:pPr>
              <w:spacing w:line="259" w:lineRule="auto"/>
              <w:jc w:val="both"/>
              <w:rPr>
                <w:rFonts w:ascii="Garamond" w:hAnsi="Garamond"/>
                <w:bCs/>
                <w:iCs/>
                <w:sz w:val="20"/>
                <w:szCs w:val="20"/>
              </w:rPr>
            </w:pPr>
          </w:p>
        </w:tc>
        <w:tc>
          <w:tcPr>
            <w:tcW w:w="2254" w:type="dxa"/>
            <w:tcBorders>
              <w:top w:val="nil"/>
              <w:left w:val="nil"/>
              <w:bottom w:val="nil"/>
              <w:right w:val="nil"/>
            </w:tcBorders>
          </w:tcPr>
          <w:p w14:paraId="7CE96964" w14:textId="77777777" w:rsidR="00B06F7D" w:rsidRPr="00072B63" w:rsidRDefault="00B06F7D" w:rsidP="005C3CBF">
            <w:pPr>
              <w:spacing w:line="259" w:lineRule="auto"/>
              <w:jc w:val="both"/>
              <w:rPr>
                <w:rFonts w:ascii="Garamond" w:hAnsi="Garamond"/>
                <w:bCs/>
                <w:iCs/>
                <w:sz w:val="20"/>
                <w:szCs w:val="20"/>
              </w:rPr>
            </w:pPr>
          </w:p>
        </w:tc>
        <w:tc>
          <w:tcPr>
            <w:tcW w:w="2254" w:type="dxa"/>
            <w:tcBorders>
              <w:top w:val="nil"/>
              <w:left w:val="nil"/>
              <w:bottom w:val="nil"/>
              <w:right w:val="nil"/>
            </w:tcBorders>
          </w:tcPr>
          <w:p w14:paraId="217D1BB0" w14:textId="77777777" w:rsidR="00B06F7D" w:rsidRPr="00072B63" w:rsidRDefault="00B06F7D" w:rsidP="005C3CBF">
            <w:pPr>
              <w:spacing w:line="259" w:lineRule="auto"/>
              <w:jc w:val="both"/>
              <w:rPr>
                <w:rFonts w:ascii="Garamond" w:hAnsi="Garamond"/>
                <w:bCs/>
                <w:iCs/>
                <w:sz w:val="20"/>
                <w:szCs w:val="20"/>
              </w:rPr>
            </w:pPr>
          </w:p>
        </w:tc>
      </w:tr>
      <w:tr w:rsidR="00B06F7D" w:rsidRPr="00072B63" w14:paraId="30058564" w14:textId="77777777" w:rsidTr="005C3CBF">
        <w:tc>
          <w:tcPr>
            <w:tcW w:w="2254" w:type="dxa"/>
            <w:gridSpan w:val="2"/>
            <w:tcBorders>
              <w:top w:val="nil"/>
              <w:left w:val="nil"/>
              <w:bottom w:val="nil"/>
              <w:right w:val="nil"/>
            </w:tcBorders>
            <w:hideMark/>
          </w:tcPr>
          <w:p w14:paraId="15DBE50F"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≤200,000</w:t>
            </w:r>
          </w:p>
        </w:tc>
        <w:tc>
          <w:tcPr>
            <w:tcW w:w="2254" w:type="dxa"/>
            <w:tcBorders>
              <w:top w:val="nil"/>
              <w:left w:val="nil"/>
              <w:bottom w:val="nil"/>
              <w:right w:val="nil"/>
            </w:tcBorders>
            <w:hideMark/>
          </w:tcPr>
          <w:p w14:paraId="2FEF1D55"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170(91.9)</w:t>
            </w:r>
          </w:p>
        </w:tc>
        <w:tc>
          <w:tcPr>
            <w:tcW w:w="2254" w:type="dxa"/>
            <w:tcBorders>
              <w:top w:val="nil"/>
              <w:left w:val="nil"/>
              <w:bottom w:val="nil"/>
              <w:right w:val="nil"/>
            </w:tcBorders>
            <w:hideMark/>
          </w:tcPr>
          <w:p w14:paraId="03451827"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15(8.1)</w:t>
            </w:r>
          </w:p>
        </w:tc>
        <w:tc>
          <w:tcPr>
            <w:tcW w:w="2254" w:type="dxa"/>
            <w:tcBorders>
              <w:top w:val="nil"/>
              <w:left w:val="nil"/>
              <w:bottom w:val="nil"/>
              <w:right w:val="nil"/>
            </w:tcBorders>
            <w:hideMark/>
          </w:tcPr>
          <w:p w14:paraId="0CBC5495"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4.842(0.028) *</w:t>
            </w:r>
          </w:p>
        </w:tc>
      </w:tr>
      <w:tr w:rsidR="00B06F7D" w:rsidRPr="00072B63" w14:paraId="43D14099" w14:textId="77777777" w:rsidTr="005C3CBF">
        <w:tc>
          <w:tcPr>
            <w:tcW w:w="2254" w:type="dxa"/>
            <w:gridSpan w:val="2"/>
            <w:tcBorders>
              <w:top w:val="nil"/>
              <w:left w:val="nil"/>
              <w:bottom w:val="nil"/>
              <w:right w:val="nil"/>
            </w:tcBorders>
            <w:hideMark/>
          </w:tcPr>
          <w:p w14:paraId="5EDB0CB5"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&gt;200,000</w:t>
            </w:r>
          </w:p>
        </w:tc>
        <w:tc>
          <w:tcPr>
            <w:tcW w:w="2254" w:type="dxa"/>
            <w:tcBorders>
              <w:top w:val="nil"/>
              <w:left w:val="nil"/>
              <w:bottom w:val="nil"/>
              <w:right w:val="nil"/>
            </w:tcBorders>
            <w:hideMark/>
          </w:tcPr>
          <w:p w14:paraId="14835FF9"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56(100.0)</w:t>
            </w:r>
          </w:p>
        </w:tc>
        <w:tc>
          <w:tcPr>
            <w:tcW w:w="2254" w:type="dxa"/>
            <w:tcBorders>
              <w:top w:val="nil"/>
              <w:left w:val="nil"/>
              <w:bottom w:val="nil"/>
              <w:right w:val="nil"/>
            </w:tcBorders>
            <w:hideMark/>
          </w:tcPr>
          <w:p w14:paraId="0F059805"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0(0.0)</w:t>
            </w:r>
          </w:p>
        </w:tc>
        <w:tc>
          <w:tcPr>
            <w:tcW w:w="2254" w:type="dxa"/>
            <w:tcBorders>
              <w:top w:val="nil"/>
              <w:left w:val="nil"/>
              <w:bottom w:val="nil"/>
              <w:right w:val="nil"/>
            </w:tcBorders>
          </w:tcPr>
          <w:p w14:paraId="64A5B302" w14:textId="77777777" w:rsidR="00B06F7D" w:rsidRPr="00072B63" w:rsidRDefault="00B06F7D" w:rsidP="005C3CBF">
            <w:pPr>
              <w:spacing w:line="259" w:lineRule="auto"/>
              <w:jc w:val="both"/>
              <w:rPr>
                <w:rFonts w:ascii="Garamond" w:hAnsi="Garamond"/>
                <w:bCs/>
                <w:iCs/>
                <w:sz w:val="20"/>
                <w:szCs w:val="20"/>
              </w:rPr>
            </w:pPr>
          </w:p>
        </w:tc>
      </w:tr>
      <w:tr w:rsidR="00B06F7D" w:rsidRPr="00072B63" w14:paraId="627E027A" w14:textId="77777777" w:rsidTr="005C3CBF">
        <w:tc>
          <w:tcPr>
            <w:tcW w:w="2254" w:type="dxa"/>
            <w:gridSpan w:val="2"/>
            <w:tcBorders>
              <w:top w:val="nil"/>
              <w:left w:val="nil"/>
              <w:bottom w:val="nil"/>
              <w:right w:val="nil"/>
            </w:tcBorders>
            <w:hideMark/>
          </w:tcPr>
          <w:p w14:paraId="4DA80480"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Partners income</w:t>
            </w:r>
          </w:p>
        </w:tc>
        <w:tc>
          <w:tcPr>
            <w:tcW w:w="2254" w:type="dxa"/>
            <w:tcBorders>
              <w:top w:val="nil"/>
              <w:left w:val="nil"/>
              <w:bottom w:val="nil"/>
              <w:right w:val="nil"/>
            </w:tcBorders>
          </w:tcPr>
          <w:p w14:paraId="41C170F3" w14:textId="77777777" w:rsidR="00B06F7D" w:rsidRPr="00072B63" w:rsidRDefault="00B06F7D" w:rsidP="005C3CBF">
            <w:pPr>
              <w:spacing w:line="259" w:lineRule="auto"/>
              <w:jc w:val="both"/>
              <w:rPr>
                <w:rFonts w:ascii="Garamond" w:hAnsi="Garamond"/>
                <w:bCs/>
                <w:iCs/>
                <w:sz w:val="20"/>
                <w:szCs w:val="20"/>
              </w:rPr>
            </w:pPr>
          </w:p>
        </w:tc>
        <w:tc>
          <w:tcPr>
            <w:tcW w:w="2254" w:type="dxa"/>
            <w:tcBorders>
              <w:top w:val="nil"/>
              <w:left w:val="nil"/>
              <w:bottom w:val="nil"/>
              <w:right w:val="nil"/>
            </w:tcBorders>
          </w:tcPr>
          <w:p w14:paraId="3516FAF0" w14:textId="77777777" w:rsidR="00B06F7D" w:rsidRPr="00072B63" w:rsidRDefault="00B06F7D" w:rsidP="005C3CBF">
            <w:pPr>
              <w:spacing w:line="259" w:lineRule="auto"/>
              <w:jc w:val="both"/>
              <w:rPr>
                <w:rFonts w:ascii="Garamond" w:hAnsi="Garamond"/>
                <w:bCs/>
                <w:iCs/>
                <w:sz w:val="20"/>
                <w:szCs w:val="20"/>
              </w:rPr>
            </w:pPr>
          </w:p>
        </w:tc>
        <w:tc>
          <w:tcPr>
            <w:tcW w:w="2254" w:type="dxa"/>
            <w:tcBorders>
              <w:top w:val="nil"/>
              <w:left w:val="nil"/>
              <w:bottom w:val="nil"/>
              <w:right w:val="nil"/>
            </w:tcBorders>
          </w:tcPr>
          <w:p w14:paraId="4DA588CD" w14:textId="77777777" w:rsidR="00B06F7D" w:rsidRPr="00072B63" w:rsidRDefault="00B06F7D" w:rsidP="005C3CBF">
            <w:pPr>
              <w:spacing w:line="259" w:lineRule="auto"/>
              <w:jc w:val="both"/>
              <w:rPr>
                <w:rFonts w:ascii="Garamond" w:hAnsi="Garamond"/>
                <w:bCs/>
                <w:iCs/>
                <w:sz w:val="20"/>
                <w:szCs w:val="20"/>
              </w:rPr>
            </w:pPr>
          </w:p>
        </w:tc>
      </w:tr>
      <w:tr w:rsidR="00B06F7D" w:rsidRPr="00072B63" w14:paraId="55BCCDBD" w14:textId="77777777" w:rsidTr="005C3CBF">
        <w:tc>
          <w:tcPr>
            <w:tcW w:w="2254" w:type="dxa"/>
            <w:gridSpan w:val="2"/>
            <w:tcBorders>
              <w:top w:val="nil"/>
              <w:left w:val="nil"/>
              <w:bottom w:val="nil"/>
              <w:right w:val="nil"/>
            </w:tcBorders>
            <w:hideMark/>
          </w:tcPr>
          <w:p w14:paraId="1731F2A4"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≤200,000</w:t>
            </w:r>
          </w:p>
        </w:tc>
        <w:tc>
          <w:tcPr>
            <w:tcW w:w="2254" w:type="dxa"/>
            <w:tcBorders>
              <w:top w:val="nil"/>
              <w:left w:val="nil"/>
              <w:bottom w:val="nil"/>
              <w:right w:val="nil"/>
            </w:tcBorders>
            <w:hideMark/>
          </w:tcPr>
          <w:p w14:paraId="72363BC4"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130(95.6)</w:t>
            </w:r>
          </w:p>
        </w:tc>
        <w:tc>
          <w:tcPr>
            <w:tcW w:w="2254" w:type="dxa"/>
            <w:tcBorders>
              <w:top w:val="nil"/>
              <w:left w:val="nil"/>
              <w:bottom w:val="nil"/>
              <w:right w:val="nil"/>
            </w:tcBorders>
            <w:hideMark/>
          </w:tcPr>
          <w:p w14:paraId="259FC544"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6(4.4)</w:t>
            </w:r>
          </w:p>
        </w:tc>
        <w:tc>
          <w:tcPr>
            <w:tcW w:w="2254" w:type="dxa"/>
            <w:tcBorders>
              <w:top w:val="nil"/>
              <w:left w:val="nil"/>
              <w:bottom w:val="nil"/>
              <w:right w:val="nil"/>
            </w:tcBorders>
            <w:hideMark/>
          </w:tcPr>
          <w:p w14:paraId="7D5F8D4D"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1.757(0.185)</w:t>
            </w:r>
          </w:p>
        </w:tc>
      </w:tr>
      <w:tr w:rsidR="00B06F7D" w:rsidRPr="00072B63" w14:paraId="525A8B79" w14:textId="77777777" w:rsidTr="005C3CBF">
        <w:tc>
          <w:tcPr>
            <w:tcW w:w="2254" w:type="dxa"/>
            <w:gridSpan w:val="2"/>
            <w:tcBorders>
              <w:top w:val="nil"/>
              <w:left w:val="nil"/>
              <w:bottom w:val="nil"/>
              <w:right w:val="nil"/>
            </w:tcBorders>
            <w:hideMark/>
          </w:tcPr>
          <w:p w14:paraId="472DB4C9"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&gt;200,000</w:t>
            </w:r>
          </w:p>
        </w:tc>
        <w:tc>
          <w:tcPr>
            <w:tcW w:w="2254" w:type="dxa"/>
            <w:tcBorders>
              <w:top w:val="nil"/>
              <w:left w:val="nil"/>
              <w:bottom w:val="nil"/>
              <w:right w:val="nil"/>
            </w:tcBorders>
            <w:hideMark/>
          </w:tcPr>
          <w:p w14:paraId="3F7D56CA"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96(91.4)</w:t>
            </w:r>
          </w:p>
        </w:tc>
        <w:tc>
          <w:tcPr>
            <w:tcW w:w="2254" w:type="dxa"/>
            <w:tcBorders>
              <w:top w:val="nil"/>
              <w:left w:val="nil"/>
              <w:bottom w:val="nil"/>
              <w:right w:val="nil"/>
            </w:tcBorders>
            <w:hideMark/>
          </w:tcPr>
          <w:p w14:paraId="46776012"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9(8.6)</w:t>
            </w:r>
          </w:p>
        </w:tc>
        <w:tc>
          <w:tcPr>
            <w:tcW w:w="2254" w:type="dxa"/>
            <w:tcBorders>
              <w:top w:val="nil"/>
              <w:left w:val="nil"/>
              <w:bottom w:val="nil"/>
              <w:right w:val="nil"/>
            </w:tcBorders>
          </w:tcPr>
          <w:p w14:paraId="6CAD6076" w14:textId="77777777" w:rsidR="00B06F7D" w:rsidRPr="00072B63" w:rsidRDefault="00B06F7D" w:rsidP="005C3CBF">
            <w:pPr>
              <w:spacing w:line="259" w:lineRule="auto"/>
              <w:jc w:val="both"/>
              <w:rPr>
                <w:rFonts w:ascii="Garamond" w:hAnsi="Garamond"/>
                <w:bCs/>
                <w:iCs/>
                <w:sz w:val="20"/>
                <w:szCs w:val="20"/>
              </w:rPr>
            </w:pPr>
          </w:p>
        </w:tc>
      </w:tr>
      <w:tr w:rsidR="00B06F7D" w:rsidRPr="00072B63" w14:paraId="5FF3EC87" w14:textId="77777777" w:rsidTr="005C3CBF">
        <w:tc>
          <w:tcPr>
            <w:tcW w:w="2254" w:type="dxa"/>
            <w:gridSpan w:val="2"/>
            <w:tcBorders>
              <w:top w:val="nil"/>
              <w:left w:val="nil"/>
              <w:bottom w:val="nil"/>
              <w:right w:val="nil"/>
            </w:tcBorders>
            <w:hideMark/>
          </w:tcPr>
          <w:p w14:paraId="76A57D7E"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Religion</w:t>
            </w:r>
          </w:p>
        </w:tc>
        <w:tc>
          <w:tcPr>
            <w:tcW w:w="2254" w:type="dxa"/>
            <w:tcBorders>
              <w:top w:val="nil"/>
              <w:left w:val="nil"/>
              <w:bottom w:val="nil"/>
              <w:right w:val="nil"/>
            </w:tcBorders>
          </w:tcPr>
          <w:p w14:paraId="45CC3120" w14:textId="77777777" w:rsidR="00B06F7D" w:rsidRPr="00072B63" w:rsidRDefault="00B06F7D" w:rsidP="005C3CBF">
            <w:pPr>
              <w:spacing w:line="259" w:lineRule="auto"/>
              <w:jc w:val="both"/>
              <w:rPr>
                <w:rFonts w:ascii="Garamond" w:hAnsi="Garamond"/>
                <w:bCs/>
                <w:iCs/>
                <w:sz w:val="20"/>
                <w:szCs w:val="20"/>
              </w:rPr>
            </w:pPr>
          </w:p>
        </w:tc>
        <w:tc>
          <w:tcPr>
            <w:tcW w:w="2254" w:type="dxa"/>
            <w:tcBorders>
              <w:top w:val="nil"/>
              <w:left w:val="nil"/>
              <w:bottom w:val="nil"/>
              <w:right w:val="nil"/>
            </w:tcBorders>
          </w:tcPr>
          <w:p w14:paraId="4585771C" w14:textId="77777777" w:rsidR="00B06F7D" w:rsidRPr="00072B63" w:rsidRDefault="00B06F7D" w:rsidP="005C3CBF">
            <w:pPr>
              <w:spacing w:line="259" w:lineRule="auto"/>
              <w:jc w:val="both"/>
              <w:rPr>
                <w:rFonts w:ascii="Garamond" w:hAnsi="Garamond"/>
                <w:bCs/>
                <w:iCs/>
                <w:sz w:val="20"/>
                <w:szCs w:val="20"/>
              </w:rPr>
            </w:pPr>
          </w:p>
        </w:tc>
        <w:tc>
          <w:tcPr>
            <w:tcW w:w="2254" w:type="dxa"/>
            <w:tcBorders>
              <w:top w:val="nil"/>
              <w:left w:val="nil"/>
              <w:bottom w:val="nil"/>
              <w:right w:val="nil"/>
            </w:tcBorders>
          </w:tcPr>
          <w:p w14:paraId="2C3748E3" w14:textId="77777777" w:rsidR="00B06F7D" w:rsidRPr="00072B63" w:rsidRDefault="00B06F7D" w:rsidP="005C3CBF">
            <w:pPr>
              <w:spacing w:line="259" w:lineRule="auto"/>
              <w:jc w:val="both"/>
              <w:rPr>
                <w:rFonts w:ascii="Garamond" w:hAnsi="Garamond"/>
                <w:bCs/>
                <w:iCs/>
                <w:sz w:val="20"/>
                <w:szCs w:val="20"/>
              </w:rPr>
            </w:pPr>
          </w:p>
        </w:tc>
      </w:tr>
      <w:tr w:rsidR="00B06F7D" w:rsidRPr="00072B63" w14:paraId="34812B67" w14:textId="77777777" w:rsidTr="005C3CBF">
        <w:tc>
          <w:tcPr>
            <w:tcW w:w="2254" w:type="dxa"/>
            <w:gridSpan w:val="2"/>
            <w:tcBorders>
              <w:top w:val="nil"/>
              <w:left w:val="nil"/>
              <w:bottom w:val="nil"/>
              <w:right w:val="nil"/>
            </w:tcBorders>
            <w:hideMark/>
          </w:tcPr>
          <w:p w14:paraId="2BC5DC7F"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Christian</w:t>
            </w:r>
          </w:p>
        </w:tc>
        <w:tc>
          <w:tcPr>
            <w:tcW w:w="2254" w:type="dxa"/>
            <w:tcBorders>
              <w:top w:val="nil"/>
              <w:left w:val="nil"/>
              <w:bottom w:val="nil"/>
              <w:right w:val="nil"/>
            </w:tcBorders>
            <w:hideMark/>
          </w:tcPr>
          <w:p w14:paraId="60A8CBBA"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208(93.3)</w:t>
            </w:r>
          </w:p>
        </w:tc>
        <w:tc>
          <w:tcPr>
            <w:tcW w:w="2254" w:type="dxa"/>
            <w:tcBorders>
              <w:top w:val="nil"/>
              <w:left w:val="nil"/>
              <w:bottom w:val="nil"/>
              <w:right w:val="nil"/>
            </w:tcBorders>
            <w:hideMark/>
          </w:tcPr>
          <w:p w14:paraId="469C855F"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15(6.7)</w:t>
            </w:r>
          </w:p>
        </w:tc>
        <w:tc>
          <w:tcPr>
            <w:tcW w:w="2254" w:type="dxa"/>
            <w:tcBorders>
              <w:top w:val="nil"/>
              <w:left w:val="nil"/>
              <w:bottom w:val="nil"/>
              <w:right w:val="nil"/>
            </w:tcBorders>
            <w:hideMark/>
          </w:tcPr>
          <w:p w14:paraId="7DB56F71"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1.291(0.256)</w:t>
            </w:r>
          </w:p>
        </w:tc>
      </w:tr>
      <w:tr w:rsidR="00B06F7D" w:rsidRPr="00072B63" w14:paraId="2D0650B8" w14:textId="77777777" w:rsidTr="005C3CBF">
        <w:tc>
          <w:tcPr>
            <w:tcW w:w="2254" w:type="dxa"/>
            <w:gridSpan w:val="2"/>
            <w:tcBorders>
              <w:top w:val="nil"/>
              <w:left w:val="nil"/>
              <w:bottom w:val="nil"/>
              <w:right w:val="nil"/>
            </w:tcBorders>
            <w:hideMark/>
          </w:tcPr>
          <w:p w14:paraId="5A6AD0BA"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Others 2</w:t>
            </w:r>
          </w:p>
        </w:tc>
        <w:tc>
          <w:tcPr>
            <w:tcW w:w="2254" w:type="dxa"/>
            <w:tcBorders>
              <w:top w:val="nil"/>
              <w:left w:val="nil"/>
              <w:bottom w:val="nil"/>
              <w:right w:val="nil"/>
            </w:tcBorders>
            <w:hideMark/>
          </w:tcPr>
          <w:p w14:paraId="4ED66642"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18(100.0)</w:t>
            </w:r>
          </w:p>
        </w:tc>
        <w:tc>
          <w:tcPr>
            <w:tcW w:w="2254" w:type="dxa"/>
            <w:tcBorders>
              <w:top w:val="nil"/>
              <w:left w:val="nil"/>
              <w:bottom w:val="nil"/>
              <w:right w:val="nil"/>
            </w:tcBorders>
            <w:hideMark/>
          </w:tcPr>
          <w:p w14:paraId="121DC107"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0(0.0)</w:t>
            </w:r>
          </w:p>
        </w:tc>
        <w:tc>
          <w:tcPr>
            <w:tcW w:w="2254" w:type="dxa"/>
            <w:tcBorders>
              <w:top w:val="nil"/>
              <w:left w:val="nil"/>
              <w:bottom w:val="nil"/>
              <w:right w:val="nil"/>
            </w:tcBorders>
          </w:tcPr>
          <w:p w14:paraId="1A82F539" w14:textId="77777777" w:rsidR="00B06F7D" w:rsidRPr="00072B63" w:rsidRDefault="00B06F7D" w:rsidP="005C3CBF">
            <w:pPr>
              <w:spacing w:line="259" w:lineRule="auto"/>
              <w:jc w:val="both"/>
              <w:rPr>
                <w:rFonts w:ascii="Garamond" w:hAnsi="Garamond"/>
                <w:bCs/>
                <w:iCs/>
                <w:sz w:val="20"/>
                <w:szCs w:val="20"/>
              </w:rPr>
            </w:pPr>
          </w:p>
        </w:tc>
      </w:tr>
      <w:tr w:rsidR="00B06F7D" w:rsidRPr="00072B63" w14:paraId="30F61FA0" w14:textId="77777777" w:rsidTr="005C3CBF">
        <w:tc>
          <w:tcPr>
            <w:tcW w:w="2254" w:type="dxa"/>
            <w:gridSpan w:val="2"/>
            <w:tcBorders>
              <w:top w:val="nil"/>
              <w:left w:val="nil"/>
              <w:bottom w:val="nil"/>
              <w:right w:val="nil"/>
            </w:tcBorders>
            <w:hideMark/>
          </w:tcPr>
          <w:p w14:paraId="6653617B"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Relationship status</w:t>
            </w:r>
          </w:p>
        </w:tc>
        <w:tc>
          <w:tcPr>
            <w:tcW w:w="2254" w:type="dxa"/>
            <w:tcBorders>
              <w:top w:val="nil"/>
              <w:left w:val="nil"/>
              <w:bottom w:val="nil"/>
              <w:right w:val="nil"/>
            </w:tcBorders>
          </w:tcPr>
          <w:p w14:paraId="27CFA631" w14:textId="77777777" w:rsidR="00B06F7D" w:rsidRPr="00072B63" w:rsidRDefault="00B06F7D" w:rsidP="005C3CBF">
            <w:pPr>
              <w:spacing w:line="259" w:lineRule="auto"/>
              <w:jc w:val="both"/>
              <w:rPr>
                <w:rFonts w:ascii="Garamond" w:hAnsi="Garamond"/>
                <w:bCs/>
                <w:iCs/>
                <w:sz w:val="20"/>
                <w:szCs w:val="20"/>
              </w:rPr>
            </w:pPr>
          </w:p>
        </w:tc>
        <w:tc>
          <w:tcPr>
            <w:tcW w:w="2254" w:type="dxa"/>
            <w:tcBorders>
              <w:top w:val="nil"/>
              <w:left w:val="nil"/>
              <w:bottom w:val="nil"/>
              <w:right w:val="nil"/>
            </w:tcBorders>
          </w:tcPr>
          <w:p w14:paraId="64277EF7" w14:textId="77777777" w:rsidR="00B06F7D" w:rsidRPr="00072B63" w:rsidRDefault="00B06F7D" w:rsidP="005C3CBF">
            <w:pPr>
              <w:spacing w:line="259" w:lineRule="auto"/>
              <w:jc w:val="both"/>
              <w:rPr>
                <w:rFonts w:ascii="Garamond" w:hAnsi="Garamond"/>
                <w:bCs/>
                <w:iCs/>
                <w:sz w:val="20"/>
                <w:szCs w:val="20"/>
              </w:rPr>
            </w:pPr>
          </w:p>
        </w:tc>
        <w:tc>
          <w:tcPr>
            <w:tcW w:w="2254" w:type="dxa"/>
            <w:tcBorders>
              <w:top w:val="nil"/>
              <w:left w:val="nil"/>
              <w:bottom w:val="nil"/>
              <w:right w:val="nil"/>
            </w:tcBorders>
          </w:tcPr>
          <w:p w14:paraId="5A3EA96A" w14:textId="77777777" w:rsidR="00B06F7D" w:rsidRPr="00072B63" w:rsidRDefault="00B06F7D" w:rsidP="005C3CBF">
            <w:pPr>
              <w:spacing w:line="259" w:lineRule="auto"/>
              <w:jc w:val="both"/>
              <w:rPr>
                <w:rFonts w:ascii="Garamond" w:hAnsi="Garamond"/>
                <w:bCs/>
                <w:iCs/>
                <w:sz w:val="20"/>
                <w:szCs w:val="20"/>
              </w:rPr>
            </w:pPr>
          </w:p>
        </w:tc>
      </w:tr>
      <w:tr w:rsidR="00B06F7D" w:rsidRPr="00072B63" w14:paraId="34042D8D" w14:textId="77777777" w:rsidTr="005C3CBF">
        <w:tc>
          <w:tcPr>
            <w:tcW w:w="2254" w:type="dxa"/>
            <w:gridSpan w:val="2"/>
            <w:tcBorders>
              <w:top w:val="nil"/>
              <w:left w:val="nil"/>
              <w:bottom w:val="nil"/>
              <w:right w:val="nil"/>
            </w:tcBorders>
            <w:hideMark/>
          </w:tcPr>
          <w:p w14:paraId="6D2807FA"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 xml:space="preserve">Have Partner </w:t>
            </w:r>
          </w:p>
        </w:tc>
        <w:tc>
          <w:tcPr>
            <w:tcW w:w="2254" w:type="dxa"/>
            <w:tcBorders>
              <w:top w:val="nil"/>
              <w:left w:val="nil"/>
              <w:bottom w:val="nil"/>
              <w:right w:val="nil"/>
            </w:tcBorders>
            <w:hideMark/>
          </w:tcPr>
          <w:p w14:paraId="33C6ED45"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160(96.4)</w:t>
            </w:r>
          </w:p>
        </w:tc>
        <w:tc>
          <w:tcPr>
            <w:tcW w:w="2254" w:type="dxa"/>
            <w:tcBorders>
              <w:top w:val="nil"/>
              <w:left w:val="nil"/>
              <w:bottom w:val="nil"/>
              <w:right w:val="nil"/>
            </w:tcBorders>
            <w:hideMark/>
          </w:tcPr>
          <w:p w14:paraId="718935AC"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6(3.6)</w:t>
            </w:r>
          </w:p>
        </w:tc>
        <w:tc>
          <w:tcPr>
            <w:tcW w:w="2254" w:type="dxa"/>
            <w:tcBorders>
              <w:top w:val="nil"/>
              <w:left w:val="nil"/>
              <w:bottom w:val="nil"/>
              <w:right w:val="nil"/>
            </w:tcBorders>
            <w:hideMark/>
          </w:tcPr>
          <w:p w14:paraId="37DCFDDF"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6.224(0.013) *</w:t>
            </w:r>
          </w:p>
        </w:tc>
      </w:tr>
      <w:tr w:rsidR="00B06F7D" w:rsidRPr="00072B63" w14:paraId="79797FB3" w14:textId="77777777" w:rsidTr="005C3CBF">
        <w:tc>
          <w:tcPr>
            <w:tcW w:w="2254" w:type="dxa"/>
            <w:gridSpan w:val="2"/>
            <w:tcBorders>
              <w:top w:val="nil"/>
              <w:left w:val="nil"/>
              <w:bottom w:val="nil"/>
              <w:right w:val="nil"/>
            </w:tcBorders>
            <w:hideMark/>
          </w:tcPr>
          <w:p w14:paraId="1F545663"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 xml:space="preserve">No partner </w:t>
            </w:r>
          </w:p>
        </w:tc>
        <w:tc>
          <w:tcPr>
            <w:tcW w:w="2254" w:type="dxa"/>
            <w:tcBorders>
              <w:top w:val="nil"/>
              <w:left w:val="nil"/>
              <w:bottom w:val="nil"/>
              <w:right w:val="nil"/>
            </w:tcBorders>
            <w:hideMark/>
          </w:tcPr>
          <w:p w14:paraId="0182D77B"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66(88.0)</w:t>
            </w:r>
          </w:p>
        </w:tc>
        <w:tc>
          <w:tcPr>
            <w:tcW w:w="2254" w:type="dxa"/>
            <w:tcBorders>
              <w:top w:val="nil"/>
              <w:left w:val="nil"/>
              <w:bottom w:val="nil"/>
              <w:right w:val="nil"/>
            </w:tcBorders>
            <w:hideMark/>
          </w:tcPr>
          <w:p w14:paraId="1391300D"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9(12.0)</w:t>
            </w:r>
          </w:p>
        </w:tc>
        <w:tc>
          <w:tcPr>
            <w:tcW w:w="2254" w:type="dxa"/>
            <w:tcBorders>
              <w:top w:val="nil"/>
              <w:left w:val="nil"/>
              <w:bottom w:val="nil"/>
              <w:right w:val="nil"/>
            </w:tcBorders>
          </w:tcPr>
          <w:p w14:paraId="43ED1633" w14:textId="77777777" w:rsidR="00B06F7D" w:rsidRPr="00072B63" w:rsidRDefault="00B06F7D" w:rsidP="005C3CBF">
            <w:pPr>
              <w:spacing w:line="259" w:lineRule="auto"/>
              <w:jc w:val="both"/>
              <w:rPr>
                <w:rFonts w:ascii="Garamond" w:hAnsi="Garamond"/>
                <w:bCs/>
                <w:iCs/>
                <w:sz w:val="20"/>
                <w:szCs w:val="20"/>
              </w:rPr>
            </w:pPr>
          </w:p>
        </w:tc>
      </w:tr>
      <w:tr w:rsidR="00B06F7D" w:rsidRPr="00072B63" w14:paraId="0C707D41" w14:textId="77777777" w:rsidTr="005C3CBF">
        <w:tc>
          <w:tcPr>
            <w:tcW w:w="2254" w:type="dxa"/>
            <w:gridSpan w:val="2"/>
            <w:tcBorders>
              <w:top w:val="nil"/>
              <w:left w:val="nil"/>
              <w:bottom w:val="nil"/>
              <w:right w:val="nil"/>
            </w:tcBorders>
            <w:hideMark/>
          </w:tcPr>
          <w:p w14:paraId="4524DE1A"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Employment status</w:t>
            </w:r>
          </w:p>
        </w:tc>
        <w:tc>
          <w:tcPr>
            <w:tcW w:w="2254" w:type="dxa"/>
            <w:tcBorders>
              <w:top w:val="nil"/>
              <w:left w:val="nil"/>
              <w:bottom w:val="nil"/>
              <w:right w:val="nil"/>
            </w:tcBorders>
          </w:tcPr>
          <w:p w14:paraId="326970D3" w14:textId="77777777" w:rsidR="00B06F7D" w:rsidRPr="00072B63" w:rsidRDefault="00B06F7D" w:rsidP="005C3CBF">
            <w:pPr>
              <w:spacing w:line="259" w:lineRule="auto"/>
              <w:jc w:val="both"/>
              <w:rPr>
                <w:rFonts w:ascii="Garamond" w:hAnsi="Garamond"/>
                <w:bCs/>
                <w:iCs/>
                <w:sz w:val="20"/>
                <w:szCs w:val="20"/>
              </w:rPr>
            </w:pPr>
          </w:p>
        </w:tc>
        <w:tc>
          <w:tcPr>
            <w:tcW w:w="2254" w:type="dxa"/>
            <w:tcBorders>
              <w:top w:val="nil"/>
              <w:left w:val="nil"/>
              <w:bottom w:val="nil"/>
              <w:right w:val="nil"/>
            </w:tcBorders>
          </w:tcPr>
          <w:p w14:paraId="121A1F47" w14:textId="77777777" w:rsidR="00B06F7D" w:rsidRPr="00072B63" w:rsidRDefault="00B06F7D" w:rsidP="005C3CBF">
            <w:pPr>
              <w:spacing w:line="259" w:lineRule="auto"/>
              <w:jc w:val="both"/>
              <w:rPr>
                <w:rFonts w:ascii="Garamond" w:hAnsi="Garamond"/>
                <w:bCs/>
                <w:iCs/>
                <w:sz w:val="20"/>
                <w:szCs w:val="20"/>
              </w:rPr>
            </w:pPr>
          </w:p>
        </w:tc>
        <w:tc>
          <w:tcPr>
            <w:tcW w:w="2254" w:type="dxa"/>
            <w:tcBorders>
              <w:top w:val="nil"/>
              <w:left w:val="nil"/>
              <w:bottom w:val="nil"/>
              <w:right w:val="nil"/>
            </w:tcBorders>
          </w:tcPr>
          <w:p w14:paraId="0F2EAB5B" w14:textId="77777777" w:rsidR="00B06F7D" w:rsidRPr="00072B63" w:rsidRDefault="00B06F7D" w:rsidP="005C3CBF">
            <w:pPr>
              <w:spacing w:line="259" w:lineRule="auto"/>
              <w:jc w:val="both"/>
              <w:rPr>
                <w:rFonts w:ascii="Garamond" w:hAnsi="Garamond"/>
                <w:bCs/>
                <w:iCs/>
                <w:sz w:val="20"/>
                <w:szCs w:val="20"/>
              </w:rPr>
            </w:pPr>
          </w:p>
        </w:tc>
      </w:tr>
      <w:tr w:rsidR="00B06F7D" w:rsidRPr="00072B63" w14:paraId="450C4C33" w14:textId="77777777" w:rsidTr="005C3CBF">
        <w:tc>
          <w:tcPr>
            <w:tcW w:w="2254" w:type="dxa"/>
            <w:gridSpan w:val="2"/>
            <w:tcBorders>
              <w:top w:val="nil"/>
              <w:left w:val="nil"/>
              <w:bottom w:val="nil"/>
              <w:right w:val="nil"/>
            </w:tcBorders>
            <w:hideMark/>
          </w:tcPr>
          <w:p w14:paraId="5281ED1F"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Employed</w:t>
            </w:r>
          </w:p>
        </w:tc>
        <w:tc>
          <w:tcPr>
            <w:tcW w:w="2254" w:type="dxa"/>
            <w:tcBorders>
              <w:top w:val="nil"/>
              <w:left w:val="nil"/>
              <w:bottom w:val="nil"/>
              <w:right w:val="nil"/>
            </w:tcBorders>
            <w:hideMark/>
          </w:tcPr>
          <w:p w14:paraId="5D72952D"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172(95.0)</w:t>
            </w:r>
          </w:p>
        </w:tc>
        <w:tc>
          <w:tcPr>
            <w:tcW w:w="2254" w:type="dxa"/>
            <w:tcBorders>
              <w:top w:val="nil"/>
              <w:left w:val="nil"/>
              <w:bottom w:val="nil"/>
              <w:right w:val="nil"/>
            </w:tcBorders>
            <w:hideMark/>
          </w:tcPr>
          <w:p w14:paraId="0FD1D42A"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9(5.0)</w:t>
            </w:r>
          </w:p>
        </w:tc>
        <w:tc>
          <w:tcPr>
            <w:tcW w:w="2254" w:type="dxa"/>
            <w:tcBorders>
              <w:top w:val="nil"/>
              <w:left w:val="nil"/>
              <w:bottom w:val="nil"/>
              <w:right w:val="nil"/>
            </w:tcBorders>
            <w:hideMark/>
          </w:tcPr>
          <w:p w14:paraId="7FC5098C"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1.952(0.162)</w:t>
            </w:r>
          </w:p>
        </w:tc>
      </w:tr>
      <w:tr w:rsidR="00B06F7D" w:rsidRPr="00072B63" w14:paraId="3AF911E7" w14:textId="77777777" w:rsidTr="005C3CBF">
        <w:tc>
          <w:tcPr>
            <w:tcW w:w="2254" w:type="dxa"/>
            <w:gridSpan w:val="2"/>
            <w:tcBorders>
              <w:top w:val="nil"/>
              <w:left w:val="nil"/>
              <w:bottom w:val="nil"/>
              <w:right w:val="nil"/>
            </w:tcBorders>
            <w:hideMark/>
          </w:tcPr>
          <w:p w14:paraId="03D4229D"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Unemployed</w:t>
            </w:r>
          </w:p>
        </w:tc>
        <w:tc>
          <w:tcPr>
            <w:tcW w:w="2254" w:type="dxa"/>
            <w:tcBorders>
              <w:top w:val="nil"/>
              <w:left w:val="nil"/>
              <w:bottom w:val="nil"/>
              <w:right w:val="nil"/>
            </w:tcBorders>
            <w:hideMark/>
          </w:tcPr>
          <w:p w14:paraId="7C408B97"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54(90.0)</w:t>
            </w:r>
          </w:p>
        </w:tc>
        <w:tc>
          <w:tcPr>
            <w:tcW w:w="2254" w:type="dxa"/>
            <w:tcBorders>
              <w:top w:val="nil"/>
              <w:left w:val="nil"/>
              <w:bottom w:val="nil"/>
              <w:right w:val="nil"/>
            </w:tcBorders>
            <w:hideMark/>
          </w:tcPr>
          <w:p w14:paraId="533826A7"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6(10.0)</w:t>
            </w:r>
          </w:p>
        </w:tc>
        <w:tc>
          <w:tcPr>
            <w:tcW w:w="2254" w:type="dxa"/>
            <w:tcBorders>
              <w:top w:val="nil"/>
              <w:left w:val="nil"/>
              <w:bottom w:val="nil"/>
              <w:right w:val="nil"/>
            </w:tcBorders>
          </w:tcPr>
          <w:p w14:paraId="2C2FA5D1" w14:textId="77777777" w:rsidR="00B06F7D" w:rsidRPr="00072B63" w:rsidRDefault="00B06F7D" w:rsidP="005C3CBF">
            <w:pPr>
              <w:spacing w:line="259" w:lineRule="auto"/>
              <w:jc w:val="both"/>
              <w:rPr>
                <w:rFonts w:ascii="Garamond" w:hAnsi="Garamond"/>
                <w:bCs/>
                <w:iCs/>
                <w:sz w:val="20"/>
                <w:szCs w:val="20"/>
              </w:rPr>
            </w:pPr>
          </w:p>
        </w:tc>
      </w:tr>
      <w:tr w:rsidR="00B06F7D" w:rsidRPr="00072B63" w14:paraId="388F8832" w14:textId="77777777" w:rsidTr="005C3CBF">
        <w:tc>
          <w:tcPr>
            <w:tcW w:w="2254" w:type="dxa"/>
            <w:gridSpan w:val="2"/>
            <w:tcBorders>
              <w:top w:val="nil"/>
              <w:left w:val="nil"/>
              <w:bottom w:val="nil"/>
              <w:right w:val="nil"/>
            </w:tcBorders>
            <w:hideMark/>
          </w:tcPr>
          <w:p w14:paraId="00308FA2"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Duration of diagnoses</w:t>
            </w:r>
          </w:p>
        </w:tc>
        <w:tc>
          <w:tcPr>
            <w:tcW w:w="2254" w:type="dxa"/>
            <w:tcBorders>
              <w:top w:val="nil"/>
              <w:left w:val="nil"/>
              <w:bottom w:val="nil"/>
              <w:right w:val="nil"/>
            </w:tcBorders>
          </w:tcPr>
          <w:p w14:paraId="6202DC9E" w14:textId="77777777" w:rsidR="00B06F7D" w:rsidRPr="00072B63" w:rsidRDefault="00B06F7D" w:rsidP="005C3CBF">
            <w:pPr>
              <w:spacing w:line="259" w:lineRule="auto"/>
              <w:jc w:val="both"/>
              <w:rPr>
                <w:rFonts w:ascii="Garamond" w:hAnsi="Garamond"/>
                <w:bCs/>
                <w:iCs/>
                <w:sz w:val="20"/>
                <w:szCs w:val="20"/>
              </w:rPr>
            </w:pPr>
          </w:p>
        </w:tc>
        <w:tc>
          <w:tcPr>
            <w:tcW w:w="2254" w:type="dxa"/>
            <w:tcBorders>
              <w:top w:val="nil"/>
              <w:left w:val="nil"/>
              <w:bottom w:val="nil"/>
              <w:right w:val="nil"/>
            </w:tcBorders>
          </w:tcPr>
          <w:p w14:paraId="22D67E08" w14:textId="77777777" w:rsidR="00B06F7D" w:rsidRPr="00072B63" w:rsidRDefault="00B06F7D" w:rsidP="005C3CBF">
            <w:pPr>
              <w:spacing w:line="259" w:lineRule="auto"/>
              <w:jc w:val="both"/>
              <w:rPr>
                <w:rFonts w:ascii="Garamond" w:hAnsi="Garamond"/>
                <w:bCs/>
                <w:iCs/>
                <w:sz w:val="20"/>
                <w:szCs w:val="20"/>
              </w:rPr>
            </w:pPr>
          </w:p>
        </w:tc>
        <w:tc>
          <w:tcPr>
            <w:tcW w:w="2254" w:type="dxa"/>
            <w:tcBorders>
              <w:top w:val="nil"/>
              <w:left w:val="nil"/>
              <w:bottom w:val="nil"/>
              <w:right w:val="nil"/>
            </w:tcBorders>
          </w:tcPr>
          <w:p w14:paraId="19ADB899" w14:textId="77777777" w:rsidR="00B06F7D" w:rsidRPr="00072B63" w:rsidRDefault="00B06F7D" w:rsidP="005C3CBF">
            <w:pPr>
              <w:spacing w:line="259" w:lineRule="auto"/>
              <w:jc w:val="both"/>
              <w:rPr>
                <w:rFonts w:ascii="Garamond" w:hAnsi="Garamond"/>
                <w:bCs/>
                <w:iCs/>
                <w:sz w:val="20"/>
                <w:szCs w:val="20"/>
              </w:rPr>
            </w:pPr>
          </w:p>
        </w:tc>
      </w:tr>
      <w:tr w:rsidR="00B06F7D" w:rsidRPr="00072B63" w14:paraId="3D3F40E2" w14:textId="77777777" w:rsidTr="005C3CBF">
        <w:tc>
          <w:tcPr>
            <w:tcW w:w="2254" w:type="dxa"/>
            <w:gridSpan w:val="2"/>
            <w:tcBorders>
              <w:top w:val="nil"/>
              <w:left w:val="nil"/>
              <w:bottom w:val="nil"/>
              <w:right w:val="nil"/>
            </w:tcBorders>
            <w:hideMark/>
          </w:tcPr>
          <w:p w14:paraId="7568ABFF"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≥12 Months</w:t>
            </w:r>
          </w:p>
        </w:tc>
        <w:tc>
          <w:tcPr>
            <w:tcW w:w="2254" w:type="dxa"/>
            <w:tcBorders>
              <w:top w:val="nil"/>
              <w:left w:val="nil"/>
              <w:bottom w:val="nil"/>
              <w:right w:val="nil"/>
            </w:tcBorders>
            <w:hideMark/>
          </w:tcPr>
          <w:p w14:paraId="4B9B3A91"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137(90.1)</w:t>
            </w:r>
          </w:p>
        </w:tc>
        <w:tc>
          <w:tcPr>
            <w:tcW w:w="2254" w:type="dxa"/>
            <w:tcBorders>
              <w:top w:val="nil"/>
              <w:left w:val="nil"/>
              <w:bottom w:val="nil"/>
              <w:right w:val="nil"/>
            </w:tcBorders>
            <w:hideMark/>
          </w:tcPr>
          <w:p w14:paraId="1D2299EE"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5(9.9)</w:t>
            </w:r>
          </w:p>
        </w:tc>
        <w:tc>
          <w:tcPr>
            <w:tcW w:w="2254" w:type="dxa"/>
            <w:tcBorders>
              <w:top w:val="nil"/>
              <w:left w:val="nil"/>
              <w:bottom w:val="nil"/>
              <w:right w:val="nil"/>
            </w:tcBorders>
            <w:hideMark/>
          </w:tcPr>
          <w:p w14:paraId="5377FD5A"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9.366(&lt;0.001) *</w:t>
            </w:r>
          </w:p>
        </w:tc>
      </w:tr>
      <w:tr w:rsidR="00B06F7D" w:rsidRPr="00072B63" w14:paraId="12E1173B" w14:textId="77777777" w:rsidTr="005C3CBF">
        <w:tc>
          <w:tcPr>
            <w:tcW w:w="2254" w:type="dxa"/>
            <w:gridSpan w:val="2"/>
            <w:tcBorders>
              <w:top w:val="nil"/>
              <w:left w:val="nil"/>
              <w:bottom w:val="nil"/>
              <w:right w:val="nil"/>
            </w:tcBorders>
            <w:hideMark/>
          </w:tcPr>
          <w:p w14:paraId="3EA8FA1D"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13-36 Months</w:t>
            </w:r>
          </w:p>
        </w:tc>
        <w:tc>
          <w:tcPr>
            <w:tcW w:w="2254" w:type="dxa"/>
            <w:tcBorders>
              <w:top w:val="nil"/>
              <w:left w:val="nil"/>
              <w:bottom w:val="nil"/>
              <w:right w:val="nil"/>
            </w:tcBorders>
            <w:hideMark/>
          </w:tcPr>
          <w:p w14:paraId="73900678"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39(100.0)</w:t>
            </w:r>
          </w:p>
        </w:tc>
        <w:tc>
          <w:tcPr>
            <w:tcW w:w="2254" w:type="dxa"/>
            <w:tcBorders>
              <w:top w:val="nil"/>
              <w:left w:val="nil"/>
              <w:bottom w:val="nil"/>
              <w:right w:val="nil"/>
            </w:tcBorders>
            <w:hideMark/>
          </w:tcPr>
          <w:p w14:paraId="775524EC"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0(0.0)</w:t>
            </w:r>
          </w:p>
        </w:tc>
        <w:tc>
          <w:tcPr>
            <w:tcW w:w="2254" w:type="dxa"/>
            <w:tcBorders>
              <w:top w:val="nil"/>
              <w:left w:val="nil"/>
              <w:bottom w:val="nil"/>
              <w:right w:val="nil"/>
            </w:tcBorders>
          </w:tcPr>
          <w:p w14:paraId="18767131" w14:textId="77777777" w:rsidR="00B06F7D" w:rsidRPr="00072B63" w:rsidRDefault="00B06F7D" w:rsidP="005C3CBF">
            <w:pPr>
              <w:spacing w:line="259" w:lineRule="auto"/>
              <w:jc w:val="both"/>
              <w:rPr>
                <w:rFonts w:ascii="Garamond" w:hAnsi="Garamond"/>
                <w:bCs/>
                <w:iCs/>
                <w:sz w:val="20"/>
                <w:szCs w:val="20"/>
              </w:rPr>
            </w:pPr>
          </w:p>
        </w:tc>
      </w:tr>
      <w:tr w:rsidR="00B06F7D" w:rsidRPr="00072B63" w14:paraId="373DEA0C" w14:textId="77777777" w:rsidTr="005C3CBF">
        <w:tc>
          <w:tcPr>
            <w:tcW w:w="2254" w:type="dxa"/>
            <w:gridSpan w:val="2"/>
            <w:tcBorders>
              <w:top w:val="nil"/>
              <w:left w:val="nil"/>
              <w:bottom w:val="nil"/>
              <w:right w:val="nil"/>
            </w:tcBorders>
            <w:hideMark/>
          </w:tcPr>
          <w:p w14:paraId="6044EF46"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 xml:space="preserve">&gt;36 Months </w:t>
            </w:r>
          </w:p>
        </w:tc>
        <w:tc>
          <w:tcPr>
            <w:tcW w:w="2254" w:type="dxa"/>
            <w:tcBorders>
              <w:top w:val="nil"/>
              <w:left w:val="nil"/>
              <w:bottom w:val="nil"/>
              <w:right w:val="nil"/>
            </w:tcBorders>
            <w:hideMark/>
          </w:tcPr>
          <w:p w14:paraId="4F9C3D26"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50(100.0)1</w:t>
            </w:r>
          </w:p>
        </w:tc>
        <w:tc>
          <w:tcPr>
            <w:tcW w:w="2254" w:type="dxa"/>
            <w:tcBorders>
              <w:top w:val="nil"/>
              <w:left w:val="nil"/>
              <w:bottom w:val="nil"/>
              <w:right w:val="nil"/>
            </w:tcBorders>
            <w:hideMark/>
          </w:tcPr>
          <w:p w14:paraId="37E2CA26"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0(0.0)</w:t>
            </w:r>
          </w:p>
        </w:tc>
        <w:tc>
          <w:tcPr>
            <w:tcW w:w="2254" w:type="dxa"/>
            <w:tcBorders>
              <w:top w:val="nil"/>
              <w:left w:val="nil"/>
              <w:bottom w:val="nil"/>
              <w:right w:val="nil"/>
            </w:tcBorders>
          </w:tcPr>
          <w:p w14:paraId="1271EA80" w14:textId="77777777" w:rsidR="00B06F7D" w:rsidRPr="00072B63" w:rsidRDefault="00B06F7D" w:rsidP="005C3CBF">
            <w:pPr>
              <w:spacing w:line="259" w:lineRule="auto"/>
              <w:jc w:val="both"/>
              <w:rPr>
                <w:rFonts w:ascii="Garamond" w:hAnsi="Garamond"/>
                <w:bCs/>
                <w:iCs/>
                <w:sz w:val="20"/>
                <w:szCs w:val="20"/>
              </w:rPr>
            </w:pPr>
          </w:p>
        </w:tc>
      </w:tr>
      <w:tr w:rsidR="00B06F7D" w:rsidRPr="00072B63" w14:paraId="4B5AC6DF" w14:textId="77777777" w:rsidTr="005C3CBF">
        <w:tc>
          <w:tcPr>
            <w:tcW w:w="2254" w:type="dxa"/>
            <w:gridSpan w:val="2"/>
            <w:tcBorders>
              <w:top w:val="nil"/>
              <w:left w:val="nil"/>
              <w:bottom w:val="nil"/>
              <w:right w:val="nil"/>
            </w:tcBorders>
            <w:hideMark/>
          </w:tcPr>
          <w:p w14:paraId="5D489504"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Family History of CKD</w:t>
            </w:r>
          </w:p>
        </w:tc>
        <w:tc>
          <w:tcPr>
            <w:tcW w:w="2254" w:type="dxa"/>
            <w:tcBorders>
              <w:top w:val="nil"/>
              <w:left w:val="nil"/>
              <w:bottom w:val="nil"/>
              <w:right w:val="nil"/>
            </w:tcBorders>
          </w:tcPr>
          <w:p w14:paraId="44899F4F" w14:textId="77777777" w:rsidR="00B06F7D" w:rsidRPr="00072B63" w:rsidRDefault="00B06F7D" w:rsidP="005C3CBF">
            <w:pPr>
              <w:spacing w:line="259" w:lineRule="auto"/>
              <w:jc w:val="both"/>
              <w:rPr>
                <w:rFonts w:ascii="Garamond" w:hAnsi="Garamond"/>
                <w:bCs/>
                <w:iCs/>
                <w:sz w:val="20"/>
                <w:szCs w:val="20"/>
              </w:rPr>
            </w:pPr>
          </w:p>
        </w:tc>
        <w:tc>
          <w:tcPr>
            <w:tcW w:w="2254" w:type="dxa"/>
            <w:tcBorders>
              <w:top w:val="nil"/>
              <w:left w:val="nil"/>
              <w:bottom w:val="nil"/>
              <w:right w:val="nil"/>
            </w:tcBorders>
          </w:tcPr>
          <w:p w14:paraId="6EB15FE8" w14:textId="77777777" w:rsidR="00B06F7D" w:rsidRPr="00072B63" w:rsidRDefault="00B06F7D" w:rsidP="005C3CBF">
            <w:pPr>
              <w:spacing w:line="259" w:lineRule="auto"/>
              <w:jc w:val="both"/>
              <w:rPr>
                <w:rFonts w:ascii="Garamond" w:hAnsi="Garamond"/>
                <w:bCs/>
                <w:iCs/>
                <w:sz w:val="20"/>
                <w:szCs w:val="20"/>
              </w:rPr>
            </w:pPr>
          </w:p>
        </w:tc>
        <w:tc>
          <w:tcPr>
            <w:tcW w:w="2254" w:type="dxa"/>
            <w:tcBorders>
              <w:top w:val="nil"/>
              <w:left w:val="nil"/>
              <w:bottom w:val="nil"/>
              <w:right w:val="nil"/>
            </w:tcBorders>
          </w:tcPr>
          <w:p w14:paraId="25B928B1" w14:textId="77777777" w:rsidR="00B06F7D" w:rsidRPr="00072B63" w:rsidRDefault="00B06F7D" w:rsidP="005C3CBF">
            <w:pPr>
              <w:spacing w:line="259" w:lineRule="auto"/>
              <w:jc w:val="both"/>
              <w:rPr>
                <w:rFonts w:ascii="Garamond" w:hAnsi="Garamond"/>
                <w:bCs/>
                <w:iCs/>
                <w:sz w:val="20"/>
                <w:szCs w:val="20"/>
              </w:rPr>
            </w:pPr>
          </w:p>
        </w:tc>
      </w:tr>
      <w:tr w:rsidR="00B06F7D" w:rsidRPr="00072B63" w14:paraId="2C61ADC4" w14:textId="77777777" w:rsidTr="005C3CBF">
        <w:tc>
          <w:tcPr>
            <w:tcW w:w="2254" w:type="dxa"/>
            <w:gridSpan w:val="2"/>
            <w:tcBorders>
              <w:top w:val="nil"/>
              <w:left w:val="nil"/>
              <w:bottom w:val="nil"/>
              <w:right w:val="nil"/>
            </w:tcBorders>
            <w:hideMark/>
          </w:tcPr>
          <w:p w14:paraId="748C382B"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Yes</w:t>
            </w:r>
          </w:p>
        </w:tc>
        <w:tc>
          <w:tcPr>
            <w:tcW w:w="2254" w:type="dxa"/>
            <w:tcBorders>
              <w:top w:val="nil"/>
              <w:left w:val="nil"/>
              <w:bottom w:val="nil"/>
              <w:right w:val="nil"/>
            </w:tcBorders>
            <w:hideMark/>
          </w:tcPr>
          <w:p w14:paraId="4253BDAF"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53(100.0)</w:t>
            </w:r>
          </w:p>
        </w:tc>
        <w:tc>
          <w:tcPr>
            <w:tcW w:w="2254" w:type="dxa"/>
            <w:tcBorders>
              <w:top w:val="nil"/>
              <w:left w:val="nil"/>
              <w:bottom w:val="nil"/>
              <w:right w:val="nil"/>
            </w:tcBorders>
            <w:hideMark/>
          </w:tcPr>
          <w:p w14:paraId="21A0CA5A"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0(0.0)</w:t>
            </w:r>
          </w:p>
        </w:tc>
        <w:tc>
          <w:tcPr>
            <w:tcW w:w="2254" w:type="dxa"/>
            <w:tcBorders>
              <w:top w:val="nil"/>
              <w:left w:val="nil"/>
              <w:bottom w:val="nil"/>
              <w:right w:val="nil"/>
            </w:tcBorders>
            <w:hideMark/>
          </w:tcPr>
          <w:p w14:paraId="307FA820"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4.509(0.034) *</w:t>
            </w:r>
          </w:p>
        </w:tc>
      </w:tr>
      <w:tr w:rsidR="00B06F7D" w:rsidRPr="00072B63" w14:paraId="6EA7FBCC" w14:textId="77777777" w:rsidTr="005C3CBF">
        <w:tc>
          <w:tcPr>
            <w:tcW w:w="2254" w:type="dxa"/>
            <w:gridSpan w:val="2"/>
            <w:tcBorders>
              <w:top w:val="nil"/>
              <w:left w:val="nil"/>
              <w:bottom w:val="single" w:sz="4" w:space="0" w:color="auto"/>
              <w:right w:val="nil"/>
            </w:tcBorders>
            <w:hideMark/>
          </w:tcPr>
          <w:p w14:paraId="3A53FF63" w14:textId="77777777" w:rsidR="00B06F7D" w:rsidRPr="00072B63" w:rsidRDefault="00B06F7D" w:rsidP="005C3CBF">
            <w:pPr>
              <w:spacing w:line="259" w:lineRule="auto"/>
              <w:jc w:val="both"/>
              <w:rPr>
                <w:rFonts w:ascii="Garamond" w:hAnsi="Garamond"/>
                <w:b/>
                <w:bCs/>
                <w:iCs/>
                <w:sz w:val="20"/>
                <w:szCs w:val="20"/>
              </w:rPr>
            </w:pPr>
            <w:r w:rsidRPr="00072B63">
              <w:rPr>
                <w:rFonts w:ascii="Garamond" w:hAnsi="Garamond"/>
                <w:b/>
                <w:bCs/>
                <w:iCs/>
                <w:sz w:val="20"/>
                <w:szCs w:val="20"/>
              </w:rPr>
              <w:t>No</w:t>
            </w:r>
          </w:p>
        </w:tc>
        <w:tc>
          <w:tcPr>
            <w:tcW w:w="2254" w:type="dxa"/>
            <w:tcBorders>
              <w:top w:val="nil"/>
              <w:left w:val="nil"/>
              <w:bottom w:val="single" w:sz="4" w:space="0" w:color="auto"/>
              <w:right w:val="nil"/>
            </w:tcBorders>
            <w:hideMark/>
          </w:tcPr>
          <w:p w14:paraId="437941DF"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173(92.0)</w:t>
            </w:r>
          </w:p>
        </w:tc>
        <w:tc>
          <w:tcPr>
            <w:tcW w:w="2254" w:type="dxa"/>
            <w:tcBorders>
              <w:top w:val="nil"/>
              <w:left w:val="nil"/>
              <w:bottom w:val="single" w:sz="4" w:space="0" w:color="auto"/>
              <w:right w:val="nil"/>
            </w:tcBorders>
            <w:hideMark/>
          </w:tcPr>
          <w:p w14:paraId="1DE0D7BD" w14:textId="77777777" w:rsidR="00B06F7D" w:rsidRPr="00072B63" w:rsidRDefault="00B06F7D" w:rsidP="005C3CBF">
            <w:pPr>
              <w:spacing w:line="259" w:lineRule="auto"/>
              <w:jc w:val="both"/>
              <w:rPr>
                <w:rFonts w:ascii="Garamond" w:hAnsi="Garamond"/>
                <w:bCs/>
                <w:iCs/>
                <w:sz w:val="20"/>
                <w:szCs w:val="20"/>
              </w:rPr>
            </w:pPr>
            <w:r w:rsidRPr="00072B63">
              <w:rPr>
                <w:rFonts w:ascii="Garamond" w:hAnsi="Garamond"/>
                <w:bCs/>
                <w:iCs/>
                <w:sz w:val="20"/>
                <w:szCs w:val="20"/>
              </w:rPr>
              <w:t>15(8.0)</w:t>
            </w:r>
          </w:p>
        </w:tc>
        <w:tc>
          <w:tcPr>
            <w:tcW w:w="2254" w:type="dxa"/>
            <w:tcBorders>
              <w:top w:val="nil"/>
              <w:left w:val="nil"/>
              <w:bottom w:val="single" w:sz="4" w:space="0" w:color="auto"/>
              <w:right w:val="nil"/>
            </w:tcBorders>
          </w:tcPr>
          <w:p w14:paraId="55C12B53" w14:textId="77777777" w:rsidR="00B06F7D" w:rsidRPr="00072B63" w:rsidRDefault="00B06F7D" w:rsidP="005C3CBF">
            <w:pPr>
              <w:spacing w:line="259" w:lineRule="auto"/>
              <w:jc w:val="both"/>
              <w:rPr>
                <w:rFonts w:ascii="Garamond" w:hAnsi="Garamond"/>
                <w:bCs/>
                <w:iCs/>
                <w:sz w:val="20"/>
                <w:szCs w:val="20"/>
              </w:rPr>
            </w:pPr>
          </w:p>
        </w:tc>
      </w:tr>
    </w:tbl>
    <w:p w14:paraId="3D73A97C" w14:textId="77777777" w:rsidR="00B06F7D" w:rsidRPr="00072B63" w:rsidRDefault="00B06F7D" w:rsidP="00B06F7D">
      <w:pPr>
        <w:spacing w:line="259" w:lineRule="auto"/>
        <w:jc w:val="both"/>
        <w:rPr>
          <w:rFonts w:ascii="Garamond" w:hAnsi="Garamond"/>
          <w:b/>
          <w:bCs/>
          <w:iCs/>
          <w:sz w:val="20"/>
          <w:szCs w:val="20"/>
        </w:rPr>
      </w:pPr>
    </w:p>
    <w:p w14:paraId="70EED2C9" w14:textId="77777777" w:rsidR="00B06F7D" w:rsidRDefault="00B06F7D" w:rsidP="00B06F7D">
      <w:pPr>
        <w:spacing w:line="259" w:lineRule="auto"/>
        <w:jc w:val="both"/>
        <w:rPr>
          <w:rFonts w:ascii="Garamond" w:hAnsi="Garamond"/>
          <w:bCs/>
          <w:iCs/>
          <w:sz w:val="20"/>
          <w:szCs w:val="20"/>
        </w:rPr>
        <w:sectPr w:rsidR="00B06F7D" w:rsidSect="00B06F7D">
          <w:type w:val="continuous"/>
          <w:pgSz w:w="12240" w:h="15840"/>
          <w:pgMar w:top="1440" w:right="1440" w:bottom="1440" w:left="1440" w:header="720" w:footer="720" w:gutter="0"/>
          <w:cols w:space="720"/>
          <w:titlePg/>
          <w:docGrid w:linePitch="360"/>
        </w:sectPr>
      </w:pPr>
      <w:r w:rsidRPr="00072B63">
        <w:rPr>
          <w:rFonts w:ascii="Garamond" w:hAnsi="Garamond"/>
          <w:bCs/>
          <w:iCs/>
          <w:sz w:val="20"/>
          <w:szCs w:val="20"/>
        </w:rPr>
        <w:t>The factors associated with medication adherence were partner's level of education (p=0.005), relationship status (p=0.013), duration of diagnosis (p&lt;0.001), and family history of CKD (p=0.034). (Table 4)</w:t>
      </w:r>
    </w:p>
    <w:p w14:paraId="151955D1" w14:textId="77777777" w:rsidR="00B06F7D" w:rsidRPr="00B06F7D" w:rsidRDefault="00B06F7D" w:rsidP="00B06F7D">
      <w:pPr>
        <w:spacing w:line="259" w:lineRule="auto"/>
        <w:jc w:val="both"/>
        <w:rPr>
          <w:rFonts w:ascii="Garamond" w:hAnsi="Garamond"/>
          <w:b/>
          <w:bCs/>
          <w:i/>
          <w:sz w:val="20"/>
          <w:szCs w:val="20"/>
        </w:rPr>
      </w:pPr>
      <w:r w:rsidRPr="00B06F7D">
        <w:rPr>
          <w:rFonts w:ascii="Garamond" w:hAnsi="Garamond"/>
          <w:b/>
          <w:bCs/>
          <w:i/>
          <w:sz w:val="20"/>
          <w:szCs w:val="20"/>
        </w:rPr>
        <w:lastRenderedPageBreak/>
        <w:t>Strengths of the Study</w:t>
      </w:r>
    </w:p>
    <w:p w14:paraId="07FE02E1" w14:textId="77777777" w:rsidR="00B06F7D" w:rsidRPr="00431E6B" w:rsidRDefault="00B06F7D" w:rsidP="00B06F7D">
      <w:pPr>
        <w:numPr>
          <w:ilvl w:val="0"/>
          <w:numId w:val="27"/>
        </w:numPr>
        <w:tabs>
          <w:tab w:val="clear" w:pos="720"/>
          <w:tab w:val="num" w:pos="426"/>
        </w:tabs>
        <w:spacing w:line="259" w:lineRule="auto"/>
        <w:ind w:left="426"/>
        <w:jc w:val="both"/>
        <w:rPr>
          <w:rFonts w:ascii="Garamond" w:hAnsi="Garamond"/>
          <w:bCs/>
          <w:iCs/>
          <w:sz w:val="20"/>
          <w:szCs w:val="20"/>
        </w:rPr>
      </w:pPr>
      <w:r w:rsidRPr="00431E6B">
        <w:rPr>
          <w:rFonts w:ascii="Garamond" w:hAnsi="Garamond"/>
          <w:bCs/>
          <w:iCs/>
          <w:sz w:val="20"/>
          <w:szCs w:val="20"/>
        </w:rPr>
        <w:t>The study used the Morisky Medication Adherence Scale to assess medication adherence, which is a widely validated instrument and improves the reliability of adherence measurement.</w:t>
      </w:r>
    </w:p>
    <w:p w14:paraId="36C11DF2" w14:textId="77777777" w:rsidR="00B06F7D" w:rsidRPr="00431E6B" w:rsidRDefault="00B06F7D" w:rsidP="00B06F7D">
      <w:pPr>
        <w:numPr>
          <w:ilvl w:val="0"/>
          <w:numId w:val="27"/>
        </w:numPr>
        <w:tabs>
          <w:tab w:val="clear" w:pos="720"/>
          <w:tab w:val="num" w:pos="426"/>
        </w:tabs>
        <w:spacing w:line="259" w:lineRule="auto"/>
        <w:ind w:left="426"/>
        <w:jc w:val="both"/>
        <w:rPr>
          <w:rFonts w:ascii="Garamond" w:hAnsi="Garamond"/>
          <w:bCs/>
          <w:iCs/>
          <w:sz w:val="20"/>
          <w:szCs w:val="20"/>
        </w:rPr>
      </w:pPr>
      <w:r w:rsidRPr="00431E6B">
        <w:rPr>
          <w:rFonts w:ascii="Garamond" w:hAnsi="Garamond"/>
          <w:bCs/>
          <w:iCs/>
          <w:sz w:val="20"/>
          <w:szCs w:val="20"/>
        </w:rPr>
        <w:t>The research targeted patients with chronic kidney disease, a population at high risk of complications from poor blood pressure control, making the findings clinically relevant.</w:t>
      </w:r>
    </w:p>
    <w:p w14:paraId="29A6AD33" w14:textId="77777777" w:rsidR="00B06F7D" w:rsidRPr="00431E6B" w:rsidRDefault="00B06F7D" w:rsidP="00B06F7D">
      <w:pPr>
        <w:numPr>
          <w:ilvl w:val="0"/>
          <w:numId w:val="27"/>
        </w:numPr>
        <w:tabs>
          <w:tab w:val="clear" w:pos="720"/>
          <w:tab w:val="num" w:pos="426"/>
        </w:tabs>
        <w:spacing w:line="259" w:lineRule="auto"/>
        <w:ind w:left="426"/>
        <w:jc w:val="both"/>
        <w:rPr>
          <w:rFonts w:ascii="Garamond" w:hAnsi="Garamond"/>
          <w:bCs/>
          <w:iCs/>
          <w:sz w:val="20"/>
          <w:szCs w:val="20"/>
        </w:rPr>
      </w:pPr>
      <w:r w:rsidRPr="00431E6B">
        <w:rPr>
          <w:rFonts w:ascii="Garamond" w:hAnsi="Garamond"/>
          <w:bCs/>
          <w:iCs/>
          <w:sz w:val="20"/>
          <w:szCs w:val="20"/>
        </w:rPr>
        <w:t>Conducting the study in a tertiary health facility provided access to patients with confirmed CKD diagnoses and specialist care, improving the accuracy of clinical information.</w:t>
      </w:r>
    </w:p>
    <w:p w14:paraId="7A4F40A9" w14:textId="77777777" w:rsidR="00B06F7D" w:rsidRPr="00431E6B" w:rsidRDefault="00B06F7D" w:rsidP="00B06F7D">
      <w:pPr>
        <w:numPr>
          <w:ilvl w:val="0"/>
          <w:numId w:val="27"/>
        </w:numPr>
        <w:tabs>
          <w:tab w:val="clear" w:pos="720"/>
          <w:tab w:val="num" w:pos="426"/>
        </w:tabs>
        <w:spacing w:line="259" w:lineRule="auto"/>
        <w:ind w:left="426"/>
        <w:jc w:val="both"/>
        <w:rPr>
          <w:rFonts w:ascii="Garamond" w:hAnsi="Garamond"/>
          <w:bCs/>
          <w:iCs/>
          <w:sz w:val="20"/>
          <w:szCs w:val="20"/>
        </w:rPr>
      </w:pPr>
      <w:r w:rsidRPr="00431E6B">
        <w:rPr>
          <w:rFonts w:ascii="Garamond" w:hAnsi="Garamond"/>
          <w:bCs/>
          <w:iCs/>
          <w:sz w:val="20"/>
          <w:szCs w:val="20"/>
        </w:rPr>
        <w:t>The study examined not only adherence but also medication patterns, comorbidities, and use of alternative therapies, providing a broader understanding of treatment practices.</w:t>
      </w:r>
    </w:p>
    <w:p w14:paraId="392552DF" w14:textId="77777777" w:rsidR="00B06F7D" w:rsidRDefault="00B06F7D" w:rsidP="00B06F7D">
      <w:pPr>
        <w:spacing w:line="259" w:lineRule="auto"/>
        <w:jc w:val="both"/>
        <w:rPr>
          <w:rFonts w:ascii="Garamond" w:hAnsi="Garamond"/>
          <w:b/>
          <w:bCs/>
          <w:i/>
          <w:sz w:val="20"/>
          <w:szCs w:val="20"/>
        </w:rPr>
      </w:pPr>
    </w:p>
    <w:p w14:paraId="67E8F586" w14:textId="77777777" w:rsidR="00B06F7D" w:rsidRPr="00B06F7D" w:rsidRDefault="00B06F7D" w:rsidP="00B06F7D">
      <w:pPr>
        <w:spacing w:line="259" w:lineRule="auto"/>
        <w:jc w:val="both"/>
        <w:rPr>
          <w:rFonts w:ascii="Garamond" w:hAnsi="Garamond"/>
          <w:b/>
          <w:bCs/>
          <w:i/>
          <w:sz w:val="20"/>
          <w:szCs w:val="20"/>
        </w:rPr>
      </w:pPr>
      <w:r w:rsidRPr="00B06F7D">
        <w:rPr>
          <w:rFonts w:ascii="Garamond" w:hAnsi="Garamond"/>
          <w:b/>
          <w:bCs/>
          <w:i/>
          <w:sz w:val="20"/>
          <w:szCs w:val="20"/>
        </w:rPr>
        <w:t>Limitations of the Study</w:t>
      </w:r>
    </w:p>
    <w:p w14:paraId="6F1FFE94" w14:textId="77777777" w:rsidR="00B06F7D" w:rsidRPr="00431E6B" w:rsidRDefault="00B06F7D" w:rsidP="00B06F7D">
      <w:pPr>
        <w:numPr>
          <w:ilvl w:val="0"/>
          <w:numId w:val="28"/>
        </w:numPr>
        <w:tabs>
          <w:tab w:val="clear" w:pos="720"/>
          <w:tab w:val="num" w:pos="360"/>
        </w:tabs>
        <w:spacing w:line="259" w:lineRule="auto"/>
        <w:ind w:left="426"/>
        <w:jc w:val="both"/>
        <w:rPr>
          <w:rFonts w:ascii="Garamond" w:hAnsi="Garamond"/>
          <w:bCs/>
          <w:iCs/>
          <w:sz w:val="20"/>
          <w:szCs w:val="20"/>
        </w:rPr>
      </w:pPr>
      <w:r w:rsidRPr="00431E6B">
        <w:rPr>
          <w:rFonts w:ascii="Garamond" w:hAnsi="Garamond"/>
          <w:bCs/>
          <w:iCs/>
          <w:sz w:val="20"/>
          <w:szCs w:val="20"/>
        </w:rPr>
        <w:t>Medication adherence was assessed using self-reported responses on the Morisky Medication Adherence Scale, which may be affected by recall bias or social desirability bias.</w:t>
      </w:r>
    </w:p>
    <w:p w14:paraId="397658FF" w14:textId="77777777" w:rsidR="00B06F7D" w:rsidRPr="00431E6B" w:rsidRDefault="00B06F7D" w:rsidP="00B06F7D">
      <w:pPr>
        <w:numPr>
          <w:ilvl w:val="0"/>
          <w:numId w:val="28"/>
        </w:numPr>
        <w:tabs>
          <w:tab w:val="clear" w:pos="720"/>
          <w:tab w:val="num" w:pos="360"/>
        </w:tabs>
        <w:spacing w:line="259" w:lineRule="auto"/>
        <w:ind w:left="426"/>
        <w:jc w:val="both"/>
        <w:rPr>
          <w:rFonts w:ascii="Garamond" w:hAnsi="Garamond"/>
          <w:bCs/>
          <w:iCs/>
          <w:sz w:val="20"/>
          <w:szCs w:val="20"/>
        </w:rPr>
      </w:pPr>
      <w:r w:rsidRPr="00431E6B">
        <w:rPr>
          <w:rFonts w:ascii="Garamond" w:hAnsi="Garamond"/>
          <w:bCs/>
          <w:iCs/>
          <w:sz w:val="20"/>
          <w:szCs w:val="20"/>
        </w:rPr>
        <w:t>Only patients attending the renal clinic during the study period were included, potentially excluding individuals who do not regularly attend clinic visits.</w:t>
      </w:r>
    </w:p>
    <w:p w14:paraId="0C40F167" w14:textId="77777777" w:rsidR="00B06F7D" w:rsidRPr="00431E6B" w:rsidRDefault="00B06F7D" w:rsidP="00B06F7D">
      <w:pPr>
        <w:numPr>
          <w:ilvl w:val="0"/>
          <w:numId w:val="28"/>
        </w:numPr>
        <w:tabs>
          <w:tab w:val="clear" w:pos="720"/>
          <w:tab w:val="num" w:pos="360"/>
        </w:tabs>
        <w:spacing w:line="259" w:lineRule="auto"/>
        <w:ind w:left="426"/>
        <w:jc w:val="both"/>
        <w:rPr>
          <w:rFonts w:ascii="Garamond" w:hAnsi="Garamond"/>
          <w:bCs/>
          <w:iCs/>
          <w:sz w:val="20"/>
          <w:szCs w:val="20"/>
        </w:rPr>
      </w:pPr>
      <w:r w:rsidRPr="00431E6B">
        <w:rPr>
          <w:rFonts w:ascii="Garamond" w:hAnsi="Garamond"/>
          <w:bCs/>
          <w:iCs/>
          <w:sz w:val="20"/>
          <w:szCs w:val="20"/>
        </w:rPr>
        <w:t>Some factors that could influence adherence, such as psychological status, health literacy and healthcare system barriers, were not extensively explored.</w:t>
      </w:r>
    </w:p>
    <w:p w14:paraId="3279A9D3" w14:textId="77777777" w:rsidR="00B06F7D" w:rsidRDefault="00B06F7D" w:rsidP="00B06F7D">
      <w:pPr>
        <w:spacing w:line="259" w:lineRule="auto"/>
        <w:jc w:val="both"/>
        <w:rPr>
          <w:rFonts w:ascii="Garamond" w:hAnsi="Garamond"/>
          <w:b/>
          <w:bCs/>
          <w:iCs/>
          <w:sz w:val="20"/>
          <w:szCs w:val="20"/>
        </w:rPr>
      </w:pPr>
    </w:p>
    <w:p w14:paraId="0074E058" w14:textId="77777777" w:rsidR="00B06F7D" w:rsidRPr="00431E6B" w:rsidRDefault="00B06F7D" w:rsidP="00B06F7D">
      <w:pPr>
        <w:spacing w:line="259" w:lineRule="auto"/>
        <w:jc w:val="both"/>
        <w:rPr>
          <w:rFonts w:ascii="Garamond" w:hAnsi="Garamond"/>
          <w:b/>
          <w:bCs/>
          <w:iCs/>
          <w:sz w:val="20"/>
          <w:szCs w:val="20"/>
        </w:rPr>
      </w:pPr>
      <w:r w:rsidRPr="00431E6B">
        <w:rPr>
          <w:rFonts w:ascii="Garamond" w:hAnsi="Garamond"/>
          <w:b/>
          <w:bCs/>
          <w:iCs/>
          <w:sz w:val="20"/>
          <w:szCs w:val="20"/>
        </w:rPr>
        <w:t>Implications of the Study</w:t>
      </w:r>
    </w:p>
    <w:p w14:paraId="1ECF3789" w14:textId="77777777" w:rsidR="00B06F7D" w:rsidRPr="00431E6B" w:rsidRDefault="00B06F7D" w:rsidP="00B06F7D">
      <w:pPr>
        <w:numPr>
          <w:ilvl w:val="0"/>
          <w:numId w:val="29"/>
        </w:numPr>
        <w:tabs>
          <w:tab w:val="clear" w:pos="720"/>
          <w:tab w:val="num" w:pos="360"/>
        </w:tabs>
        <w:spacing w:line="259" w:lineRule="auto"/>
        <w:ind w:left="426"/>
        <w:jc w:val="both"/>
        <w:rPr>
          <w:rFonts w:ascii="Garamond" w:hAnsi="Garamond"/>
          <w:bCs/>
          <w:iCs/>
          <w:sz w:val="20"/>
          <w:szCs w:val="20"/>
        </w:rPr>
      </w:pPr>
      <w:r w:rsidRPr="00431E6B">
        <w:rPr>
          <w:rFonts w:ascii="Garamond" w:hAnsi="Garamond"/>
          <w:bCs/>
          <w:iCs/>
          <w:sz w:val="20"/>
          <w:szCs w:val="20"/>
        </w:rPr>
        <w:t>Low medication adherence as shown in the study can result in more frequent hospital admissions, longer treatment durations and higher healthcare costs, placing additional strain on both patients and the healthcare system.</w:t>
      </w:r>
    </w:p>
    <w:p w14:paraId="0E9232A7" w14:textId="77777777" w:rsidR="00B06F7D" w:rsidRPr="00431E6B" w:rsidRDefault="00B06F7D" w:rsidP="00B06F7D">
      <w:pPr>
        <w:numPr>
          <w:ilvl w:val="0"/>
          <w:numId w:val="29"/>
        </w:numPr>
        <w:tabs>
          <w:tab w:val="clear" w:pos="720"/>
          <w:tab w:val="num" w:pos="360"/>
        </w:tabs>
        <w:spacing w:line="259" w:lineRule="auto"/>
        <w:ind w:left="426"/>
        <w:jc w:val="both"/>
        <w:rPr>
          <w:rFonts w:ascii="Garamond" w:hAnsi="Garamond"/>
          <w:bCs/>
          <w:iCs/>
          <w:sz w:val="20"/>
          <w:szCs w:val="20"/>
        </w:rPr>
      </w:pPr>
      <w:r w:rsidRPr="00431E6B">
        <w:rPr>
          <w:rFonts w:ascii="Garamond" w:hAnsi="Garamond"/>
          <w:bCs/>
          <w:iCs/>
          <w:sz w:val="20"/>
          <w:szCs w:val="20"/>
        </w:rPr>
        <w:t>The findings highlight the importance of enhanced patient education, counseling on the importance of adherence and regular follow-up to improve treatment outcomes.</w:t>
      </w:r>
    </w:p>
    <w:p w14:paraId="19ADF245" w14:textId="77777777" w:rsidR="00B06F7D" w:rsidRPr="00431E6B" w:rsidRDefault="00B06F7D" w:rsidP="00B06F7D">
      <w:pPr>
        <w:numPr>
          <w:ilvl w:val="0"/>
          <w:numId w:val="29"/>
        </w:numPr>
        <w:tabs>
          <w:tab w:val="clear" w:pos="720"/>
          <w:tab w:val="num" w:pos="360"/>
        </w:tabs>
        <w:spacing w:line="259" w:lineRule="auto"/>
        <w:ind w:left="426"/>
        <w:jc w:val="both"/>
        <w:rPr>
          <w:rFonts w:ascii="Garamond" w:hAnsi="Garamond"/>
          <w:bCs/>
          <w:iCs/>
          <w:sz w:val="20"/>
          <w:szCs w:val="20"/>
        </w:rPr>
      </w:pPr>
      <w:r w:rsidRPr="00431E6B">
        <w:rPr>
          <w:rFonts w:ascii="Garamond" w:hAnsi="Garamond"/>
          <w:bCs/>
          <w:iCs/>
          <w:sz w:val="20"/>
          <w:szCs w:val="20"/>
        </w:rPr>
        <w:t>Since medication adherence was influenced by sociodemographic factors, interventions should incorporate family and community support systems to encourage consistent medication use.</w:t>
      </w:r>
    </w:p>
    <w:p w14:paraId="413408BC" w14:textId="77777777" w:rsidR="00B06F7D" w:rsidRPr="00431E6B" w:rsidRDefault="00B06F7D" w:rsidP="00B06F7D">
      <w:pPr>
        <w:numPr>
          <w:ilvl w:val="0"/>
          <w:numId w:val="29"/>
        </w:numPr>
        <w:tabs>
          <w:tab w:val="clear" w:pos="720"/>
          <w:tab w:val="num" w:pos="360"/>
        </w:tabs>
        <w:spacing w:line="259" w:lineRule="auto"/>
        <w:ind w:left="426"/>
        <w:jc w:val="both"/>
        <w:rPr>
          <w:rFonts w:ascii="Garamond" w:hAnsi="Garamond"/>
          <w:bCs/>
          <w:iCs/>
          <w:sz w:val="20"/>
          <w:szCs w:val="20"/>
        </w:rPr>
      </w:pPr>
      <w:r w:rsidRPr="00431E6B">
        <w:rPr>
          <w:rFonts w:ascii="Garamond" w:hAnsi="Garamond"/>
          <w:bCs/>
          <w:iCs/>
          <w:sz w:val="20"/>
          <w:szCs w:val="20"/>
        </w:rPr>
        <w:t>The results of the study suggest a need for policy-level interventions, such as improved access to affordable medications, structured adherence programs and integration of adherence monitoring into routine CKD care.</w:t>
      </w:r>
    </w:p>
    <w:p w14:paraId="043FF752" w14:textId="77777777" w:rsidR="00B06F7D" w:rsidRPr="00431E6B" w:rsidRDefault="00B06F7D" w:rsidP="00B06F7D">
      <w:pPr>
        <w:numPr>
          <w:ilvl w:val="0"/>
          <w:numId w:val="29"/>
        </w:numPr>
        <w:tabs>
          <w:tab w:val="clear" w:pos="720"/>
          <w:tab w:val="num" w:pos="360"/>
        </w:tabs>
        <w:spacing w:line="259" w:lineRule="auto"/>
        <w:ind w:left="426"/>
        <w:jc w:val="both"/>
        <w:rPr>
          <w:rFonts w:ascii="Garamond" w:hAnsi="Garamond"/>
          <w:bCs/>
          <w:iCs/>
          <w:sz w:val="20"/>
          <w:szCs w:val="20"/>
        </w:rPr>
      </w:pPr>
      <w:r w:rsidRPr="00431E6B">
        <w:rPr>
          <w:rFonts w:ascii="Garamond" w:hAnsi="Garamond"/>
          <w:bCs/>
          <w:iCs/>
          <w:sz w:val="20"/>
          <w:szCs w:val="20"/>
        </w:rPr>
        <w:t>The study underscores the necessity for further research on barriers to adherence, including psychological, cultural and health system factors, to develop targeted interventions for CKD patients.</w:t>
      </w:r>
    </w:p>
    <w:p w14:paraId="24FFA695" w14:textId="77777777" w:rsidR="00B06F7D" w:rsidRPr="00431E6B" w:rsidRDefault="00B06F7D" w:rsidP="00B06F7D">
      <w:pPr>
        <w:spacing w:line="259" w:lineRule="auto"/>
        <w:jc w:val="both"/>
        <w:rPr>
          <w:rFonts w:ascii="Garamond" w:hAnsi="Garamond"/>
          <w:iCs/>
          <w:sz w:val="20"/>
          <w:szCs w:val="20"/>
        </w:rPr>
      </w:pPr>
    </w:p>
    <w:p w14:paraId="7EA678E4" w14:textId="77777777" w:rsidR="00B06F7D" w:rsidRPr="00431E6B" w:rsidRDefault="00B06F7D" w:rsidP="00B06F7D">
      <w:pPr>
        <w:spacing w:line="259" w:lineRule="auto"/>
        <w:jc w:val="both"/>
        <w:rPr>
          <w:rFonts w:ascii="Garamond" w:hAnsi="Garamond"/>
          <w:b/>
          <w:bCs/>
          <w:iCs/>
          <w:sz w:val="20"/>
          <w:szCs w:val="20"/>
        </w:rPr>
      </w:pPr>
      <w:r>
        <w:rPr>
          <w:rFonts w:ascii="Garamond" w:hAnsi="Garamond"/>
          <w:b/>
          <w:bCs/>
          <w:iCs/>
          <w:sz w:val="20"/>
          <w:szCs w:val="20"/>
        </w:rPr>
        <w:t>C</w:t>
      </w:r>
      <w:r w:rsidRPr="00431E6B">
        <w:rPr>
          <w:rFonts w:ascii="Garamond" w:hAnsi="Garamond"/>
          <w:b/>
          <w:bCs/>
          <w:iCs/>
          <w:sz w:val="20"/>
          <w:szCs w:val="20"/>
        </w:rPr>
        <w:t>onclusion</w:t>
      </w:r>
    </w:p>
    <w:p w14:paraId="5378D011" w14:textId="77777777" w:rsidR="00B06F7D" w:rsidRDefault="00B06F7D" w:rsidP="00B06F7D">
      <w:pPr>
        <w:spacing w:line="259" w:lineRule="auto"/>
        <w:jc w:val="both"/>
        <w:rPr>
          <w:rFonts w:ascii="Garamond" w:hAnsi="Garamond"/>
          <w:bCs/>
          <w:iCs/>
          <w:sz w:val="20"/>
          <w:szCs w:val="20"/>
        </w:rPr>
      </w:pPr>
      <w:r w:rsidRPr="00431E6B">
        <w:rPr>
          <w:rFonts w:ascii="Garamond" w:hAnsi="Garamond"/>
          <w:bCs/>
          <w:iCs/>
          <w:sz w:val="20"/>
          <w:szCs w:val="20"/>
        </w:rPr>
        <w:t>CKD patients often have comorbidities such as hypertension, diabetes and HIV, making management complex and requiring multidisciplinary care. This study found that most patients used calcium channel blockers and diuretics, while some also used herbal medicines. Overall, medication adherence was poor, and factors such as family history of CKD, relationship status, education, income, and duration of diagnosis influenced adherence. Furthermore, the findings highlight the need for better patient education, improved clinician–patient communication, and adherence counselling to improve treatment outcomes. These results can guide patient-centered interventions to improve medication adherence and reduce CKD complications, especially in resource-limited settings.</w:t>
      </w:r>
    </w:p>
    <w:p w14:paraId="5CD30526" w14:textId="403E39D7" w:rsidR="00B06F7D" w:rsidRPr="00B06F7D" w:rsidRDefault="00B06F7D" w:rsidP="00B06F7D">
      <w:pPr>
        <w:spacing w:line="259" w:lineRule="auto"/>
        <w:jc w:val="both"/>
        <w:rPr>
          <w:rFonts w:ascii="Garamond" w:hAnsi="Garamond"/>
          <w:b/>
          <w:iCs/>
          <w:sz w:val="20"/>
          <w:szCs w:val="20"/>
        </w:rPr>
      </w:pPr>
      <w:r w:rsidRPr="00B06F7D">
        <w:rPr>
          <w:rFonts w:ascii="Garamond" w:hAnsi="Garamond"/>
          <w:b/>
          <w:iCs/>
          <w:sz w:val="20"/>
          <w:szCs w:val="20"/>
        </w:rPr>
        <w:t>Declarations</w:t>
      </w:r>
    </w:p>
    <w:p w14:paraId="26796F01" w14:textId="3B161EEE" w:rsidR="00B06F7D" w:rsidRPr="00C271AB" w:rsidRDefault="00B06F7D" w:rsidP="00B06F7D">
      <w:pPr>
        <w:spacing w:line="259" w:lineRule="auto"/>
        <w:jc w:val="both"/>
        <w:rPr>
          <w:rFonts w:ascii="Garamond" w:hAnsi="Garamond"/>
          <w:b/>
          <w:bCs/>
          <w:iCs/>
          <w:sz w:val="20"/>
          <w:szCs w:val="20"/>
        </w:rPr>
      </w:pPr>
      <w:r w:rsidRPr="00C271AB">
        <w:rPr>
          <w:rFonts w:ascii="Garamond" w:hAnsi="Garamond"/>
          <w:b/>
          <w:bCs/>
          <w:i/>
          <w:sz w:val="20"/>
          <w:szCs w:val="20"/>
        </w:rPr>
        <w:t>Conflict of Interest Declaration:</w:t>
      </w:r>
      <w:r w:rsidRPr="00C271AB">
        <w:rPr>
          <w:rFonts w:ascii="Garamond" w:hAnsi="Garamond"/>
          <w:b/>
          <w:bCs/>
          <w:iCs/>
          <w:sz w:val="20"/>
          <w:szCs w:val="20"/>
        </w:rPr>
        <w:t xml:space="preserve"> </w:t>
      </w:r>
      <w:r w:rsidR="00C271AB" w:rsidRPr="00C271AB">
        <w:rPr>
          <w:rFonts w:ascii="Garamond" w:hAnsi="Garamond" w:cs="Times New Roman"/>
          <w:sz w:val="20"/>
          <w:szCs w:val="20"/>
          <w:lang w:val="en-NG"/>
        </w:rPr>
        <w:t>No conflict of interest</w:t>
      </w:r>
    </w:p>
    <w:p w14:paraId="1BA437EE" w14:textId="448689A8" w:rsidR="00B06F7D" w:rsidRPr="00431E6B" w:rsidRDefault="00B06F7D" w:rsidP="00C271AB">
      <w:pPr>
        <w:spacing w:line="259" w:lineRule="auto"/>
        <w:rPr>
          <w:rFonts w:ascii="Garamond" w:hAnsi="Garamond"/>
          <w:b/>
          <w:bCs/>
          <w:iCs/>
          <w:sz w:val="20"/>
          <w:szCs w:val="20"/>
          <w:highlight w:val="yellow"/>
        </w:rPr>
      </w:pPr>
      <w:r w:rsidRPr="00C271AB">
        <w:rPr>
          <w:rFonts w:ascii="Garamond" w:hAnsi="Garamond"/>
          <w:b/>
          <w:bCs/>
          <w:i/>
          <w:sz w:val="20"/>
          <w:szCs w:val="20"/>
        </w:rPr>
        <w:t>Ethical Conformity Statement:</w:t>
      </w:r>
      <w:r w:rsidRPr="00C271AB">
        <w:rPr>
          <w:rFonts w:ascii="Garamond" w:hAnsi="Garamond"/>
          <w:b/>
          <w:bCs/>
          <w:iCs/>
          <w:sz w:val="20"/>
          <w:szCs w:val="20"/>
        </w:rPr>
        <w:t xml:space="preserve"> </w:t>
      </w:r>
      <w:r w:rsidR="00C271AB" w:rsidRPr="00CE4040">
        <w:rPr>
          <w:rFonts w:ascii="Garamond" w:hAnsi="Garamond" w:cs="Times New Roman"/>
          <w:sz w:val="20"/>
          <w:szCs w:val="20"/>
        </w:rPr>
        <w:t>The study was approved by the Research and Ethics Committee of University of Port Harcourt Teaching Hospital with Reference Number UPTH/ADM/90/S.11/VOL.XI/1820</w:t>
      </w:r>
    </w:p>
    <w:p w14:paraId="0F68DFCB" w14:textId="533631F5" w:rsidR="00B06F7D" w:rsidRPr="00E34213" w:rsidRDefault="00B06F7D" w:rsidP="00B06F7D">
      <w:pPr>
        <w:spacing w:line="259" w:lineRule="auto"/>
        <w:jc w:val="both"/>
        <w:rPr>
          <w:rFonts w:ascii="Garamond" w:hAnsi="Garamond"/>
          <w:b/>
          <w:bCs/>
          <w:iCs/>
          <w:sz w:val="20"/>
          <w:szCs w:val="20"/>
        </w:rPr>
      </w:pPr>
      <w:r w:rsidRPr="00C271AB">
        <w:rPr>
          <w:rFonts w:ascii="Garamond" w:hAnsi="Garamond"/>
          <w:b/>
          <w:bCs/>
          <w:i/>
          <w:sz w:val="20"/>
          <w:szCs w:val="20"/>
        </w:rPr>
        <w:t>Funding</w:t>
      </w:r>
      <w:r w:rsidR="00C271AB" w:rsidRPr="00C271AB">
        <w:rPr>
          <w:rFonts w:ascii="Garamond" w:hAnsi="Garamond"/>
          <w:b/>
          <w:bCs/>
          <w:i/>
          <w:sz w:val="20"/>
          <w:szCs w:val="20"/>
        </w:rPr>
        <w:t>:</w:t>
      </w:r>
      <w:r w:rsidR="00C271AB">
        <w:rPr>
          <w:rFonts w:ascii="Garamond" w:hAnsi="Garamond"/>
          <w:b/>
          <w:bCs/>
          <w:iCs/>
          <w:sz w:val="20"/>
          <w:szCs w:val="20"/>
        </w:rPr>
        <w:t xml:space="preserve"> </w:t>
      </w:r>
      <w:r w:rsidR="00C271AB" w:rsidRPr="00CE4040">
        <w:rPr>
          <w:rFonts w:ascii="Garamond" w:hAnsi="Garamond" w:cs="Times New Roman"/>
          <w:sz w:val="20"/>
          <w:szCs w:val="20"/>
        </w:rPr>
        <w:t>Self-funded</w:t>
      </w:r>
    </w:p>
    <w:p w14:paraId="26F4B481" w14:textId="77777777" w:rsidR="00B06F7D" w:rsidRPr="00431E6B" w:rsidRDefault="00B06F7D" w:rsidP="00B06F7D">
      <w:pPr>
        <w:spacing w:line="259" w:lineRule="auto"/>
        <w:jc w:val="both"/>
        <w:rPr>
          <w:rFonts w:ascii="Garamond" w:hAnsi="Garamond"/>
          <w:b/>
          <w:bCs/>
          <w:iCs/>
          <w:sz w:val="20"/>
          <w:szCs w:val="20"/>
        </w:rPr>
      </w:pPr>
    </w:p>
    <w:p w14:paraId="14BD71D0" w14:textId="36595E0A" w:rsidR="00B06F7D" w:rsidRPr="00431E6B" w:rsidRDefault="00B06F7D" w:rsidP="00B06F7D">
      <w:pPr>
        <w:spacing w:line="259" w:lineRule="auto"/>
        <w:jc w:val="both"/>
        <w:rPr>
          <w:rFonts w:ascii="Garamond" w:hAnsi="Garamond"/>
          <w:b/>
          <w:iCs/>
          <w:sz w:val="22"/>
          <w:szCs w:val="22"/>
        </w:rPr>
      </w:pPr>
      <w:r w:rsidRPr="00431E6B">
        <w:rPr>
          <w:rFonts w:ascii="Garamond" w:hAnsi="Garamond"/>
          <w:b/>
          <w:iCs/>
          <w:sz w:val="22"/>
          <w:szCs w:val="22"/>
        </w:rPr>
        <w:t>REFERENCES</w:t>
      </w:r>
    </w:p>
    <w:p w14:paraId="42C3EDD6" w14:textId="77777777" w:rsidR="00B06F7D" w:rsidRPr="00431E6B" w:rsidRDefault="00B06F7D" w:rsidP="00B06F7D">
      <w:pPr>
        <w:numPr>
          <w:ilvl w:val="0"/>
          <w:numId w:val="26"/>
        </w:numPr>
        <w:rPr>
          <w:rFonts w:ascii="Garamond" w:hAnsi="Garamond"/>
          <w:bCs/>
          <w:iCs/>
          <w:sz w:val="20"/>
          <w:szCs w:val="20"/>
        </w:rPr>
      </w:pPr>
      <w:r w:rsidRPr="00431E6B">
        <w:rPr>
          <w:rFonts w:ascii="Garamond" w:hAnsi="Garamond"/>
          <w:bCs/>
          <w:iCs/>
          <w:sz w:val="20"/>
          <w:szCs w:val="20"/>
        </w:rPr>
        <w:t>Rivera E, Clark-Cutaia MN, Schrauben SJ, Townsend RR, Lash JP, Hannan M, et al. Treatment adherence in CKD and support from health care providers: a qualitative study. Kidney Med. 2022;4(11):100545.</w:t>
      </w:r>
    </w:p>
    <w:p w14:paraId="71880A33" w14:textId="77777777" w:rsidR="00B06F7D" w:rsidRPr="00431E6B" w:rsidRDefault="00B06F7D" w:rsidP="00B06F7D">
      <w:pPr>
        <w:numPr>
          <w:ilvl w:val="0"/>
          <w:numId w:val="26"/>
        </w:numPr>
        <w:rPr>
          <w:rFonts w:ascii="Garamond" w:hAnsi="Garamond"/>
          <w:bCs/>
          <w:iCs/>
          <w:sz w:val="20"/>
          <w:szCs w:val="20"/>
        </w:rPr>
      </w:pPr>
      <w:r w:rsidRPr="00431E6B">
        <w:rPr>
          <w:rFonts w:ascii="Garamond" w:hAnsi="Garamond"/>
          <w:bCs/>
          <w:iCs/>
          <w:sz w:val="20"/>
          <w:szCs w:val="20"/>
        </w:rPr>
        <w:t xml:space="preserve">Sood V, Braun M, Hogue S, Lieberman B, Copley-Merriman C. High burden and unmet patient needs in chronic kidney disease. Int J Nephrol Renov Dis. </w:t>
      </w:r>
      <w:proofErr w:type="gramStart"/>
      <w:r w:rsidRPr="00431E6B">
        <w:rPr>
          <w:rFonts w:ascii="Garamond" w:hAnsi="Garamond"/>
          <w:bCs/>
          <w:iCs/>
          <w:sz w:val="20"/>
          <w:szCs w:val="20"/>
        </w:rPr>
        <w:t>2012;5:151</w:t>
      </w:r>
      <w:proofErr w:type="gramEnd"/>
      <w:r w:rsidRPr="00431E6B">
        <w:rPr>
          <w:rFonts w:ascii="Garamond" w:hAnsi="Garamond"/>
          <w:bCs/>
          <w:iCs/>
          <w:sz w:val="20"/>
          <w:szCs w:val="20"/>
        </w:rPr>
        <w:t>-163.</w:t>
      </w:r>
    </w:p>
    <w:p w14:paraId="0AFC301B" w14:textId="77777777" w:rsidR="00B06F7D" w:rsidRPr="00431E6B" w:rsidRDefault="00B06F7D" w:rsidP="00B06F7D">
      <w:pPr>
        <w:numPr>
          <w:ilvl w:val="0"/>
          <w:numId w:val="26"/>
        </w:numPr>
        <w:rPr>
          <w:rFonts w:ascii="Garamond" w:hAnsi="Garamond"/>
          <w:bCs/>
          <w:iCs/>
          <w:sz w:val="20"/>
          <w:szCs w:val="20"/>
        </w:rPr>
      </w:pPr>
      <w:r w:rsidRPr="00431E6B">
        <w:rPr>
          <w:rFonts w:ascii="Garamond" w:hAnsi="Garamond"/>
          <w:bCs/>
          <w:iCs/>
          <w:sz w:val="20"/>
          <w:szCs w:val="20"/>
        </w:rPr>
        <w:t xml:space="preserve">Saran R, Robinson B, Abbott KC, </w:t>
      </w:r>
      <w:proofErr w:type="spellStart"/>
      <w:r w:rsidRPr="00431E6B">
        <w:rPr>
          <w:rFonts w:ascii="Garamond" w:hAnsi="Garamond"/>
          <w:bCs/>
          <w:iCs/>
          <w:sz w:val="20"/>
          <w:szCs w:val="20"/>
        </w:rPr>
        <w:t>Agodoa</w:t>
      </w:r>
      <w:proofErr w:type="spellEnd"/>
      <w:r w:rsidRPr="00431E6B">
        <w:rPr>
          <w:rFonts w:ascii="Garamond" w:hAnsi="Garamond"/>
          <w:bCs/>
          <w:iCs/>
          <w:sz w:val="20"/>
          <w:szCs w:val="20"/>
        </w:rPr>
        <w:t xml:space="preserve"> LYC, Bragg-Gresham J, </w:t>
      </w:r>
      <w:proofErr w:type="spellStart"/>
      <w:r w:rsidRPr="00431E6B">
        <w:rPr>
          <w:rFonts w:ascii="Garamond" w:hAnsi="Garamond"/>
          <w:bCs/>
          <w:iCs/>
          <w:sz w:val="20"/>
          <w:szCs w:val="20"/>
        </w:rPr>
        <w:t>Balkrishnan</w:t>
      </w:r>
      <w:proofErr w:type="spellEnd"/>
      <w:r w:rsidRPr="00431E6B">
        <w:rPr>
          <w:rFonts w:ascii="Garamond" w:hAnsi="Garamond"/>
          <w:bCs/>
          <w:iCs/>
          <w:sz w:val="20"/>
          <w:szCs w:val="20"/>
        </w:rPr>
        <w:t xml:space="preserve"> R, et al. US renal data system 2018 annual data report: epidemiology of kidney disease in the United States. Am J Kidney Dis. 2019;73(3</w:t>
      </w:r>
      <w:proofErr w:type="gramStart"/>
      <w:r w:rsidRPr="00431E6B">
        <w:rPr>
          <w:rFonts w:ascii="Garamond" w:hAnsi="Garamond"/>
          <w:bCs/>
          <w:iCs/>
          <w:sz w:val="20"/>
          <w:szCs w:val="20"/>
        </w:rPr>
        <w:t>):A</w:t>
      </w:r>
      <w:proofErr w:type="gramEnd"/>
      <w:r w:rsidRPr="00431E6B">
        <w:rPr>
          <w:rFonts w:ascii="Garamond" w:hAnsi="Garamond"/>
          <w:bCs/>
          <w:iCs/>
          <w:sz w:val="20"/>
          <w:szCs w:val="20"/>
        </w:rPr>
        <w:t>7-A8.</w:t>
      </w:r>
    </w:p>
    <w:p w14:paraId="07CE2CBE" w14:textId="77777777" w:rsidR="00B06F7D" w:rsidRPr="00431E6B" w:rsidRDefault="00B06F7D" w:rsidP="00B06F7D">
      <w:pPr>
        <w:numPr>
          <w:ilvl w:val="0"/>
          <w:numId w:val="26"/>
        </w:numPr>
        <w:rPr>
          <w:rFonts w:ascii="Garamond" w:hAnsi="Garamond"/>
          <w:bCs/>
          <w:iCs/>
          <w:sz w:val="20"/>
          <w:szCs w:val="20"/>
        </w:rPr>
      </w:pPr>
      <w:r w:rsidRPr="00431E6B">
        <w:rPr>
          <w:rFonts w:ascii="Garamond" w:hAnsi="Garamond"/>
          <w:bCs/>
          <w:iCs/>
          <w:sz w:val="20"/>
          <w:szCs w:val="20"/>
        </w:rPr>
        <w:t xml:space="preserve">Sundström J, </w:t>
      </w:r>
      <w:proofErr w:type="spellStart"/>
      <w:r w:rsidRPr="00431E6B">
        <w:rPr>
          <w:rFonts w:ascii="Garamond" w:hAnsi="Garamond"/>
          <w:bCs/>
          <w:iCs/>
          <w:sz w:val="20"/>
          <w:szCs w:val="20"/>
        </w:rPr>
        <w:t>Bodegard</w:t>
      </w:r>
      <w:proofErr w:type="spellEnd"/>
      <w:r w:rsidRPr="00431E6B">
        <w:rPr>
          <w:rFonts w:ascii="Garamond" w:hAnsi="Garamond"/>
          <w:bCs/>
          <w:iCs/>
          <w:sz w:val="20"/>
          <w:szCs w:val="20"/>
        </w:rPr>
        <w:t xml:space="preserve"> J, Bollmann A, Vervloet MG, Mark PB, Karasik A, et al. Prevalence, outcomes, and cost of chronic kidney disease in a contemporary population of 2.4 million patients </w:t>
      </w:r>
      <w:r w:rsidRPr="00431E6B">
        <w:rPr>
          <w:rFonts w:ascii="Garamond" w:hAnsi="Garamond"/>
          <w:bCs/>
          <w:iCs/>
          <w:sz w:val="20"/>
          <w:szCs w:val="20"/>
        </w:rPr>
        <w:lastRenderedPageBreak/>
        <w:t xml:space="preserve">from 11 countries: the </w:t>
      </w:r>
      <w:proofErr w:type="spellStart"/>
      <w:r w:rsidRPr="00431E6B">
        <w:rPr>
          <w:rFonts w:ascii="Garamond" w:hAnsi="Garamond"/>
          <w:bCs/>
          <w:iCs/>
          <w:sz w:val="20"/>
          <w:szCs w:val="20"/>
        </w:rPr>
        <w:t>CaReMe</w:t>
      </w:r>
      <w:proofErr w:type="spellEnd"/>
      <w:r w:rsidRPr="00431E6B">
        <w:rPr>
          <w:rFonts w:ascii="Garamond" w:hAnsi="Garamond"/>
          <w:bCs/>
          <w:iCs/>
          <w:sz w:val="20"/>
          <w:szCs w:val="20"/>
        </w:rPr>
        <w:t xml:space="preserve"> CKD study. Lancet Reg Health Eur. 2022; 20:100438.</w:t>
      </w:r>
    </w:p>
    <w:p w14:paraId="0B971998" w14:textId="77777777" w:rsidR="00B06F7D" w:rsidRPr="00431E6B" w:rsidRDefault="00B06F7D" w:rsidP="00B06F7D">
      <w:pPr>
        <w:numPr>
          <w:ilvl w:val="0"/>
          <w:numId w:val="26"/>
        </w:numPr>
        <w:rPr>
          <w:rFonts w:ascii="Garamond" w:hAnsi="Garamond"/>
          <w:bCs/>
          <w:iCs/>
          <w:sz w:val="20"/>
          <w:szCs w:val="20"/>
        </w:rPr>
      </w:pPr>
      <w:r w:rsidRPr="00431E6B">
        <w:rPr>
          <w:rFonts w:ascii="Garamond" w:hAnsi="Garamond"/>
          <w:bCs/>
          <w:iCs/>
          <w:sz w:val="20"/>
          <w:szCs w:val="20"/>
        </w:rPr>
        <w:t xml:space="preserve">Olanrewaju TO, Aderibigbe A, Popoola AA, </w:t>
      </w:r>
      <w:proofErr w:type="spellStart"/>
      <w:r w:rsidRPr="00431E6B">
        <w:rPr>
          <w:rFonts w:ascii="Garamond" w:hAnsi="Garamond"/>
          <w:bCs/>
          <w:iCs/>
          <w:sz w:val="20"/>
          <w:szCs w:val="20"/>
        </w:rPr>
        <w:t>Braimoh</w:t>
      </w:r>
      <w:proofErr w:type="spellEnd"/>
      <w:r w:rsidRPr="00431E6B">
        <w:rPr>
          <w:rFonts w:ascii="Garamond" w:hAnsi="Garamond"/>
          <w:bCs/>
          <w:iCs/>
          <w:sz w:val="20"/>
          <w:szCs w:val="20"/>
        </w:rPr>
        <w:t xml:space="preserve"> KT, Buhari MO, Adedoyin OT, et al. Prevalence of chronic kidney disease and risk factors in North-Central Nigeria: a population-based survey. BMC Nephrol. 2020;21(1):467.</w:t>
      </w:r>
    </w:p>
    <w:p w14:paraId="3EBD81E8" w14:textId="77777777" w:rsidR="00B06F7D" w:rsidRPr="00431E6B" w:rsidRDefault="00B06F7D" w:rsidP="00B06F7D">
      <w:pPr>
        <w:numPr>
          <w:ilvl w:val="0"/>
          <w:numId w:val="26"/>
        </w:numPr>
        <w:rPr>
          <w:rFonts w:ascii="Garamond" w:hAnsi="Garamond"/>
          <w:bCs/>
          <w:iCs/>
          <w:sz w:val="20"/>
          <w:szCs w:val="20"/>
        </w:rPr>
      </w:pPr>
      <w:proofErr w:type="spellStart"/>
      <w:r w:rsidRPr="00431E6B">
        <w:rPr>
          <w:rFonts w:ascii="Garamond" w:hAnsi="Garamond"/>
          <w:bCs/>
          <w:iCs/>
          <w:sz w:val="20"/>
          <w:szCs w:val="20"/>
        </w:rPr>
        <w:t>Ibitoba</w:t>
      </w:r>
      <w:proofErr w:type="spellEnd"/>
      <w:r w:rsidRPr="00431E6B">
        <w:rPr>
          <w:rFonts w:ascii="Garamond" w:hAnsi="Garamond"/>
          <w:bCs/>
          <w:iCs/>
          <w:sz w:val="20"/>
          <w:szCs w:val="20"/>
        </w:rPr>
        <w:t xml:space="preserve"> FA, Akpor OA, Akpor OB. Prevalence and risk factors of chronic kidney disease among commercial motorcyclists in Ado-Ekiti, Ekiti State, Nigeria. Sci Afr. 2022;</w:t>
      </w:r>
      <w:proofErr w:type="gramStart"/>
      <w:r w:rsidRPr="00431E6B">
        <w:rPr>
          <w:rFonts w:ascii="Garamond" w:hAnsi="Garamond"/>
          <w:bCs/>
          <w:iCs/>
          <w:sz w:val="20"/>
          <w:szCs w:val="20"/>
        </w:rPr>
        <w:t>16:e</w:t>
      </w:r>
      <w:proofErr w:type="gramEnd"/>
      <w:r w:rsidRPr="00431E6B">
        <w:rPr>
          <w:rFonts w:ascii="Garamond" w:hAnsi="Garamond"/>
          <w:bCs/>
          <w:iCs/>
          <w:sz w:val="20"/>
          <w:szCs w:val="20"/>
        </w:rPr>
        <w:t>01136.</w:t>
      </w:r>
    </w:p>
    <w:p w14:paraId="072D8923" w14:textId="77777777" w:rsidR="00B06F7D" w:rsidRPr="00431E6B" w:rsidRDefault="00B06F7D" w:rsidP="00B06F7D">
      <w:pPr>
        <w:numPr>
          <w:ilvl w:val="0"/>
          <w:numId w:val="26"/>
        </w:numPr>
        <w:rPr>
          <w:rFonts w:ascii="Garamond" w:hAnsi="Garamond"/>
          <w:bCs/>
          <w:iCs/>
          <w:sz w:val="20"/>
          <w:szCs w:val="20"/>
        </w:rPr>
      </w:pPr>
      <w:proofErr w:type="spellStart"/>
      <w:r w:rsidRPr="00431E6B">
        <w:rPr>
          <w:rFonts w:ascii="Garamond" w:hAnsi="Garamond"/>
          <w:bCs/>
          <w:iCs/>
          <w:sz w:val="20"/>
          <w:szCs w:val="20"/>
        </w:rPr>
        <w:t>Okwuonu</w:t>
      </w:r>
      <w:proofErr w:type="spellEnd"/>
      <w:r w:rsidRPr="00431E6B">
        <w:rPr>
          <w:rFonts w:ascii="Garamond" w:hAnsi="Garamond"/>
          <w:bCs/>
          <w:iCs/>
          <w:sz w:val="20"/>
          <w:szCs w:val="20"/>
        </w:rPr>
        <w:t xml:space="preserve"> C, </w:t>
      </w:r>
      <w:proofErr w:type="spellStart"/>
      <w:r w:rsidRPr="00431E6B">
        <w:rPr>
          <w:rFonts w:ascii="Garamond" w:hAnsi="Garamond"/>
          <w:bCs/>
          <w:iCs/>
          <w:sz w:val="20"/>
          <w:szCs w:val="20"/>
        </w:rPr>
        <w:t>Chukwuonye</w:t>
      </w:r>
      <w:proofErr w:type="spellEnd"/>
      <w:r w:rsidRPr="00431E6B">
        <w:rPr>
          <w:rFonts w:ascii="Garamond" w:hAnsi="Garamond"/>
          <w:bCs/>
          <w:iCs/>
          <w:sz w:val="20"/>
          <w:szCs w:val="20"/>
        </w:rPr>
        <w:t xml:space="preserve"> I, Adejumo O, Agaba E, </w:t>
      </w:r>
      <w:proofErr w:type="spellStart"/>
      <w:r w:rsidRPr="00431E6B">
        <w:rPr>
          <w:rFonts w:ascii="Garamond" w:hAnsi="Garamond"/>
          <w:bCs/>
          <w:iCs/>
          <w:sz w:val="20"/>
          <w:szCs w:val="20"/>
        </w:rPr>
        <w:t>Ojogwu</w:t>
      </w:r>
      <w:proofErr w:type="spellEnd"/>
      <w:r w:rsidRPr="00431E6B">
        <w:rPr>
          <w:rFonts w:ascii="Garamond" w:hAnsi="Garamond"/>
          <w:bCs/>
          <w:iCs/>
          <w:sz w:val="20"/>
          <w:szCs w:val="20"/>
        </w:rPr>
        <w:t xml:space="preserve"> L. Prevalence of chronic kidney disease and its risk factors among adults in a semi-urban community of South-East Nigeria. Niger Postgrad Med J. 2017;24(2):81-87.</w:t>
      </w:r>
    </w:p>
    <w:p w14:paraId="78F2ADBF" w14:textId="77777777" w:rsidR="00B06F7D" w:rsidRPr="00431E6B" w:rsidRDefault="00B06F7D" w:rsidP="00B06F7D">
      <w:pPr>
        <w:numPr>
          <w:ilvl w:val="0"/>
          <w:numId w:val="26"/>
        </w:numPr>
        <w:rPr>
          <w:rFonts w:ascii="Garamond" w:hAnsi="Garamond"/>
          <w:bCs/>
          <w:iCs/>
          <w:sz w:val="20"/>
          <w:szCs w:val="20"/>
        </w:rPr>
      </w:pPr>
      <w:proofErr w:type="spellStart"/>
      <w:r w:rsidRPr="00431E6B">
        <w:rPr>
          <w:rFonts w:ascii="Garamond" w:hAnsi="Garamond"/>
          <w:bCs/>
          <w:iCs/>
          <w:sz w:val="20"/>
          <w:szCs w:val="20"/>
        </w:rPr>
        <w:t>Ovwasa</w:t>
      </w:r>
      <w:proofErr w:type="spellEnd"/>
      <w:r w:rsidRPr="00431E6B">
        <w:rPr>
          <w:rFonts w:ascii="Garamond" w:hAnsi="Garamond"/>
          <w:bCs/>
          <w:iCs/>
          <w:sz w:val="20"/>
          <w:szCs w:val="20"/>
        </w:rPr>
        <w:t xml:space="preserve"> H, </w:t>
      </w:r>
      <w:proofErr w:type="spellStart"/>
      <w:r w:rsidRPr="00431E6B">
        <w:rPr>
          <w:rFonts w:ascii="Garamond" w:hAnsi="Garamond"/>
          <w:bCs/>
          <w:iCs/>
          <w:sz w:val="20"/>
          <w:szCs w:val="20"/>
        </w:rPr>
        <w:t>Aiwuyo</w:t>
      </w:r>
      <w:proofErr w:type="spellEnd"/>
      <w:r w:rsidRPr="00431E6B">
        <w:rPr>
          <w:rFonts w:ascii="Garamond" w:hAnsi="Garamond"/>
          <w:bCs/>
          <w:iCs/>
          <w:sz w:val="20"/>
          <w:szCs w:val="20"/>
        </w:rPr>
        <w:t xml:space="preserve"> HO, Okoye AO, </w:t>
      </w:r>
      <w:proofErr w:type="spellStart"/>
      <w:r w:rsidRPr="00431E6B">
        <w:rPr>
          <w:rFonts w:ascii="Garamond" w:hAnsi="Garamond"/>
          <w:bCs/>
          <w:iCs/>
          <w:sz w:val="20"/>
          <w:szCs w:val="20"/>
        </w:rPr>
        <w:t>Unuigbe</w:t>
      </w:r>
      <w:proofErr w:type="spellEnd"/>
      <w:r w:rsidRPr="00431E6B">
        <w:rPr>
          <w:rFonts w:ascii="Garamond" w:hAnsi="Garamond"/>
          <w:bCs/>
          <w:iCs/>
          <w:sz w:val="20"/>
          <w:szCs w:val="20"/>
        </w:rPr>
        <w:t xml:space="preserve"> E, </w:t>
      </w:r>
      <w:proofErr w:type="spellStart"/>
      <w:r w:rsidRPr="00431E6B">
        <w:rPr>
          <w:rFonts w:ascii="Garamond" w:hAnsi="Garamond"/>
          <w:bCs/>
          <w:iCs/>
          <w:sz w:val="20"/>
          <w:szCs w:val="20"/>
        </w:rPr>
        <w:t>Rajora</w:t>
      </w:r>
      <w:proofErr w:type="spellEnd"/>
      <w:r w:rsidRPr="00431E6B">
        <w:rPr>
          <w:rFonts w:ascii="Garamond" w:hAnsi="Garamond"/>
          <w:bCs/>
          <w:iCs/>
          <w:sz w:val="20"/>
          <w:szCs w:val="20"/>
        </w:rPr>
        <w:t xml:space="preserve"> N. Epidemiology trend of chronic kidney disease in a semi-urban tertiary hospital in Sub-Saharan Africa. Cureus. 2023;15(3</w:t>
      </w:r>
      <w:proofErr w:type="gramStart"/>
      <w:r w:rsidRPr="00431E6B">
        <w:rPr>
          <w:rFonts w:ascii="Garamond" w:hAnsi="Garamond"/>
          <w:bCs/>
          <w:iCs/>
          <w:sz w:val="20"/>
          <w:szCs w:val="20"/>
        </w:rPr>
        <w:t>):e</w:t>
      </w:r>
      <w:proofErr w:type="gramEnd"/>
      <w:r w:rsidRPr="00431E6B">
        <w:rPr>
          <w:rFonts w:ascii="Garamond" w:hAnsi="Garamond"/>
          <w:bCs/>
          <w:iCs/>
          <w:sz w:val="20"/>
          <w:szCs w:val="20"/>
        </w:rPr>
        <w:t>36912.</w:t>
      </w:r>
    </w:p>
    <w:p w14:paraId="110074C5" w14:textId="77777777" w:rsidR="00B06F7D" w:rsidRPr="00431E6B" w:rsidRDefault="00B06F7D" w:rsidP="00B06F7D">
      <w:pPr>
        <w:numPr>
          <w:ilvl w:val="0"/>
          <w:numId w:val="26"/>
        </w:numPr>
        <w:rPr>
          <w:rFonts w:ascii="Garamond" w:hAnsi="Garamond"/>
          <w:bCs/>
          <w:iCs/>
          <w:sz w:val="20"/>
          <w:szCs w:val="20"/>
        </w:rPr>
      </w:pPr>
      <w:r w:rsidRPr="00431E6B">
        <w:rPr>
          <w:rFonts w:ascii="Garamond" w:hAnsi="Garamond"/>
          <w:bCs/>
          <w:iCs/>
          <w:sz w:val="20"/>
          <w:szCs w:val="20"/>
        </w:rPr>
        <w:t>Levin A, Stevens PE. Summary of KDIGO 2012 CKD guideline: behind the scenes, need for guidance, and a framework for moving forward. Kidney Int. 2014;85(1):49-61.</w:t>
      </w:r>
    </w:p>
    <w:p w14:paraId="598C711F" w14:textId="77777777" w:rsidR="00B06F7D" w:rsidRPr="00431E6B" w:rsidRDefault="00B06F7D" w:rsidP="00B06F7D">
      <w:pPr>
        <w:numPr>
          <w:ilvl w:val="0"/>
          <w:numId w:val="26"/>
        </w:numPr>
        <w:rPr>
          <w:rFonts w:ascii="Garamond" w:hAnsi="Garamond"/>
          <w:bCs/>
          <w:iCs/>
          <w:sz w:val="20"/>
          <w:szCs w:val="20"/>
        </w:rPr>
      </w:pPr>
      <w:r w:rsidRPr="00431E6B">
        <w:rPr>
          <w:rFonts w:ascii="Garamond" w:hAnsi="Garamond"/>
          <w:bCs/>
          <w:iCs/>
          <w:sz w:val="20"/>
          <w:szCs w:val="20"/>
        </w:rPr>
        <w:t xml:space="preserve">Molnar MZ, </w:t>
      </w:r>
      <w:proofErr w:type="spellStart"/>
      <w:r w:rsidRPr="00431E6B">
        <w:rPr>
          <w:rFonts w:ascii="Garamond" w:hAnsi="Garamond"/>
          <w:bCs/>
          <w:iCs/>
          <w:sz w:val="20"/>
          <w:szCs w:val="20"/>
        </w:rPr>
        <w:t>Gosmanova</w:t>
      </w:r>
      <w:proofErr w:type="spellEnd"/>
      <w:r w:rsidRPr="00431E6B">
        <w:rPr>
          <w:rFonts w:ascii="Garamond" w:hAnsi="Garamond"/>
          <w:bCs/>
          <w:iCs/>
          <w:sz w:val="20"/>
          <w:szCs w:val="20"/>
        </w:rPr>
        <w:t xml:space="preserve"> EO, Sumida K, </w:t>
      </w:r>
      <w:proofErr w:type="spellStart"/>
      <w:r w:rsidRPr="00431E6B">
        <w:rPr>
          <w:rFonts w:ascii="Garamond" w:hAnsi="Garamond"/>
          <w:bCs/>
          <w:iCs/>
          <w:sz w:val="20"/>
          <w:szCs w:val="20"/>
        </w:rPr>
        <w:t>Potukuchi</w:t>
      </w:r>
      <w:proofErr w:type="spellEnd"/>
      <w:r w:rsidRPr="00431E6B">
        <w:rPr>
          <w:rFonts w:ascii="Garamond" w:hAnsi="Garamond"/>
          <w:bCs/>
          <w:iCs/>
          <w:sz w:val="20"/>
          <w:szCs w:val="20"/>
        </w:rPr>
        <w:t xml:space="preserve"> PK, Lu JL, Jing J, et al. </w:t>
      </w:r>
      <w:proofErr w:type="spellStart"/>
      <w:r w:rsidRPr="00431E6B">
        <w:rPr>
          <w:rFonts w:ascii="Garamond" w:hAnsi="Garamond"/>
          <w:bCs/>
          <w:iCs/>
          <w:sz w:val="20"/>
          <w:szCs w:val="20"/>
        </w:rPr>
        <w:t>Predialysis</w:t>
      </w:r>
      <w:proofErr w:type="spellEnd"/>
      <w:r w:rsidRPr="00431E6B">
        <w:rPr>
          <w:rFonts w:ascii="Garamond" w:hAnsi="Garamond"/>
          <w:bCs/>
          <w:iCs/>
          <w:sz w:val="20"/>
          <w:szCs w:val="20"/>
        </w:rPr>
        <w:t xml:space="preserve"> cardiovascular disease medication adherence and mortality after transition to dialysis. Am J Kidney Dis. 2016;68(4):609-618.</w:t>
      </w:r>
    </w:p>
    <w:p w14:paraId="7BDC9E01" w14:textId="77777777" w:rsidR="00B06F7D" w:rsidRPr="00431E6B" w:rsidRDefault="00B06F7D" w:rsidP="00B06F7D">
      <w:pPr>
        <w:numPr>
          <w:ilvl w:val="0"/>
          <w:numId w:val="26"/>
        </w:numPr>
        <w:rPr>
          <w:rFonts w:ascii="Garamond" w:hAnsi="Garamond"/>
          <w:bCs/>
          <w:iCs/>
          <w:sz w:val="20"/>
          <w:szCs w:val="20"/>
        </w:rPr>
      </w:pPr>
      <w:r w:rsidRPr="00431E6B">
        <w:rPr>
          <w:rFonts w:ascii="Garamond" w:hAnsi="Garamond"/>
          <w:bCs/>
          <w:iCs/>
          <w:sz w:val="20"/>
          <w:szCs w:val="20"/>
        </w:rPr>
        <w:t xml:space="preserve">Chang TI, </w:t>
      </w:r>
      <w:proofErr w:type="spellStart"/>
      <w:r w:rsidRPr="00431E6B">
        <w:rPr>
          <w:rFonts w:ascii="Garamond" w:hAnsi="Garamond"/>
          <w:bCs/>
          <w:iCs/>
          <w:sz w:val="20"/>
          <w:szCs w:val="20"/>
        </w:rPr>
        <w:t>Winkelmayer</w:t>
      </w:r>
      <w:proofErr w:type="spellEnd"/>
      <w:r w:rsidRPr="00431E6B">
        <w:rPr>
          <w:rFonts w:ascii="Garamond" w:hAnsi="Garamond"/>
          <w:bCs/>
          <w:iCs/>
          <w:sz w:val="20"/>
          <w:szCs w:val="20"/>
        </w:rPr>
        <w:t xml:space="preserve"> WC. Kidney disease and antihypertensive medication adherence: the need for improved measurement tools. Am J Kidney Dis. 2010;56(3):423-426.</w:t>
      </w:r>
    </w:p>
    <w:p w14:paraId="59A69435" w14:textId="77777777" w:rsidR="00B06F7D" w:rsidRPr="00431E6B" w:rsidRDefault="00B06F7D" w:rsidP="00B06F7D">
      <w:pPr>
        <w:numPr>
          <w:ilvl w:val="0"/>
          <w:numId w:val="26"/>
        </w:numPr>
        <w:rPr>
          <w:rFonts w:ascii="Garamond" w:hAnsi="Garamond"/>
          <w:bCs/>
          <w:iCs/>
          <w:sz w:val="20"/>
          <w:szCs w:val="20"/>
        </w:rPr>
      </w:pPr>
      <w:r w:rsidRPr="00431E6B">
        <w:rPr>
          <w:rFonts w:ascii="Garamond" w:hAnsi="Garamond"/>
          <w:bCs/>
          <w:iCs/>
          <w:sz w:val="20"/>
          <w:szCs w:val="20"/>
        </w:rPr>
        <w:t>Bidani AK, Griffin KA. Pathophysiology of hypertensive renal damage: implications for therapy. Hypertension. 2004;44(5):595-601.</w:t>
      </w:r>
    </w:p>
    <w:p w14:paraId="66909B3B" w14:textId="77777777" w:rsidR="00B06F7D" w:rsidRPr="00431E6B" w:rsidRDefault="00B06F7D" w:rsidP="00B06F7D">
      <w:pPr>
        <w:numPr>
          <w:ilvl w:val="0"/>
          <w:numId w:val="26"/>
        </w:numPr>
        <w:rPr>
          <w:rFonts w:ascii="Garamond" w:hAnsi="Garamond"/>
          <w:bCs/>
          <w:iCs/>
          <w:sz w:val="20"/>
          <w:szCs w:val="20"/>
        </w:rPr>
      </w:pPr>
      <w:r w:rsidRPr="00431E6B">
        <w:rPr>
          <w:rFonts w:ascii="Garamond" w:hAnsi="Garamond"/>
          <w:bCs/>
          <w:iCs/>
          <w:sz w:val="20"/>
          <w:szCs w:val="20"/>
        </w:rPr>
        <w:t xml:space="preserve">Kestenbaum B, </w:t>
      </w:r>
      <w:proofErr w:type="spellStart"/>
      <w:r w:rsidRPr="00431E6B">
        <w:rPr>
          <w:rFonts w:ascii="Garamond" w:hAnsi="Garamond"/>
          <w:bCs/>
          <w:iCs/>
          <w:sz w:val="20"/>
          <w:szCs w:val="20"/>
        </w:rPr>
        <w:t>Rudser</w:t>
      </w:r>
      <w:proofErr w:type="spellEnd"/>
      <w:r w:rsidRPr="00431E6B">
        <w:rPr>
          <w:rFonts w:ascii="Garamond" w:hAnsi="Garamond"/>
          <w:bCs/>
          <w:iCs/>
          <w:sz w:val="20"/>
          <w:szCs w:val="20"/>
        </w:rPr>
        <w:t xml:space="preserve"> KD, de Boer IH, Peralta CA, Fried LF, </w:t>
      </w:r>
      <w:proofErr w:type="spellStart"/>
      <w:r w:rsidRPr="00431E6B">
        <w:rPr>
          <w:rFonts w:ascii="Garamond" w:hAnsi="Garamond"/>
          <w:bCs/>
          <w:iCs/>
          <w:sz w:val="20"/>
          <w:szCs w:val="20"/>
        </w:rPr>
        <w:t>Shlipak</w:t>
      </w:r>
      <w:proofErr w:type="spellEnd"/>
      <w:r w:rsidRPr="00431E6B">
        <w:rPr>
          <w:rFonts w:ascii="Garamond" w:hAnsi="Garamond"/>
          <w:bCs/>
          <w:iCs/>
          <w:sz w:val="20"/>
          <w:szCs w:val="20"/>
        </w:rPr>
        <w:t xml:space="preserve"> MG, et al. Differences in kidney function and incident hypertension: the multi-ethnic study of atherosclerosis. Ann Intern Med. 2008;148(7):501-508.</w:t>
      </w:r>
    </w:p>
    <w:p w14:paraId="54A00870" w14:textId="77777777" w:rsidR="00B06F7D" w:rsidRPr="00431E6B" w:rsidRDefault="00B06F7D" w:rsidP="00B06F7D">
      <w:pPr>
        <w:numPr>
          <w:ilvl w:val="0"/>
          <w:numId w:val="26"/>
        </w:numPr>
        <w:rPr>
          <w:rFonts w:ascii="Garamond" w:hAnsi="Garamond"/>
          <w:bCs/>
          <w:iCs/>
          <w:sz w:val="20"/>
          <w:szCs w:val="20"/>
        </w:rPr>
      </w:pPr>
      <w:r w:rsidRPr="00431E6B">
        <w:rPr>
          <w:rFonts w:ascii="Garamond" w:hAnsi="Garamond"/>
          <w:bCs/>
          <w:iCs/>
          <w:sz w:val="20"/>
          <w:szCs w:val="20"/>
        </w:rPr>
        <w:t>Muntner P, Anderson A, Charleston J, Chen Z, Ford V, Makos G, et al. Hypertension awareness, treatment, and control in adults with CKD: results from the chronic renal insufficiency cohort (CRIC) study. Am J Kidney Dis. 2010;55(3):441-451.</w:t>
      </w:r>
    </w:p>
    <w:p w14:paraId="1A70A102" w14:textId="77777777" w:rsidR="00B06F7D" w:rsidRPr="00431E6B" w:rsidRDefault="00B06F7D" w:rsidP="00B06F7D">
      <w:pPr>
        <w:numPr>
          <w:ilvl w:val="0"/>
          <w:numId w:val="26"/>
        </w:numPr>
        <w:rPr>
          <w:rFonts w:ascii="Garamond" w:hAnsi="Garamond"/>
          <w:bCs/>
          <w:iCs/>
          <w:sz w:val="20"/>
          <w:szCs w:val="20"/>
        </w:rPr>
      </w:pPr>
      <w:r w:rsidRPr="00431E6B">
        <w:rPr>
          <w:rFonts w:ascii="Garamond" w:hAnsi="Garamond"/>
          <w:bCs/>
          <w:iCs/>
          <w:sz w:val="20"/>
          <w:szCs w:val="20"/>
        </w:rPr>
        <w:t xml:space="preserve">Pugh D, Gallacher PJ, </w:t>
      </w:r>
      <w:proofErr w:type="spellStart"/>
      <w:r w:rsidRPr="00431E6B">
        <w:rPr>
          <w:rFonts w:ascii="Garamond" w:hAnsi="Garamond"/>
          <w:bCs/>
          <w:iCs/>
          <w:sz w:val="20"/>
          <w:szCs w:val="20"/>
        </w:rPr>
        <w:t>Dhaun</w:t>
      </w:r>
      <w:proofErr w:type="spellEnd"/>
      <w:r w:rsidRPr="00431E6B">
        <w:rPr>
          <w:rFonts w:ascii="Garamond" w:hAnsi="Garamond"/>
          <w:bCs/>
          <w:iCs/>
          <w:sz w:val="20"/>
          <w:szCs w:val="20"/>
        </w:rPr>
        <w:t xml:space="preserve"> N. Management of hypertension in chronic kidney disease. Drugs. 2019;79(4):365-379.</w:t>
      </w:r>
    </w:p>
    <w:p w14:paraId="6DDD87EA" w14:textId="77777777" w:rsidR="00B06F7D" w:rsidRPr="00431E6B" w:rsidRDefault="00B06F7D" w:rsidP="00B06F7D">
      <w:pPr>
        <w:numPr>
          <w:ilvl w:val="0"/>
          <w:numId w:val="26"/>
        </w:numPr>
        <w:rPr>
          <w:rFonts w:ascii="Garamond" w:hAnsi="Garamond"/>
          <w:bCs/>
          <w:iCs/>
          <w:sz w:val="20"/>
          <w:szCs w:val="20"/>
        </w:rPr>
      </w:pPr>
      <w:proofErr w:type="spellStart"/>
      <w:r w:rsidRPr="00431E6B">
        <w:rPr>
          <w:rFonts w:ascii="Garamond" w:hAnsi="Garamond"/>
          <w:bCs/>
          <w:iCs/>
          <w:sz w:val="20"/>
          <w:szCs w:val="20"/>
        </w:rPr>
        <w:t>Burnier</w:t>
      </w:r>
      <w:proofErr w:type="spellEnd"/>
      <w:r w:rsidRPr="00431E6B">
        <w:rPr>
          <w:rFonts w:ascii="Garamond" w:hAnsi="Garamond"/>
          <w:bCs/>
          <w:iCs/>
          <w:sz w:val="20"/>
          <w:szCs w:val="20"/>
        </w:rPr>
        <w:t xml:space="preserve"> M, </w:t>
      </w:r>
      <w:proofErr w:type="spellStart"/>
      <w:r w:rsidRPr="00431E6B">
        <w:rPr>
          <w:rFonts w:ascii="Garamond" w:hAnsi="Garamond"/>
          <w:bCs/>
          <w:iCs/>
          <w:sz w:val="20"/>
          <w:szCs w:val="20"/>
        </w:rPr>
        <w:t>Pruijm</w:t>
      </w:r>
      <w:proofErr w:type="spellEnd"/>
      <w:r w:rsidRPr="00431E6B">
        <w:rPr>
          <w:rFonts w:ascii="Garamond" w:hAnsi="Garamond"/>
          <w:bCs/>
          <w:iCs/>
          <w:sz w:val="20"/>
          <w:szCs w:val="20"/>
        </w:rPr>
        <w:t xml:space="preserve"> M, </w:t>
      </w:r>
      <w:proofErr w:type="spellStart"/>
      <w:r w:rsidRPr="00431E6B">
        <w:rPr>
          <w:rFonts w:ascii="Garamond" w:hAnsi="Garamond"/>
          <w:bCs/>
          <w:iCs/>
          <w:sz w:val="20"/>
          <w:szCs w:val="20"/>
        </w:rPr>
        <w:t>Wuerzner</w:t>
      </w:r>
      <w:proofErr w:type="spellEnd"/>
      <w:r w:rsidRPr="00431E6B">
        <w:rPr>
          <w:rFonts w:ascii="Garamond" w:hAnsi="Garamond"/>
          <w:bCs/>
          <w:iCs/>
          <w:sz w:val="20"/>
          <w:szCs w:val="20"/>
        </w:rPr>
        <w:t xml:space="preserve"> G, Santschi V. Drug adherence in chronic kidney diseases and dialysis. Nephrol Dial Transplant. 2015;30(1):39-44.</w:t>
      </w:r>
    </w:p>
    <w:p w14:paraId="66B41311" w14:textId="77777777" w:rsidR="00B06F7D" w:rsidRPr="00431E6B" w:rsidRDefault="00B06F7D" w:rsidP="00B06F7D">
      <w:pPr>
        <w:numPr>
          <w:ilvl w:val="0"/>
          <w:numId w:val="26"/>
        </w:numPr>
        <w:rPr>
          <w:rFonts w:ascii="Garamond" w:hAnsi="Garamond"/>
          <w:bCs/>
          <w:iCs/>
          <w:sz w:val="20"/>
          <w:szCs w:val="20"/>
        </w:rPr>
      </w:pPr>
      <w:r w:rsidRPr="00431E6B">
        <w:rPr>
          <w:rFonts w:ascii="Garamond" w:hAnsi="Garamond"/>
          <w:bCs/>
          <w:iCs/>
          <w:sz w:val="20"/>
          <w:szCs w:val="20"/>
        </w:rPr>
        <w:t>Mechta Nielsen T, Frøjk Juhl M, Feldt-Rasmussen B, Thomsen T. Adherence to medication in patients with chronic kidney disease: a systematic review of qualitative research. Clin Kidney J. 2018;11(4):513-527.</w:t>
      </w:r>
    </w:p>
    <w:p w14:paraId="254C6525" w14:textId="77777777" w:rsidR="00B06F7D" w:rsidRPr="00431E6B" w:rsidRDefault="00B06F7D" w:rsidP="00B06F7D">
      <w:pPr>
        <w:numPr>
          <w:ilvl w:val="0"/>
          <w:numId w:val="26"/>
        </w:numPr>
        <w:rPr>
          <w:rFonts w:ascii="Garamond" w:hAnsi="Garamond"/>
          <w:bCs/>
          <w:iCs/>
          <w:sz w:val="20"/>
          <w:szCs w:val="20"/>
        </w:rPr>
      </w:pPr>
      <w:proofErr w:type="spellStart"/>
      <w:r w:rsidRPr="00431E6B">
        <w:rPr>
          <w:rFonts w:ascii="Garamond" w:hAnsi="Garamond"/>
          <w:bCs/>
          <w:iCs/>
          <w:sz w:val="20"/>
          <w:szCs w:val="20"/>
        </w:rPr>
        <w:t>Braimoh</w:t>
      </w:r>
      <w:proofErr w:type="spellEnd"/>
      <w:r w:rsidRPr="00431E6B">
        <w:rPr>
          <w:rFonts w:ascii="Garamond" w:hAnsi="Garamond"/>
          <w:bCs/>
          <w:iCs/>
          <w:sz w:val="20"/>
          <w:szCs w:val="20"/>
        </w:rPr>
        <w:t xml:space="preserve"> R, Busari A, </w:t>
      </w:r>
      <w:proofErr w:type="spellStart"/>
      <w:r w:rsidRPr="00431E6B">
        <w:rPr>
          <w:rFonts w:ascii="Garamond" w:hAnsi="Garamond"/>
          <w:bCs/>
          <w:iCs/>
          <w:sz w:val="20"/>
          <w:szCs w:val="20"/>
        </w:rPr>
        <w:t>Akinyede</w:t>
      </w:r>
      <w:proofErr w:type="spellEnd"/>
      <w:r w:rsidRPr="00431E6B">
        <w:rPr>
          <w:rFonts w:ascii="Garamond" w:hAnsi="Garamond"/>
          <w:bCs/>
          <w:iCs/>
          <w:sz w:val="20"/>
          <w:szCs w:val="20"/>
        </w:rPr>
        <w:t xml:space="preserve"> A, </w:t>
      </w:r>
      <w:proofErr w:type="spellStart"/>
      <w:r w:rsidRPr="00431E6B">
        <w:rPr>
          <w:rFonts w:ascii="Garamond" w:hAnsi="Garamond"/>
          <w:bCs/>
          <w:iCs/>
          <w:sz w:val="20"/>
          <w:szCs w:val="20"/>
        </w:rPr>
        <w:t>Ogunsakin</w:t>
      </w:r>
      <w:proofErr w:type="spellEnd"/>
      <w:r w:rsidRPr="00431E6B">
        <w:rPr>
          <w:rFonts w:ascii="Garamond" w:hAnsi="Garamond"/>
          <w:bCs/>
          <w:iCs/>
          <w:sz w:val="20"/>
          <w:szCs w:val="20"/>
        </w:rPr>
        <w:t xml:space="preserve"> A, Olayemi S. Assessment of factors affecting treatment adherence in patients with chronic kidney disease in Nigeria: a survey from a tertiary health-care </w:t>
      </w:r>
      <w:proofErr w:type="spellStart"/>
      <w:r w:rsidRPr="00431E6B">
        <w:rPr>
          <w:rFonts w:ascii="Garamond" w:hAnsi="Garamond"/>
          <w:bCs/>
          <w:iCs/>
          <w:sz w:val="20"/>
          <w:szCs w:val="20"/>
        </w:rPr>
        <w:t>centre</w:t>
      </w:r>
      <w:proofErr w:type="spellEnd"/>
      <w:r w:rsidRPr="00431E6B">
        <w:rPr>
          <w:rFonts w:ascii="Garamond" w:hAnsi="Garamond"/>
          <w:bCs/>
          <w:iCs/>
          <w:sz w:val="20"/>
          <w:szCs w:val="20"/>
        </w:rPr>
        <w:t>. Niger J Med. 2023;32(1):49-55.</w:t>
      </w:r>
    </w:p>
    <w:p w14:paraId="7ED0FA7B" w14:textId="77777777" w:rsidR="00B06F7D" w:rsidRPr="00431E6B" w:rsidRDefault="00B06F7D" w:rsidP="00B06F7D">
      <w:pPr>
        <w:numPr>
          <w:ilvl w:val="0"/>
          <w:numId w:val="26"/>
        </w:numPr>
        <w:rPr>
          <w:rFonts w:ascii="Garamond" w:hAnsi="Garamond"/>
          <w:bCs/>
          <w:iCs/>
          <w:sz w:val="20"/>
          <w:szCs w:val="20"/>
        </w:rPr>
      </w:pPr>
      <w:r w:rsidRPr="00431E6B">
        <w:rPr>
          <w:rFonts w:ascii="Garamond" w:hAnsi="Garamond"/>
          <w:bCs/>
          <w:iCs/>
          <w:sz w:val="20"/>
          <w:szCs w:val="20"/>
        </w:rPr>
        <w:t xml:space="preserve">Timothy E, Blessing A. Adherence to </w:t>
      </w:r>
      <w:proofErr w:type="spellStart"/>
      <w:r w:rsidRPr="00431E6B">
        <w:rPr>
          <w:rFonts w:ascii="Garamond" w:hAnsi="Garamond"/>
          <w:bCs/>
          <w:iCs/>
          <w:sz w:val="20"/>
          <w:szCs w:val="20"/>
        </w:rPr>
        <w:t>haemodialysis</w:t>
      </w:r>
      <w:proofErr w:type="spellEnd"/>
      <w:r w:rsidRPr="00431E6B">
        <w:rPr>
          <w:rFonts w:ascii="Garamond" w:hAnsi="Garamond"/>
          <w:bCs/>
          <w:iCs/>
          <w:sz w:val="20"/>
          <w:szCs w:val="20"/>
        </w:rPr>
        <w:t xml:space="preserve"> among chronic renal failure patients of a tertiary health facility, Benin City, Edo State. Borno Med J. </w:t>
      </w:r>
      <w:proofErr w:type="gramStart"/>
      <w:r w:rsidRPr="00431E6B">
        <w:rPr>
          <w:rFonts w:ascii="Garamond" w:hAnsi="Garamond"/>
          <w:bCs/>
          <w:iCs/>
          <w:sz w:val="20"/>
          <w:szCs w:val="20"/>
        </w:rPr>
        <w:t>2021;18:1</w:t>
      </w:r>
      <w:proofErr w:type="gramEnd"/>
      <w:r w:rsidRPr="00431E6B">
        <w:rPr>
          <w:rFonts w:ascii="Garamond" w:hAnsi="Garamond"/>
          <w:bCs/>
          <w:iCs/>
          <w:sz w:val="20"/>
          <w:szCs w:val="20"/>
        </w:rPr>
        <w:t>-10.</w:t>
      </w:r>
    </w:p>
    <w:p w14:paraId="322629CF" w14:textId="77777777" w:rsidR="00B06F7D" w:rsidRPr="00431E6B" w:rsidRDefault="00B06F7D" w:rsidP="00B06F7D">
      <w:pPr>
        <w:numPr>
          <w:ilvl w:val="0"/>
          <w:numId w:val="26"/>
        </w:numPr>
        <w:rPr>
          <w:rFonts w:ascii="Garamond" w:hAnsi="Garamond"/>
          <w:bCs/>
          <w:iCs/>
          <w:sz w:val="20"/>
          <w:szCs w:val="20"/>
        </w:rPr>
      </w:pPr>
      <w:r w:rsidRPr="00431E6B">
        <w:rPr>
          <w:rFonts w:ascii="Garamond" w:hAnsi="Garamond"/>
          <w:bCs/>
          <w:iCs/>
          <w:sz w:val="20"/>
          <w:szCs w:val="20"/>
        </w:rPr>
        <w:t xml:space="preserve">Tesfaye WH, McKercher C, Peterson GM, Castelino RL, Jose M, Zaidi STR, et al. Medication adherence, burden and health-related quality of life in adults with </w:t>
      </w:r>
      <w:proofErr w:type="spellStart"/>
      <w:r w:rsidRPr="00431E6B">
        <w:rPr>
          <w:rFonts w:ascii="Garamond" w:hAnsi="Garamond"/>
          <w:bCs/>
          <w:iCs/>
          <w:sz w:val="20"/>
          <w:szCs w:val="20"/>
        </w:rPr>
        <w:t>predialysis</w:t>
      </w:r>
      <w:proofErr w:type="spellEnd"/>
      <w:r w:rsidRPr="00431E6B">
        <w:rPr>
          <w:rFonts w:ascii="Garamond" w:hAnsi="Garamond"/>
          <w:bCs/>
          <w:iCs/>
          <w:sz w:val="20"/>
          <w:szCs w:val="20"/>
        </w:rPr>
        <w:t xml:space="preserve"> chronic kidney disease: a prospective cohort study. Int J Environ Res Public Health. 2020;17(1):371.</w:t>
      </w:r>
    </w:p>
    <w:p w14:paraId="7D1EBE0A" w14:textId="77777777" w:rsidR="00B06F7D" w:rsidRPr="00431E6B" w:rsidRDefault="00B06F7D" w:rsidP="00B06F7D">
      <w:pPr>
        <w:numPr>
          <w:ilvl w:val="0"/>
          <w:numId w:val="26"/>
        </w:numPr>
        <w:rPr>
          <w:rFonts w:ascii="Garamond" w:hAnsi="Garamond"/>
          <w:bCs/>
          <w:iCs/>
          <w:sz w:val="20"/>
          <w:szCs w:val="20"/>
        </w:rPr>
      </w:pPr>
      <w:r w:rsidRPr="00431E6B">
        <w:rPr>
          <w:rFonts w:ascii="Garamond" w:hAnsi="Garamond"/>
          <w:bCs/>
          <w:iCs/>
          <w:sz w:val="20"/>
          <w:szCs w:val="20"/>
        </w:rPr>
        <w:t xml:space="preserve">Briggs D, </w:t>
      </w:r>
      <w:proofErr w:type="spellStart"/>
      <w:r w:rsidRPr="00431E6B">
        <w:rPr>
          <w:rFonts w:ascii="Garamond" w:hAnsi="Garamond"/>
          <w:bCs/>
          <w:iCs/>
          <w:sz w:val="20"/>
          <w:szCs w:val="20"/>
        </w:rPr>
        <w:t>Eleki</w:t>
      </w:r>
      <w:proofErr w:type="spellEnd"/>
      <w:r w:rsidRPr="00431E6B">
        <w:rPr>
          <w:rFonts w:ascii="Garamond" w:hAnsi="Garamond"/>
          <w:bCs/>
          <w:iCs/>
          <w:sz w:val="20"/>
          <w:szCs w:val="20"/>
        </w:rPr>
        <w:t xml:space="preserve"> B, Wesley O, </w:t>
      </w:r>
      <w:proofErr w:type="spellStart"/>
      <w:r w:rsidRPr="00431E6B">
        <w:rPr>
          <w:rFonts w:ascii="Garamond" w:hAnsi="Garamond"/>
          <w:bCs/>
          <w:iCs/>
          <w:sz w:val="20"/>
          <w:szCs w:val="20"/>
        </w:rPr>
        <w:t>Ibifubara</w:t>
      </w:r>
      <w:proofErr w:type="spellEnd"/>
      <w:r w:rsidRPr="00431E6B">
        <w:rPr>
          <w:rFonts w:ascii="Garamond" w:hAnsi="Garamond"/>
          <w:bCs/>
          <w:iCs/>
          <w:sz w:val="20"/>
          <w:szCs w:val="20"/>
        </w:rPr>
        <w:t xml:space="preserve"> N, </w:t>
      </w:r>
      <w:proofErr w:type="spellStart"/>
      <w:r w:rsidRPr="00431E6B">
        <w:rPr>
          <w:rFonts w:ascii="Garamond" w:hAnsi="Garamond"/>
          <w:bCs/>
          <w:iCs/>
          <w:sz w:val="20"/>
          <w:szCs w:val="20"/>
        </w:rPr>
        <w:t>Ibinabo</w:t>
      </w:r>
      <w:proofErr w:type="spellEnd"/>
      <w:r w:rsidRPr="00431E6B">
        <w:rPr>
          <w:rFonts w:ascii="Garamond" w:hAnsi="Garamond"/>
          <w:bCs/>
          <w:iCs/>
          <w:sz w:val="20"/>
          <w:szCs w:val="20"/>
        </w:rPr>
        <w:t xml:space="preserve"> M, Michael P. Prevalence and risk factors of chronic kidney disease among nonclinical healthcare providers at Rivers State University Teaching Hospital, Port Harcourt, Nigeria. 2023; 6:20-30.</w:t>
      </w:r>
    </w:p>
    <w:p w14:paraId="1F6D8FA7" w14:textId="77777777" w:rsidR="00B06F7D" w:rsidRPr="00431E6B" w:rsidRDefault="00B06F7D" w:rsidP="00B06F7D">
      <w:pPr>
        <w:numPr>
          <w:ilvl w:val="0"/>
          <w:numId w:val="26"/>
        </w:numPr>
        <w:rPr>
          <w:rFonts w:ascii="Garamond" w:hAnsi="Garamond"/>
          <w:bCs/>
          <w:iCs/>
          <w:sz w:val="20"/>
          <w:szCs w:val="20"/>
        </w:rPr>
      </w:pPr>
      <w:r w:rsidRPr="00431E6B">
        <w:rPr>
          <w:rFonts w:ascii="Garamond" w:hAnsi="Garamond"/>
          <w:bCs/>
          <w:iCs/>
          <w:sz w:val="20"/>
          <w:szCs w:val="20"/>
        </w:rPr>
        <w:t>Cochran WG. Sampling techniques. 2nd ed. New York: John Wiley &amp; Sons; 1977.</w:t>
      </w:r>
    </w:p>
    <w:p w14:paraId="492CC379" w14:textId="77777777" w:rsidR="00B06F7D" w:rsidRPr="00431E6B" w:rsidRDefault="00B06F7D" w:rsidP="00B06F7D">
      <w:pPr>
        <w:numPr>
          <w:ilvl w:val="0"/>
          <w:numId w:val="26"/>
        </w:numPr>
        <w:rPr>
          <w:rFonts w:ascii="Garamond" w:hAnsi="Garamond"/>
          <w:bCs/>
          <w:iCs/>
          <w:sz w:val="20"/>
          <w:szCs w:val="20"/>
        </w:rPr>
      </w:pPr>
      <w:r w:rsidRPr="00431E6B">
        <w:rPr>
          <w:rFonts w:ascii="Garamond" w:hAnsi="Garamond"/>
          <w:bCs/>
          <w:iCs/>
          <w:sz w:val="20"/>
          <w:szCs w:val="20"/>
        </w:rPr>
        <w:t>Rivera E, Clark-Cutaia MN, Schrauben SJ, Townsend RR, Lash JP, Hannan M, et al. Treatment adherence in CKD and support from health care providers: a qualitative study. Kidney Med. 2022;4(11):100545.</w:t>
      </w:r>
    </w:p>
    <w:p w14:paraId="5553CF93" w14:textId="77777777" w:rsidR="00B06F7D" w:rsidRPr="00431E6B" w:rsidRDefault="00B06F7D" w:rsidP="00B06F7D">
      <w:pPr>
        <w:numPr>
          <w:ilvl w:val="0"/>
          <w:numId w:val="26"/>
        </w:numPr>
        <w:rPr>
          <w:rFonts w:ascii="Garamond" w:hAnsi="Garamond"/>
          <w:bCs/>
          <w:iCs/>
          <w:sz w:val="20"/>
          <w:szCs w:val="20"/>
        </w:rPr>
      </w:pPr>
      <w:r w:rsidRPr="00431E6B">
        <w:rPr>
          <w:rFonts w:ascii="Garamond" w:hAnsi="Garamond"/>
          <w:bCs/>
          <w:iCs/>
          <w:sz w:val="20"/>
          <w:szCs w:val="20"/>
        </w:rPr>
        <w:t xml:space="preserve">Clark-Cutaia MN, Rivera E, </w:t>
      </w:r>
      <w:proofErr w:type="spellStart"/>
      <w:r w:rsidRPr="00431E6B">
        <w:rPr>
          <w:rFonts w:ascii="Garamond" w:hAnsi="Garamond"/>
          <w:bCs/>
          <w:iCs/>
          <w:sz w:val="20"/>
          <w:szCs w:val="20"/>
        </w:rPr>
        <w:t>Iroegbu</w:t>
      </w:r>
      <w:proofErr w:type="spellEnd"/>
      <w:r w:rsidRPr="00431E6B">
        <w:rPr>
          <w:rFonts w:ascii="Garamond" w:hAnsi="Garamond"/>
          <w:bCs/>
          <w:iCs/>
          <w:sz w:val="20"/>
          <w:szCs w:val="20"/>
        </w:rPr>
        <w:t xml:space="preserve"> C, Squires A. Disparities in chronic kidney disease: the state of the evidence. Curr </w:t>
      </w:r>
      <w:proofErr w:type="spellStart"/>
      <w:r w:rsidRPr="00431E6B">
        <w:rPr>
          <w:rFonts w:ascii="Garamond" w:hAnsi="Garamond"/>
          <w:bCs/>
          <w:iCs/>
          <w:sz w:val="20"/>
          <w:szCs w:val="20"/>
        </w:rPr>
        <w:t>Opin</w:t>
      </w:r>
      <w:proofErr w:type="spellEnd"/>
      <w:r w:rsidRPr="00431E6B">
        <w:rPr>
          <w:rFonts w:ascii="Garamond" w:hAnsi="Garamond"/>
          <w:bCs/>
          <w:iCs/>
          <w:sz w:val="20"/>
          <w:szCs w:val="20"/>
        </w:rPr>
        <w:t xml:space="preserve"> Nephrol </w:t>
      </w:r>
      <w:proofErr w:type="spellStart"/>
      <w:r w:rsidRPr="00431E6B">
        <w:rPr>
          <w:rFonts w:ascii="Garamond" w:hAnsi="Garamond"/>
          <w:bCs/>
          <w:iCs/>
          <w:sz w:val="20"/>
          <w:szCs w:val="20"/>
        </w:rPr>
        <w:t>Hypertens</w:t>
      </w:r>
      <w:proofErr w:type="spellEnd"/>
      <w:r w:rsidRPr="00431E6B">
        <w:rPr>
          <w:rFonts w:ascii="Garamond" w:hAnsi="Garamond"/>
          <w:bCs/>
          <w:iCs/>
          <w:sz w:val="20"/>
          <w:szCs w:val="20"/>
        </w:rPr>
        <w:t>. 2021;30(2):208-214.</w:t>
      </w:r>
    </w:p>
    <w:p w14:paraId="0B4F1359" w14:textId="77777777" w:rsidR="00B06F7D" w:rsidRPr="00431E6B" w:rsidRDefault="00B06F7D" w:rsidP="00B06F7D">
      <w:pPr>
        <w:numPr>
          <w:ilvl w:val="0"/>
          <w:numId w:val="26"/>
        </w:numPr>
        <w:rPr>
          <w:rFonts w:ascii="Garamond" w:hAnsi="Garamond"/>
          <w:bCs/>
          <w:iCs/>
          <w:sz w:val="20"/>
          <w:szCs w:val="20"/>
        </w:rPr>
      </w:pPr>
      <w:r w:rsidRPr="00431E6B">
        <w:rPr>
          <w:rFonts w:ascii="Garamond" w:hAnsi="Garamond"/>
          <w:bCs/>
          <w:iCs/>
          <w:sz w:val="20"/>
          <w:szCs w:val="20"/>
        </w:rPr>
        <w:t xml:space="preserve">Saran R, Robinson B, Abbott KC, </w:t>
      </w:r>
      <w:proofErr w:type="spellStart"/>
      <w:r w:rsidRPr="00431E6B">
        <w:rPr>
          <w:rFonts w:ascii="Garamond" w:hAnsi="Garamond"/>
          <w:bCs/>
          <w:iCs/>
          <w:sz w:val="20"/>
          <w:szCs w:val="20"/>
        </w:rPr>
        <w:t>Agodoa</w:t>
      </w:r>
      <w:proofErr w:type="spellEnd"/>
      <w:r w:rsidRPr="00431E6B">
        <w:rPr>
          <w:rFonts w:ascii="Garamond" w:hAnsi="Garamond"/>
          <w:bCs/>
          <w:iCs/>
          <w:sz w:val="20"/>
          <w:szCs w:val="20"/>
        </w:rPr>
        <w:t xml:space="preserve"> LYC, Bragg-Gresham J, </w:t>
      </w:r>
      <w:proofErr w:type="spellStart"/>
      <w:r w:rsidRPr="00431E6B">
        <w:rPr>
          <w:rFonts w:ascii="Garamond" w:hAnsi="Garamond"/>
          <w:bCs/>
          <w:iCs/>
          <w:sz w:val="20"/>
          <w:szCs w:val="20"/>
        </w:rPr>
        <w:t>Balkrishnan</w:t>
      </w:r>
      <w:proofErr w:type="spellEnd"/>
      <w:r w:rsidRPr="00431E6B">
        <w:rPr>
          <w:rFonts w:ascii="Garamond" w:hAnsi="Garamond"/>
          <w:bCs/>
          <w:iCs/>
          <w:sz w:val="20"/>
          <w:szCs w:val="20"/>
        </w:rPr>
        <w:t xml:space="preserve"> R, et al. US renal data system 2018 annual data report: epidemiology of kidney disease in the United States. Am J Kidney Dis. 2019;73(3): A7-A8.</w:t>
      </w:r>
    </w:p>
    <w:p w14:paraId="73A5E1BF" w14:textId="77777777" w:rsidR="00B06F7D" w:rsidRPr="00431E6B" w:rsidRDefault="00B06F7D" w:rsidP="00B06F7D">
      <w:pPr>
        <w:numPr>
          <w:ilvl w:val="0"/>
          <w:numId w:val="26"/>
        </w:numPr>
        <w:rPr>
          <w:rFonts w:ascii="Garamond" w:hAnsi="Garamond"/>
          <w:bCs/>
          <w:iCs/>
          <w:sz w:val="20"/>
          <w:szCs w:val="20"/>
        </w:rPr>
      </w:pPr>
      <w:r w:rsidRPr="00431E6B">
        <w:rPr>
          <w:rFonts w:ascii="Garamond" w:hAnsi="Garamond"/>
          <w:bCs/>
          <w:iCs/>
          <w:sz w:val="20"/>
          <w:szCs w:val="20"/>
        </w:rPr>
        <w:t>Levin A, Stevens PE. Summary of KDIGO 2012 CKD guideline: behind the scenes, need for guidance, and a framework for moving forward. Kidney Int. 2014;85(1):49-61.</w:t>
      </w:r>
    </w:p>
    <w:p w14:paraId="3DD240DE" w14:textId="77777777" w:rsidR="00B06F7D" w:rsidRPr="00431E6B" w:rsidRDefault="00B06F7D" w:rsidP="00B06F7D">
      <w:pPr>
        <w:numPr>
          <w:ilvl w:val="0"/>
          <w:numId w:val="26"/>
        </w:numPr>
        <w:rPr>
          <w:rFonts w:ascii="Garamond" w:hAnsi="Garamond"/>
          <w:bCs/>
          <w:iCs/>
          <w:sz w:val="20"/>
          <w:szCs w:val="20"/>
        </w:rPr>
      </w:pPr>
      <w:r w:rsidRPr="00431E6B">
        <w:rPr>
          <w:rFonts w:ascii="Garamond" w:hAnsi="Garamond"/>
          <w:bCs/>
          <w:iCs/>
          <w:sz w:val="20"/>
          <w:szCs w:val="20"/>
        </w:rPr>
        <w:t xml:space="preserve">Okoro RN, </w:t>
      </w:r>
      <w:proofErr w:type="spellStart"/>
      <w:r w:rsidRPr="00431E6B">
        <w:rPr>
          <w:rFonts w:ascii="Garamond" w:hAnsi="Garamond"/>
          <w:bCs/>
          <w:iCs/>
          <w:sz w:val="20"/>
          <w:szCs w:val="20"/>
        </w:rPr>
        <w:t>Ummate</w:t>
      </w:r>
      <w:proofErr w:type="spellEnd"/>
      <w:r w:rsidRPr="00431E6B">
        <w:rPr>
          <w:rFonts w:ascii="Garamond" w:hAnsi="Garamond"/>
          <w:bCs/>
          <w:iCs/>
          <w:sz w:val="20"/>
          <w:szCs w:val="20"/>
        </w:rPr>
        <w:t xml:space="preserve"> I, </w:t>
      </w:r>
      <w:proofErr w:type="spellStart"/>
      <w:r w:rsidRPr="00431E6B">
        <w:rPr>
          <w:rFonts w:ascii="Garamond" w:hAnsi="Garamond"/>
          <w:bCs/>
          <w:iCs/>
          <w:sz w:val="20"/>
          <w:szCs w:val="20"/>
        </w:rPr>
        <w:t>Ohieku</w:t>
      </w:r>
      <w:proofErr w:type="spellEnd"/>
      <w:r w:rsidRPr="00431E6B">
        <w:rPr>
          <w:rFonts w:ascii="Garamond" w:hAnsi="Garamond"/>
          <w:bCs/>
          <w:iCs/>
          <w:sz w:val="20"/>
          <w:szCs w:val="20"/>
        </w:rPr>
        <w:t xml:space="preserve"> JD, Yakubu SI, </w:t>
      </w:r>
      <w:proofErr w:type="spellStart"/>
      <w:r w:rsidRPr="00431E6B">
        <w:rPr>
          <w:rFonts w:ascii="Garamond" w:hAnsi="Garamond"/>
          <w:bCs/>
          <w:iCs/>
          <w:sz w:val="20"/>
          <w:szCs w:val="20"/>
        </w:rPr>
        <w:t>Adibe</w:t>
      </w:r>
      <w:proofErr w:type="spellEnd"/>
      <w:r w:rsidRPr="00431E6B">
        <w:rPr>
          <w:rFonts w:ascii="Garamond" w:hAnsi="Garamond"/>
          <w:bCs/>
          <w:iCs/>
          <w:sz w:val="20"/>
          <w:szCs w:val="20"/>
        </w:rPr>
        <w:t xml:space="preserve"> MO, </w:t>
      </w:r>
      <w:proofErr w:type="spellStart"/>
      <w:r w:rsidRPr="00431E6B">
        <w:rPr>
          <w:rFonts w:ascii="Garamond" w:hAnsi="Garamond"/>
          <w:bCs/>
          <w:iCs/>
          <w:sz w:val="20"/>
          <w:szCs w:val="20"/>
        </w:rPr>
        <w:t>Okonta</w:t>
      </w:r>
      <w:proofErr w:type="spellEnd"/>
      <w:r w:rsidRPr="00431E6B">
        <w:rPr>
          <w:rFonts w:ascii="Garamond" w:hAnsi="Garamond"/>
          <w:bCs/>
          <w:iCs/>
          <w:sz w:val="20"/>
          <w:szCs w:val="20"/>
        </w:rPr>
        <w:t xml:space="preserve"> MJ. Evaluation of medication adherence and predictors of sub-optimal adherence among pre-dialysis patients with chronic kidney disease. Med Access Point Care. 2020; 4:2399202620954089.</w:t>
      </w:r>
    </w:p>
    <w:p w14:paraId="460F4E74" w14:textId="77777777" w:rsidR="00B06F7D" w:rsidRPr="00431E6B" w:rsidRDefault="00B06F7D" w:rsidP="00B06F7D">
      <w:pPr>
        <w:numPr>
          <w:ilvl w:val="0"/>
          <w:numId w:val="26"/>
        </w:numPr>
        <w:rPr>
          <w:rFonts w:ascii="Garamond" w:hAnsi="Garamond"/>
          <w:bCs/>
          <w:iCs/>
          <w:sz w:val="20"/>
          <w:szCs w:val="20"/>
        </w:rPr>
      </w:pPr>
      <w:r w:rsidRPr="00431E6B">
        <w:rPr>
          <w:rFonts w:ascii="Garamond" w:hAnsi="Garamond"/>
          <w:bCs/>
          <w:iCs/>
          <w:sz w:val="20"/>
          <w:szCs w:val="20"/>
        </w:rPr>
        <w:lastRenderedPageBreak/>
        <w:t xml:space="preserve">Legesse ES, Muhammed OS, Hamza L, Nasir BB, Nedi T. Medication-related problems among ambulatory patients with chronic kidney disease at St. Paul’s Hospital Millennium Medical College, Addis Ababa, Ethiopia. </w:t>
      </w:r>
      <w:proofErr w:type="spellStart"/>
      <w:r w:rsidRPr="00431E6B">
        <w:rPr>
          <w:rFonts w:ascii="Garamond" w:hAnsi="Garamond"/>
          <w:bCs/>
          <w:iCs/>
          <w:sz w:val="20"/>
          <w:szCs w:val="20"/>
        </w:rPr>
        <w:t>PLoS</w:t>
      </w:r>
      <w:proofErr w:type="spellEnd"/>
      <w:r w:rsidRPr="00431E6B">
        <w:rPr>
          <w:rFonts w:ascii="Garamond" w:hAnsi="Garamond"/>
          <w:bCs/>
          <w:iCs/>
          <w:sz w:val="20"/>
          <w:szCs w:val="20"/>
        </w:rPr>
        <w:t xml:space="preserve"> One. 2022;17(12</w:t>
      </w:r>
      <w:proofErr w:type="gramStart"/>
      <w:r w:rsidRPr="00431E6B">
        <w:rPr>
          <w:rFonts w:ascii="Garamond" w:hAnsi="Garamond"/>
          <w:bCs/>
          <w:iCs/>
          <w:sz w:val="20"/>
          <w:szCs w:val="20"/>
        </w:rPr>
        <w:t>):e</w:t>
      </w:r>
      <w:proofErr w:type="gramEnd"/>
      <w:r w:rsidRPr="00431E6B">
        <w:rPr>
          <w:rFonts w:ascii="Garamond" w:hAnsi="Garamond"/>
          <w:bCs/>
          <w:iCs/>
          <w:sz w:val="20"/>
          <w:szCs w:val="20"/>
        </w:rPr>
        <w:t>0278563.</w:t>
      </w:r>
    </w:p>
    <w:p w14:paraId="54418EC2" w14:textId="77777777" w:rsidR="00B06F7D" w:rsidRPr="00431E6B" w:rsidRDefault="00B06F7D" w:rsidP="00B06F7D">
      <w:pPr>
        <w:numPr>
          <w:ilvl w:val="0"/>
          <w:numId w:val="26"/>
        </w:numPr>
        <w:rPr>
          <w:rFonts w:ascii="Garamond" w:hAnsi="Garamond"/>
          <w:bCs/>
          <w:iCs/>
          <w:sz w:val="20"/>
          <w:szCs w:val="20"/>
        </w:rPr>
      </w:pPr>
      <w:r w:rsidRPr="00431E6B">
        <w:rPr>
          <w:rFonts w:ascii="Garamond" w:hAnsi="Garamond"/>
          <w:bCs/>
          <w:iCs/>
          <w:sz w:val="20"/>
          <w:szCs w:val="20"/>
        </w:rPr>
        <w:t xml:space="preserve">Tesfaye WH, </w:t>
      </w:r>
      <w:proofErr w:type="spellStart"/>
      <w:r w:rsidRPr="00431E6B">
        <w:rPr>
          <w:rFonts w:ascii="Garamond" w:hAnsi="Garamond"/>
          <w:bCs/>
          <w:iCs/>
          <w:sz w:val="20"/>
          <w:szCs w:val="20"/>
        </w:rPr>
        <w:t>Erku</w:t>
      </w:r>
      <w:proofErr w:type="spellEnd"/>
      <w:r w:rsidRPr="00431E6B">
        <w:rPr>
          <w:rFonts w:ascii="Garamond" w:hAnsi="Garamond"/>
          <w:bCs/>
          <w:iCs/>
          <w:sz w:val="20"/>
          <w:szCs w:val="20"/>
        </w:rPr>
        <w:t xml:space="preserve"> D, Mekonnen A, Tefera YG, Castelino R, Sud K, et al. Medication non-adherence in chronic kidney disease: a mixed-methods review and synthesis using the theoretical domains framework and the </w:t>
      </w:r>
      <w:proofErr w:type="spellStart"/>
      <w:r w:rsidRPr="00431E6B">
        <w:rPr>
          <w:rFonts w:ascii="Garamond" w:hAnsi="Garamond"/>
          <w:bCs/>
          <w:iCs/>
          <w:sz w:val="20"/>
          <w:szCs w:val="20"/>
        </w:rPr>
        <w:t>behavioural</w:t>
      </w:r>
      <w:proofErr w:type="spellEnd"/>
      <w:r w:rsidRPr="00431E6B">
        <w:rPr>
          <w:rFonts w:ascii="Garamond" w:hAnsi="Garamond"/>
          <w:bCs/>
          <w:iCs/>
          <w:sz w:val="20"/>
          <w:szCs w:val="20"/>
        </w:rPr>
        <w:t xml:space="preserve"> change wheel. J Nephrol. 2021;34(4):1091-1125.</w:t>
      </w:r>
    </w:p>
    <w:p w14:paraId="720E816A" w14:textId="77777777" w:rsidR="00B06F7D" w:rsidRPr="00431E6B" w:rsidRDefault="00B06F7D" w:rsidP="00B06F7D">
      <w:pPr>
        <w:numPr>
          <w:ilvl w:val="0"/>
          <w:numId w:val="26"/>
        </w:numPr>
        <w:rPr>
          <w:rFonts w:ascii="Garamond" w:hAnsi="Garamond"/>
          <w:bCs/>
          <w:iCs/>
          <w:sz w:val="20"/>
          <w:szCs w:val="20"/>
        </w:rPr>
      </w:pPr>
      <w:r w:rsidRPr="00431E6B">
        <w:rPr>
          <w:rFonts w:ascii="Garamond" w:hAnsi="Garamond"/>
          <w:bCs/>
          <w:iCs/>
          <w:sz w:val="20"/>
          <w:szCs w:val="20"/>
        </w:rPr>
        <w:t xml:space="preserve">Hess S, De </w:t>
      </w:r>
      <w:proofErr w:type="spellStart"/>
      <w:r w:rsidRPr="00431E6B">
        <w:rPr>
          <w:rFonts w:ascii="Garamond" w:hAnsi="Garamond"/>
          <w:bCs/>
          <w:iCs/>
          <w:sz w:val="20"/>
          <w:szCs w:val="20"/>
        </w:rPr>
        <w:t>Geest</w:t>
      </w:r>
      <w:proofErr w:type="spellEnd"/>
      <w:r w:rsidRPr="00431E6B">
        <w:rPr>
          <w:rFonts w:ascii="Garamond" w:hAnsi="Garamond"/>
          <w:bCs/>
          <w:iCs/>
          <w:sz w:val="20"/>
          <w:szCs w:val="20"/>
        </w:rPr>
        <w:t xml:space="preserve"> S, Halter K, </w:t>
      </w:r>
      <w:proofErr w:type="spellStart"/>
      <w:r w:rsidRPr="00431E6B">
        <w:rPr>
          <w:rFonts w:ascii="Garamond" w:hAnsi="Garamond"/>
          <w:bCs/>
          <w:iCs/>
          <w:sz w:val="20"/>
          <w:szCs w:val="20"/>
        </w:rPr>
        <w:t>Dickenmann</w:t>
      </w:r>
      <w:proofErr w:type="spellEnd"/>
      <w:r w:rsidRPr="00431E6B">
        <w:rPr>
          <w:rFonts w:ascii="Garamond" w:hAnsi="Garamond"/>
          <w:bCs/>
          <w:iCs/>
          <w:sz w:val="20"/>
          <w:szCs w:val="20"/>
        </w:rPr>
        <w:t xml:space="preserve"> M, </w:t>
      </w:r>
      <w:proofErr w:type="spellStart"/>
      <w:r w:rsidRPr="00431E6B">
        <w:rPr>
          <w:rFonts w:ascii="Garamond" w:hAnsi="Garamond"/>
          <w:bCs/>
          <w:iCs/>
          <w:sz w:val="20"/>
          <w:szCs w:val="20"/>
        </w:rPr>
        <w:t>Denhaerynck</w:t>
      </w:r>
      <w:proofErr w:type="spellEnd"/>
      <w:r w:rsidRPr="00431E6B">
        <w:rPr>
          <w:rFonts w:ascii="Garamond" w:hAnsi="Garamond"/>
          <w:bCs/>
          <w:iCs/>
          <w:sz w:val="20"/>
          <w:szCs w:val="20"/>
        </w:rPr>
        <w:t xml:space="preserve"> K. Prevalence and correlates of selected alternative and complementary medicine in adult renal transplant patients. Clin Transplant. 2009;23(1):56-62.</w:t>
      </w:r>
    </w:p>
    <w:p w14:paraId="3187B0A7" w14:textId="77777777" w:rsidR="00B06F7D" w:rsidRPr="00431E6B" w:rsidRDefault="00B06F7D" w:rsidP="00B06F7D">
      <w:pPr>
        <w:numPr>
          <w:ilvl w:val="0"/>
          <w:numId w:val="26"/>
        </w:numPr>
        <w:rPr>
          <w:rFonts w:ascii="Garamond" w:hAnsi="Garamond"/>
          <w:bCs/>
          <w:iCs/>
          <w:sz w:val="20"/>
          <w:szCs w:val="20"/>
        </w:rPr>
      </w:pPr>
      <w:r w:rsidRPr="00431E6B">
        <w:rPr>
          <w:rFonts w:ascii="Garamond" w:hAnsi="Garamond"/>
          <w:bCs/>
          <w:iCs/>
          <w:sz w:val="20"/>
          <w:szCs w:val="20"/>
        </w:rPr>
        <w:t xml:space="preserve">Stanifer JW, </w:t>
      </w:r>
      <w:proofErr w:type="spellStart"/>
      <w:r w:rsidRPr="00431E6B">
        <w:rPr>
          <w:rFonts w:ascii="Garamond" w:hAnsi="Garamond"/>
          <w:bCs/>
          <w:iCs/>
          <w:sz w:val="20"/>
          <w:szCs w:val="20"/>
        </w:rPr>
        <w:t>Lunyera</w:t>
      </w:r>
      <w:proofErr w:type="spellEnd"/>
      <w:r w:rsidRPr="00431E6B">
        <w:rPr>
          <w:rFonts w:ascii="Garamond" w:hAnsi="Garamond"/>
          <w:bCs/>
          <w:iCs/>
          <w:sz w:val="20"/>
          <w:szCs w:val="20"/>
        </w:rPr>
        <w:t xml:space="preserve"> J, Boyd D, Karia F, Maro V, Omolo J, et al. Traditional medicine practices among community members with chronic kidney disease in northern Tanzania: an ethnomedical survey. BMC Nephrol. 2015;16(1):170.</w:t>
      </w:r>
    </w:p>
    <w:p w14:paraId="3D90B4C9" w14:textId="77777777" w:rsidR="00B06F7D" w:rsidRPr="00431E6B" w:rsidRDefault="00B06F7D" w:rsidP="00B06F7D">
      <w:pPr>
        <w:numPr>
          <w:ilvl w:val="0"/>
          <w:numId w:val="26"/>
        </w:numPr>
        <w:rPr>
          <w:rFonts w:ascii="Garamond" w:hAnsi="Garamond"/>
          <w:bCs/>
          <w:iCs/>
          <w:sz w:val="20"/>
          <w:szCs w:val="20"/>
        </w:rPr>
      </w:pPr>
      <w:proofErr w:type="spellStart"/>
      <w:r w:rsidRPr="00431E6B">
        <w:rPr>
          <w:rFonts w:ascii="Garamond" w:hAnsi="Garamond"/>
          <w:bCs/>
          <w:iCs/>
          <w:sz w:val="20"/>
          <w:szCs w:val="20"/>
        </w:rPr>
        <w:t>Afolaranmi</w:t>
      </w:r>
      <w:proofErr w:type="spellEnd"/>
      <w:r w:rsidRPr="00431E6B">
        <w:rPr>
          <w:rFonts w:ascii="Garamond" w:hAnsi="Garamond"/>
          <w:bCs/>
          <w:iCs/>
          <w:sz w:val="20"/>
          <w:szCs w:val="20"/>
        </w:rPr>
        <w:t xml:space="preserve"> TO, Hassan ZI, </w:t>
      </w:r>
      <w:proofErr w:type="spellStart"/>
      <w:r w:rsidRPr="00431E6B">
        <w:rPr>
          <w:rFonts w:ascii="Garamond" w:hAnsi="Garamond"/>
          <w:bCs/>
          <w:iCs/>
          <w:sz w:val="20"/>
          <w:szCs w:val="20"/>
        </w:rPr>
        <w:t>Uwadiae</w:t>
      </w:r>
      <w:proofErr w:type="spellEnd"/>
      <w:r w:rsidRPr="00431E6B">
        <w:rPr>
          <w:rFonts w:ascii="Garamond" w:hAnsi="Garamond"/>
          <w:bCs/>
          <w:iCs/>
          <w:sz w:val="20"/>
          <w:szCs w:val="20"/>
        </w:rPr>
        <w:t xml:space="preserve"> EJ, Nwokolo UE, </w:t>
      </w:r>
      <w:proofErr w:type="spellStart"/>
      <w:r w:rsidRPr="00431E6B">
        <w:rPr>
          <w:rFonts w:ascii="Garamond" w:hAnsi="Garamond"/>
          <w:bCs/>
          <w:iCs/>
          <w:sz w:val="20"/>
          <w:szCs w:val="20"/>
        </w:rPr>
        <w:t>Nwaemelu</w:t>
      </w:r>
      <w:proofErr w:type="spellEnd"/>
      <w:r w:rsidRPr="00431E6B">
        <w:rPr>
          <w:rFonts w:ascii="Garamond" w:hAnsi="Garamond"/>
          <w:bCs/>
          <w:iCs/>
          <w:sz w:val="20"/>
          <w:szCs w:val="20"/>
        </w:rPr>
        <w:t xml:space="preserve"> IB, Ugwu KG, et al. Use of complementary and alternative medicine among patients on long-term treatment in a tertiary health institution in Jos, Nigeria. Int J Prev Med. 2022; 13:46.</w:t>
      </w:r>
    </w:p>
    <w:p w14:paraId="73744CBF" w14:textId="77777777" w:rsidR="00B06F7D" w:rsidRPr="00431E6B" w:rsidRDefault="00B06F7D" w:rsidP="00B06F7D">
      <w:pPr>
        <w:numPr>
          <w:ilvl w:val="0"/>
          <w:numId w:val="26"/>
        </w:numPr>
        <w:rPr>
          <w:rFonts w:ascii="Garamond" w:hAnsi="Garamond"/>
          <w:bCs/>
          <w:iCs/>
          <w:sz w:val="20"/>
          <w:szCs w:val="20"/>
        </w:rPr>
      </w:pPr>
      <w:r w:rsidRPr="00431E6B">
        <w:rPr>
          <w:rFonts w:ascii="Garamond" w:hAnsi="Garamond"/>
          <w:bCs/>
          <w:iCs/>
          <w:sz w:val="20"/>
          <w:szCs w:val="20"/>
        </w:rPr>
        <w:t xml:space="preserve">Debelle FD, </w:t>
      </w:r>
      <w:proofErr w:type="spellStart"/>
      <w:r w:rsidRPr="00431E6B">
        <w:rPr>
          <w:rFonts w:ascii="Garamond" w:hAnsi="Garamond"/>
          <w:bCs/>
          <w:iCs/>
          <w:sz w:val="20"/>
          <w:szCs w:val="20"/>
        </w:rPr>
        <w:t>Vanherweghem</w:t>
      </w:r>
      <w:proofErr w:type="spellEnd"/>
      <w:r w:rsidRPr="00431E6B">
        <w:rPr>
          <w:rFonts w:ascii="Garamond" w:hAnsi="Garamond"/>
          <w:bCs/>
          <w:iCs/>
          <w:sz w:val="20"/>
          <w:szCs w:val="20"/>
        </w:rPr>
        <w:t xml:space="preserve"> JL, Nortier JL. Aristolochic acid nephropathy: a worldwide problem. Kidney Int. 2008;74(2):158-169.</w:t>
      </w:r>
    </w:p>
    <w:p w14:paraId="4FB13166" w14:textId="77777777" w:rsidR="00B06F7D" w:rsidRPr="00431E6B" w:rsidRDefault="00B06F7D" w:rsidP="00B06F7D">
      <w:pPr>
        <w:numPr>
          <w:ilvl w:val="0"/>
          <w:numId w:val="26"/>
        </w:numPr>
        <w:rPr>
          <w:rFonts w:ascii="Garamond" w:hAnsi="Garamond"/>
          <w:bCs/>
          <w:iCs/>
          <w:sz w:val="20"/>
          <w:szCs w:val="20"/>
        </w:rPr>
      </w:pPr>
      <w:r w:rsidRPr="00431E6B">
        <w:rPr>
          <w:rFonts w:ascii="Garamond" w:hAnsi="Garamond"/>
          <w:bCs/>
          <w:iCs/>
          <w:sz w:val="20"/>
          <w:szCs w:val="20"/>
        </w:rPr>
        <w:t>Izzo AA, Ernst E. Interactions between herbal medicines and prescribed drugs: a systematic review. Drugs. 2009;69(13):1777-1798.</w:t>
      </w:r>
    </w:p>
    <w:p w14:paraId="5BC0F330" w14:textId="77777777" w:rsidR="00B06F7D" w:rsidRDefault="00B06F7D" w:rsidP="00B06F7D">
      <w:pPr>
        <w:numPr>
          <w:ilvl w:val="0"/>
          <w:numId w:val="26"/>
        </w:numPr>
        <w:rPr>
          <w:rFonts w:ascii="Garamond" w:hAnsi="Garamond"/>
          <w:bCs/>
          <w:iCs/>
          <w:sz w:val="20"/>
          <w:szCs w:val="20"/>
        </w:rPr>
      </w:pPr>
      <w:r w:rsidRPr="00431E6B">
        <w:rPr>
          <w:rFonts w:ascii="Garamond" w:hAnsi="Garamond"/>
          <w:bCs/>
          <w:iCs/>
          <w:sz w:val="20"/>
          <w:szCs w:val="20"/>
        </w:rPr>
        <w:t xml:space="preserve">James PB, </w:t>
      </w:r>
      <w:proofErr w:type="spellStart"/>
      <w:r w:rsidRPr="00431E6B">
        <w:rPr>
          <w:rFonts w:ascii="Garamond" w:hAnsi="Garamond"/>
          <w:bCs/>
          <w:iCs/>
          <w:sz w:val="20"/>
          <w:szCs w:val="20"/>
        </w:rPr>
        <w:t>Taidy</w:t>
      </w:r>
      <w:proofErr w:type="spellEnd"/>
      <w:r w:rsidRPr="00431E6B">
        <w:rPr>
          <w:rFonts w:ascii="Garamond" w:hAnsi="Garamond"/>
          <w:bCs/>
          <w:iCs/>
          <w:sz w:val="20"/>
          <w:szCs w:val="20"/>
        </w:rPr>
        <w:t xml:space="preserve">-Leigh L, Bah AJ, Kanu JS, </w:t>
      </w:r>
      <w:proofErr w:type="spellStart"/>
      <w:r w:rsidRPr="00431E6B">
        <w:rPr>
          <w:rFonts w:ascii="Garamond" w:hAnsi="Garamond"/>
          <w:bCs/>
          <w:iCs/>
          <w:sz w:val="20"/>
          <w:szCs w:val="20"/>
        </w:rPr>
        <w:t>Kangbai</w:t>
      </w:r>
      <w:proofErr w:type="spellEnd"/>
      <w:r w:rsidRPr="00431E6B">
        <w:rPr>
          <w:rFonts w:ascii="Garamond" w:hAnsi="Garamond"/>
          <w:bCs/>
          <w:iCs/>
          <w:sz w:val="20"/>
          <w:szCs w:val="20"/>
        </w:rPr>
        <w:t xml:space="preserve"> JB, </w:t>
      </w:r>
      <w:proofErr w:type="spellStart"/>
      <w:r w:rsidRPr="00431E6B">
        <w:rPr>
          <w:rFonts w:ascii="Garamond" w:hAnsi="Garamond"/>
          <w:bCs/>
          <w:iCs/>
          <w:sz w:val="20"/>
          <w:szCs w:val="20"/>
        </w:rPr>
        <w:t>Sevalie</w:t>
      </w:r>
      <w:proofErr w:type="spellEnd"/>
      <w:r w:rsidRPr="00431E6B">
        <w:rPr>
          <w:rFonts w:ascii="Garamond" w:hAnsi="Garamond"/>
          <w:bCs/>
          <w:iCs/>
          <w:sz w:val="20"/>
          <w:szCs w:val="20"/>
        </w:rPr>
        <w:t xml:space="preserve"> S. Prevalence and correlates of herbal medicine use among women seeking care for infertility in Freetown, Sierra Leone. Evid Based Complement Alternat Med. 2018; 2018:9493807.</w:t>
      </w:r>
    </w:p>
    <w:p w14:paraId="61032A76" w14:textId="77777777" w:rsidR="00B06F7D" w:rsidRDefault="00B06F7D" w:rsidP="00B06F7D">
      <w:pPr>
        <w:rPr>
          <w:rFonts w:ascii="Garamond" w:hAnsi="Garamond"/>
          <w:bCs/>
          <w:iCs/>
          <w:sz w:val="20"/>
          <w:szCs w:val="20"/>
        </w:rPr>
      </w:pPr>
    </w:p>
    <w:p w14:paraId="57AD93BD" w14:textId="77777777" w:rsidR="00B06F7D" w:rsidRPr="00431E6B" w:rsidRDefault="00B06F7D" w:rsidP="00B06F7D">
      <w:pPr>
        <w:rPr>
          <w:rFonts w:ascii="Garamond" w:hAnsi="Garamond"/>
          <w:bCs/>
          <w:iCs/>
          <w:sz w:val="20"/>
          <w:szCs w:val="20"/>
        </w:rPr>
      </w:pPr>
    </w:p>
    <w:sectPr w:rsidR="00B06F7D" w:rsidRPr="00431E6B" w:rsidSect="00431E6B">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12CD3" w14:textId="77777777" w:rsidR="00627844" w:rsidRDefault="00627844" w:rsidP="00202B90">
      <w:r>
        <w:separator/>
      </w:r>
    </w:p>
  </w:endnote>
  <w:endnote w:type="continuationSeparator" w:id="0">
    <w:p w14:paraId="3004D340" w14:textId="77777777" w:rsidR="00627844" w:rsidRDefault="00627844"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4" w:name="_Hlk114232143"/>
    <w:bookmarkStart w:id="5"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4"/>
    <w:bookmarkEnd w:id="5"/>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&#13;&#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1517C" w14:textId="77777777" w:rsidR="00627844" w:rsidRDefault="00627844" w:rsidP="00202B90">
      <w:bookmarkStart w:id="0" w:name="_Hlk191386689"/>
      <w:bookmarkEnd w:id="0"/>
      <w:r>
        <w:separator/>
      </w:r>
    </w:p>
  </w:footnote>
  <w:footnote w:type="continuationSeparator" w:id="0">
    <w:p w14:paraId="74AA8535" w14:textId="77777777" w:rsidR="00627844" w:rsidRDefault="00627844"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3"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3"/>
  <w:p w14:paraId="463BED66" w14:textId="77777777" w:rsidR="009E5406" w:rsidRPr="006200FF" w:rsidRDefault="009E5406" w:rsidP="00E94E49">
    <w:pPr>
      <w:pStyle w:val="Header"/>
      <w:tabs>
        <w:tab w:val="clear" w:pos="4320"/>
        <w:tab w:val="clear" w:pos="8640"/>
        <w:tab w:val="left" w:pos="630"/>
      </w:tabs>
      <w:jc w:val="both"/>
      <w:rPr>
        <w:rFonts w:ascii="Garamond" w:hAnsi="Garamond"/>
        <w:sz w:val="20"/>
        <w:szCs w:val="22"/>
      </w:rPr>
    </w:pPr>
    <w:r w:rsidRPr="006200FF">
      <w:rPr>
        <w:rFonts w:ascii="Garamond" w:hAnsi="Garamond"/>
        <w:sz w:val="20"/>
        <w:szCs w:val="22"/>
      </w:rPr>
      <w:t>Treatment Characteristics and Adherence to Anti- Hypertensive Medications</w:t>
    </w:r>
  </w:p>
  <w:p w14:paraId="5D172485" w14:textId="0DEFDE9D" w:rsidR="002238CA" w:rsidRPr="006200FF" w:rsidRDefault="00A06A34" w:rsidP="00E94E49">
    <w:pPr>
      <w:pStyle w:val="Header"/>
      <w:tabs>
        <w:tab w:val="clear" w:pos="4320"/>
        <w:tab w:val="clear" w:pos="8640"/>
        <w:tab w:val="left" w:pos="630"/>
      </w:tabs>
      <w:jc w:val="both"/>
      <w:rPr>
        <w:rFonts w:ascii="Garamond" w:hAnsi="Garamond"/>
        <w:sz w:val="20"/>
        <w:szCs w:val="22"/>
        <w:lang w:val="en-GB"/>
      </w:rPr>
    </w:pPr>
    <w:proofErr w:type="spellStart"/>
    <w:r w:rsidRPr="006200FF">
      <w:rPr>
        <w:rFonts w:ascii="Garamond" w:hAnsi="Garamond"/>
        <w:sz w:val="20"/>
        <w:szCs w:val="22"/>
      </w:rPr>
      <w:t>Tamunobelem</w:t>
    </w:r>
    <w:proofErr w:type="spellEnd"/>
    <w:r w:rsidRPr="006200FF">
      <w:rPr>
        <w:rFonts w:ascii="Garamond" w:hAnsi="Garamond"/>
        <w:sz w:val="20"/>
        <w:szCs w:val="22"/>
      </w:rPr>
      <w:t xml:space="preserve"> </w:t>
    </w:r>
    <w:r w:rsidR="008134A3" w:rsidRPr="006200FF">
      <w:rPr>
        <w:rFonts w:ascii="Garamond" w:hAnsi="Garamond"/>
        <w:sz w:val="20"/>
        <w:szCs w:val="22"/>
      </w:rPr>
      <w:t>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0157B60E" w14:textId="77777777" w:rsidR="006200FF" w:rsidRPr="006200FF" w:rsidRDefault="006200FF" w:rsidP="006200FF">
    <w:pPr>
      <w:pStyle w:val="Header"/>
      <w:tabs>
        <w:tab w:val="clear" w:pos="4320"/>
        <w:tab w:val="clear" w:pos="8640"/>
        <w:tab w:val="left" w:pos="630"/>
      </w:tabs>
      <w:jc w:val="both"/>
      <w:rPr>
        <w:rFonts w:ascii="Garamond" w:hAnsi="Garamond"/>
        <w:sz w:val="20"/>
        <w:szCs w:val="22"/>
      </w:rPr>
    </w:pPr>
    <w:r w:rsidRPr="006200FF">
      <w:rPr>
        <w:rFonts w:ascii="Garamond" w:hAnsi="Garamond"/>
        <w:sz w:val="20"/>
        <w:szCs w:val="22"/>
      </w:rPr>
      <w:t>Treatment Characteristics and Adherence to Anti- Hypertensive Medications</w:t>
    </w:r>
  </w:p>
  <w:p w14:paraId="1CEFFAD3" w14:textId="77777777" w:rsidR="006200FF" w:rsidRPr="006200FF" w:rsidRDefault="006200FF" w:rsidP="006200FF">
    <w:pPr>
      <w:pStyle w:val="Header"/>
      <w:tabs>
        <w:tab w:val="clear" w:pos="4320"/>
        <w:tab w:val="clear" w:pos="8640"/>
        <w:tab w:val="left" w:pos="630"/>
      </w:tabs>
      <w:jc w:val="both"/>
      <w:rPr>
        <w:rFonts w:ascii="Garamond" w:hAnsi="Garamond"/>
        <w:sz w:val="20"/>
        <w:szCs w:val="22"/>
        <w:lang w:val="en-GB"/>
      </w:rPr>
    </w:pPr>
    <w:proofErr w:type="spellStart"/>
    <w:r w:rsidRPr="006200FF">
      <w:rPr>
        <w:rFonts w:ascii="Garamond" w:hAnsi="Garamond"/>
        <w:sz w:val="20"/>
        <w:szCs w:val="22"/>
      </w:rPr>
      <w:t>Tamunobelem</w:t>
    </w:r>
    <w:proofErr w:type="spellEnd"/>
    <w:r w:rsidRPr="006200FF">
      <w:rPr>
        <w:rFonts w:ascii="Garamond" w:hAnsi="Garamond"/>
        <w:sz w:val="20"/>
        <w:szCs w:val="22"/>
      </w:rPr>
      <w:t xml:space="preserve">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72059125" w14:textId="77777777" w:rsidR="006200FF" w:rsidRPr="006200FF" w:rsidRDefault="006200FF" w:rsidP="006200FF">
    <w:pPr>
      <w:pStyle w:val="Header"/>
      <w:tabs>
        <w:tab w:val="clear" w:pos="4320"/>
        <w:tab w:val="clear" w:pos="8640"/>
        <w:tab w:val="left" w:pos="630"/>
      </w:tabs>
      <w:jc w:val="both"/>
      <w:rPr>
        <w:rFonts w:ascii="Garamond" w:hAnsi="Garamond"/>
        <w:sz w:val="20"/>
        <w:szCs w:val="22"/>
      </w:rPr>
    </w:pPr>
    <w:r w:rsidRPr="006200FF">
      <w:rPr>
        <w:rFonts w:ascii="Garamond" w:hAnsi="Garamond"/>
        <w:sz w:val="20"/>
        <w:szCs w:val="22"/>
      </w:rPr>
      <w:t>Treatment Characteristics and Adherence to Anti- Hypertensive Medications</w:t>
    </w:r>
  </w:p>
  <w:p w14:paraId="5A9E2E01" w14:textId="77777777" w:rsidR="006200FF" w:rsidRPr="006200FF" w:rsidRDefault="006200FF" w:rsidP="006200FF">
    <w:pPr>
      <w:pStyle w:val="Header"/>
      <w:tabs>
        <w:tab w:val="clear" w:pos="4320"/>
        <w:tab w:val="clear" w:pos="8640"/>
        <w:tab w:val="left" w:pos="630"/>
      </w:tabs>
      <w:jc w:val="both"/>
      <w:rPr>
        <w:rFonts w:ascii="Garamond" w:hAnsi="Garamond"/>
        <w:sz w:val="20"/>
        <w:szCs w:val="22"/>
        <w:lang w:val="en-GB"/>
      </w:rPr>
    </w:pPr>
    <w:proofErr w:type="spellStart"/>
    <w:r w:rsidRPr="006200FF">
      <w:rPr>
        <w:rFonts w:ascii="Garamond" w:hAnsi="Garamond"/>
        <w:sz w:val="20"/>
        <w:szCs w:val="22"/>
      </w:rPr>
      <w:t>Tamunobelem</w:t>
    </w:r>
    <w:proofErr w:type="spellEnd"/>
    <w:r w:rsidRPr="006200FF">
      <w:rPr>
        <w:rFonts w:ascii="Garamond" w:hAnsi="Garamond"/>
        <w:sz w:val="20"/>
        <w:szCs w:val="22"/>
      </w:rPr>
      <w:t xml:space="preserve">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2912AA"/>
    <w:multiLevelType w:val="multilevel"/>
    <w:tmpl w:val="59AA6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527787"/>
    <w:multiLevelType w:val="multilevel"/>
    <w:tmpl w:val="911A3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F64653A"/>
    <w:multiLevelType w:val="multilevel"/>
    <w:tmpl w:val="779AC0A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8F3D5F"/>
    <w:multiLevelType w:val="multilevel"/>
    <w:tmpl w:val="6D1A0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4"/>
  </w:num>
  <w:num w:numId="4" w16cid:durableId="1129132120">
    <w:abstractNumId w:val="12"/>
  </w:num>
  <w:num w:numId="5" w16cid:durableId="970405640">
    <w:abstractNumId w:val="4"/>
  </w:num>
  <w:num w:numId="6" w16cid:durableId="1155297297">
    <w:abstractNumId w:val="0"/>
  </w:num>
  <w:num w:numId="7" w16cid:durableId="1289319636">
    <w:abstractNumId w:val="17"/>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3"/>
  </w:num>
  <w:num w:numId="10" w16cid:durableId="1714503964">
    <w:abstractNumId w:val="15"/>
  </w:num>
  <w:num w:numId="11" w16cid:durableId="624430197">
    <w:abstractNumId w:val="9"/>
  </w:num>
  <w:num w:numId="12" w16cid:durableId="1779639381">
    <w:abstractNumId w:val="20"/>
  </w:num>
  <w:num w:numId="13" w16cid:durableId="52851340">
    <w:abstractNumId w:val="22"/>
  </w:num>
  <w:num w:numId="14" w16cid:durableId="1055860988">
    <w:abstractNumId w:val="11"/>
  </w:num>
  <w:num w:numId="15" w16cid:durableId="1380934824">
    <w:abstractNumId w:val="24"/>
  </w:num>
  <w:num w:numId="16" w16cid:durableId="1314261793">
    <w:abstractNumId w:val="5"/>
  </w:num>
  <w:num w:numId="17" w16cid:durableId="1221361593">
    <w:abstractNumId w:val="27"/>
  </w:num>
  <w:num w:numId="18" w16cid:durableId="377054002">
    <w:abstractNumId w:val="7"/>
  </w:num>
  <w:num w:numId="19" w16cid:durableId="5133750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5"/>
  </w:num>
  <w:num w:numId="21" w16cid:durableId="299457719">
    <w:abstractNumId w:val="8"/>
  </w:num>
  <w:num w:numId="22" w16cid:durableId="1575044381">
    <w:abstractNumId w:val="19"/>
  </w:num>
  <w:num w:numId="23" w16cid:durableId="1550071572">
    <w:abstractNumId w:val="28"/>
  </w:num>
  <w:num w:numId="24" w16cid:durableId="1200505831">
    <w:abstractNumId w:val="26"/>
  </w:num>
  <w:num w:numId="25" w16cid:durableId="1501195848">
    <w:abstractNumId w:val="3"/>
  </w:num>
  <w:num w:numId="26" w16cid:durableId="504521176">
    <w:abstractNumId w:val="21"/>
  </w:num>
  <w:num w:numId="27" w16cid:durableId="1405032974">
    <w:abstractNumId w:val="16"/>
  </w:num>
  <w:num w:numId="28" w16cid:durableId="701366517">
    <w:abstractNumId w:val="18"/>
  </w:num>
  <w:num w:numId="29" w16cid:durableId="1741710191">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4076"/>
    <w:rsid w:val="00045140"/>
    <w:rsid w:val="00047BAC"/>
    <w:rsid w:val="00057CF5"/>
    <w:rsid w:val="00070678"/>
    <w:rsid w:val="00070BE4"/>
    <w:rsid w:val="00070E04"/>
    <w:rsid w:val="00070E0C"/>
    <w:rsid w:val="000720E5"/>
    <w:rsid w:val="00072B63"/>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46E41"/>
    <w:rsid w:val="00251782"/>
    <w:rsid w:val="002524AC"/>
    <w:rsid w:val="002528AE"/>
    <w:rsid w:val="00253757"/>
    <w:rsid w:val="0025599F"/>
    <w:rsid w:val="00255DE8"/>
    <w:rsid w:val="002563C4"/>
    <w:rsid w:val="002600B8"/>
    <w:rsid w:val="002639EF"/>
    <w:rsid w:val="00266FEB"/>
    <w:rsid w:val="00270D5C"/>
    <w:rsid w:val="00271A58"/>
    <w:rsid w:val="00272DE8"/>
    <w:rsid w:val="00272E11"/>
    <w:rsid w:val="002807E8"/>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3587"/>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6B3D"/>
    <w:rsid w:val="0039305C"/>
    <w:rsid w:val="0039476D"/>
    <w:rsid w:val="003949A7"/>
    <w:rsid w:val="003A0B40"/>
    <w:rsid w:val="003A37C4"/>
    <w:rsid w:val="003A49BA"/>
    <w:rsid w:val="003A5E4E"/>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1E6B"/>
    <w:rsid w:val="0043209A"/>
    <w:rsid w:val="00433C88"/>
    <w:rsid w:val="0043758D"/>
    <w:rsid w:val="004413E9"/>
    <w:rsid w:val="0044252F"/>
    <w:rsid w:val="00446CB7"/>
    <w:rsid w:val="00447FA5"/>
    <w:rsid w:val="00451912"/>
    <w:rsid w:val="00460C55"/>
    <w:rsid w:val="00465011"/>
    <w:rsid w:val="004700AB"/>
    <w:rsid w:val="004705A9"/>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5E8D"/>
    <w:rsid w:val="00617221"/>
    <w:rsid w:val="00617BC7"/>
    <w:rsid w:val="006200FF"/>
    <w:rsid w:val="00620EC5"/>
    <w:rsid w:val="006214DC"/>
    <w:rsid w:val="00626BDA"/>
    <w:rsid w:val="00627844"/>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6F7DB4"/>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3FD1"/>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0F9"/>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0804"/>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E5406"/>
    <w:rsid w:val="009E78D5"/>
    <w:rsid w:val="009F0E79"/>
    <w:rsid w:val="009F3C7D"/>
    <w:rsid w:val="009F473B"/>
    <w:rsid w:val="009F5C6E"/>
    <w:rsid w:val="009F63A4"/>
    <w:rsid w:val="009F7805"/>
    <w:rsid w:val="009F7AC7"/>
    <w:rsid w:val="00A01B36"/>
    <w:rsid w:val="00A0224C"/>
    <w:rsid w:val="00A04637"/>
    <w:rsid w:val="00A068FA"/>
    <w:rsid w:val="00A06A34"/>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575B"/>
    <w:rsid w:val="00A76763"/>
    <w:rsid w:val="00A812B6"/>
    <w:rsid w:val="00A822A5"/>
    <w:rsid w:val="00A9005E"/>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58A4"/>
    <w:rsid w:val="00AF6060"/>
    <w:rsid w:val="00B02718"/>
    <w:rsid w:val="00B02A8E"/>
    <w:rsid w:val="00B03805"/>
    <w:rsid w:val="00B06F7D"/>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5FB9"/>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1AB"/>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005D"/>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937A4"/>
    <w:rsid w:val="00E94E49"/>
    <w:rsid w:val="00EA4561"/>
    <w:rsid w:val="00EB038A"/>
    <w:rsid w:val="00EB0FB8"/>
    <w:rsid w:val="00EB1521"/>
    <w:rsid w:val="00EB658E"/>
    <w:rsid w:val="00EC322A"/>
    <w:rsid w:val="00EC3387"/>
    <w:rsid w:val="00EC5532"/>
    <w:rsid w:val="00EC6106"/>
    <w:rsid w:val="00ED072B"/>
    <w:rsid w:val="00ED2322"/>
    <w:rsid w:val="00ED3666"/>
    <w:rsid w:val="00ED43F6"/>
    <w:rsid w:val="00EE2234"/>
    <w:rsid w:val="00EE252E"/>
    <w:rsid w:val="00EE38D0"/>
    <w:rsid w:val="00EE4502"/>
    <w:rsid w:val="00EE5C0C"/>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msbel@yahoo.com"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330" TargetMode="Externa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330" TargetMode="Externa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10504</Words>
  <Characters>59875</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2026-04-06T07:58:00Z</dcterms:created>
  <dcterms:modified xsi:type="dcterms:W3CDTF">2026-04-06T07:58:00Z</dcterms:modified>
</cp:coreProperties>
</file>