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47422FCC" w:rsidR="006732D7" w:rsidRPr="000931E7" w:rsidRDefault="000B3409"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Review</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64DB0149">
                <wp:simplePos x="0" y="0"/>
                <wp:positionH relativeFrom="column">
                  <wp:posOffset>-238539</wp:posOffset>
                </wp:positionH>
                <wp:positionV relativeFrom="paragraph">
                  <wp:posOffset>122997</wp:posOffset>
                </wp:positionV>
                <wp:extent cx="6419850" cy="818984"/>
                <wp:effectExtent l="0" t="0" r="19050" b="1968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818984"/>
                        </a:xfrm>
                        <a:prstGeom prst="round2DiagRect">
                          <a:avLst/>
                        </a:prstGeom>
                        <a:solidFill>
                          <a:srgbClr val="1A601C"/>
                        </a:solidFill>
                        <a:ln w="12700" cap="flat" cmpd="sng" algn="ctr">
                          <a:solidFill>
                            <a:srgbClr val="70AD47">
                              <a:lumMod val="50000"/>
                            </a:srgbClr>
                          </a:solidFill>
                          <a:prstDash val="solid"/>
                          <a:miter lim="800000"/>
                        </a:ln>
                        <a:effectLst/>
                      </wps:spPr>
                      <wps:txbx>
                        <w:txbxContent>
                          <w:p w14:paraId="1C130A38" w14:textId="77777777" w:rsidR="00981678" w:rsidRDefault="00981678" w:rsidP="00981678">
                            <w:pPr>
                              <w:jc w:val="center"/>
                            </w:pPr>
                          </w:p>
                          <w:p w14:paraId="4B9D1535" w14:textId="77777777" w:rsidR="00981678" w:rsidRDefault="00981678" w:rsidP="00981678">
                            <w:pPr>
                              <w:jc w:val="center"/>
                            </w:pPr>
                          </w:p>
                          <w:p w14:paraId="0A48DE60" w14:textId="77777777" w:rsidR="00981678" w:rsidRDefault="00981678" w:rsidP="009816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DC3218C" id="Round Diagonal Corner Rectangle 262" o:spid="_x0000_s1026" style="position:absolute;left:0;text-align:left;margin-left:-18.8pt;margin-top:9.7pt;width:505.5pt;height:64.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81898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" adj="-11796480,,5400" path="m136500,l6419850,r,l6419850,682484v,75387,-61113,136500,-136500,136500l,818984r,l,136500c,61113,61113,,136500,xe" fillcolor="#1a601c" strokecolor="#385723" strokeweight="1pt">
                <v:stroke joinstyle="miter"/>
                <v:formulas/>
                <v:path arrowok="t" o:connecttype="custom" o:connectlocs="136500,0;6419850,0;6419850,0;6419850,682484;6283350,818984;0,818984;0,818984;0,136500;136500,0" o:connectangles="0,0,0,0,0,0,0,0,0" textboxrect="0,0,6419850,818984"/>
                <v:textbox>
                  <w:txbxContent>
                    <w:p w14:paraId="1C130A38" w14:textId="77777777" w:rsidR="00981678" w:rsidRDefault="00981678" w:rsidP="00981678">
                      <w:pPr>
                        <w:jc w:val="center"/>
                      </w:pPr>
                    </w:p>
                    <w:p w14:paraId="4B9D1535" w14:textId="77777777" w:rsidR="00981678" w:rsidRDefault="00981678" w:rsidP="00981678">
                      <w:pPr>
                        <w:jc w:val="center"/>
                      </w:pPr>
                    </w:p>
                    <w:p w14:paraId="0A48DE60" w14:textId="77777777" w:rsidR="00981678" w:rsidRDefault="00981678" w:rsidP="00981678">
                      <w:pPr>
                        <w:jc w:val="center"/>
                      </w:pPr>
                    </w:p>
                  </w:txbxContent>
                </v:textbox>
              </v:shape>
            </w:pict>
          </mc:Fallback>
        </mc:AlternateContent>
      </w:r>
    </w:p>
    <w:p w14:paraId="0773DC9B" w14:textId="77777777" w:rsidR="004C6FDE" w:rsidRDefault="00E23DF2" w:rsidP="002265FA">
      <w:pPr>
        <w:pBdr>
          <w:bottom w:val="single" w:sz="6" w:space="1" w:color="auto"/>
        </w:pBdr>
        <w:jc w:val="both"/>
        <w:rPr>
          <w:rFonts w:ascii="Garamond" w:hAnsi="Garamond" w:cs="Times New Roman"/>
          <w:b/>
          <w:bCs/>
          <w:color w:val="FFFFFF" w:themeColor="background1"/>
          <w:sz w:val="32"/>
          <w:szCs w:val="32"/>
          <w:lang w:val="en-GB"/>
        </w:rPr>
      </w:pPr>
      <w:bookmarkStart w:id="1" w:name="_top"/>
      <w:bookmarkStart w:id="2" w:name="_Hlk192762964"/>
      <w:bookmarkStart w:id="3" w:name="_Hlk192836332"/>
      <w:bookmarkEnd w:id="1"/>
      <w:r w:rsidRPr="00E23DF2">
        <w:rPr>
          <w:rFonts w:ascii="Garamond" w:hAnsi="Garamond" w:cs="Times New Roman"/>
          <w:b/>
          <w:bCs/>
          <w:color w:val="FFFFFF" w:themeColor="background1"/>
          <w:sz w:val="32"/>
          <w:szCs w:val="32"/>
          <w:lang w:val="en-GB"/>
        </w:rPr>
        <w:t>Global Prevalence and Patterns of Work-related Musculoskeletal Disorders among Butchers: A Scoping Review</w:t>
      </w:r>
    </w:p>
    <w:p w14:paraId="39718DE1" w14:textId="74A795AA" w:rsidR="00981678" w:rsidRPr="00981678" w:rsidRDefault="00981678" w:rsidP="00981678">
      <w:pPr>
        <w:pBdr>
          <w:bottom w:val="single" w:sz="6" w:space="1" w:color="auto"/>
        </w:pBdr>
        <w:rPr>
          <w:rFonts w:ascii="Garamond" w:hAnsi="Garamond"/>
          <w:b/>
          <w:bCs/>
          <w:i/>
          <w:iCs/>
          <w:color w:val="FFFFFF" w:themeColor="background1"/>
          <w:lang w:val="en-GB"/>
        </w:rPr>
      </w:pPr>
      <w:r w:rsidRPr="00981678">
        <w:rPr>
          <w:rFonts w:ascii="Garamond" w:hAnsi="Garamond"/>
          <w:b/>
          <w:bCs/>
          <w:i/>
          <w:iCs/>
          <w:color w:val="FFFFFF" w:themeColor="background1"/>
          <w:vertAlign w:val="superscript"/>
          <w:lang w:val="en-GB"/>
        </w:rPr>
        <w:t>1</w:t>
      </w:r>
      <w:r w:rsidRPr="00981678">
        <w:rPr>
          <w:rFonts w:ascii="Garamond" w:hAnsi="Garamond"/>
          <w:b/>
          <w:bCs/>
          <w:i/>
          <w:iCs/>
          <w:color w:val="FFFFFF" w:themeColor="background1"/>
          <w:lang w:val="en-GB"/>
        </w:rPr>
        <w:t xml:space="preserve">Niyi David Akintayo, </w:t>
      </w:r>
      <w:r w:rsidRPr="00981678">
        <w:rPr>
          <w:rFonts w:ascii="Garamond" w:hAnsi="Garamond"/>
          <w:b/>
          <w:bCs/>
          <w:i/>
          <w:iCs/>
          <w:color w:val="FFFFFF" w:themeColor="background1"/>
          <w:vertAlign w:val="superscript"/>
          <w:lang w:val="en-GB"/>
        </w:rPr>
        <w:t>1</w:t>
      </w:r>
      <w:r w:rsidRPr="00981678">
        <w:rPr>
          <w:rFonts w:ascii="Garamond" w:hAnsi="Garamond"/>
          <w:b/>
          <w:bCs/>
          <w:i/>
          <w:iCs/>
          <w:color w:val="FFFFFF" w:themeColor="background1"/>
          <w:lang w:val="en-GB"/>
        </w:rPr>
        <w:t xml:space="preserve">Gift Adeola Isayode, </w:t>
      </w:r>
      <w:r w:rsidRPr="00981678">
        <w:rPr>
          <w:rFonts w:ascii="Garamond" w:hAnsi="Garamond"/>
          <w:b/>
          <w:bCs/>
          <w:i/>
          <w:iCs/>
          <w:color w:val="FFFFFF" w:themeColor="background1"/>
          <w:vertAlign w:val="superscript"/>
          <w:lang w:val="en-GB"/>
        </w:rPr>
        <w:t>2</w:t>
      </w:r>
      <w:r w:rsidRPr="00981678">
        <w:rPr>
          <w:rFonts w:ascii="Garamond" w:hAnsi="Garamond"/>
          <w:b/>
          <w:bCs/>
          <w:i/>
          <w:iCs/>
          <w:color w:val="FFFFFF" w:themeColor="background1"/>
          <w:lang w:val="en-GB"/>
        </w:rPr>
        <w:t xml:space="preserve">Joana </w:t>
      </w:r>
      <w:proofErr w:type="spellStart"/>
      <w:r w:rsidRPr="00981678">
        <w:rPr>
          <w:rFonts w:ascii="Garamond" w:hAnsi="Garamond"/>
          <w:b/>
          <w:bCs/>
          <w:i/>
          <w:iCs/>
          <w:color w:val="FFFFFF" w:themeColor="background1"/>
          <w:lang w:val="en-GB"/>
        </w:rPr>
        <w:t>Oiza</w:t>
      </w:r>
      <w:proofErr w:type="spellEnd"/>
      <w:r w:rsidRPr="00981678">
        <w:rPr>
          <w:rFonts w:ascii="Garamond" w:hAnsi="Garamond"/>
          <w:b/>
          <w:bCs/>
          <w:i/>
          <w:iCs/>
          <w:color w:val="FFFFFF" w:themeColor="background1"/>
          <w:lang w:val="en-GB"/>
        </w:rPr>
        <w:t xml:space="preserve"> Adeleke, </w:t>
      </w:r>
      <w:r w:rsidRPr="00981678">
        <w:rPr>
          <w:rFonts w:ascii="Garamond" w:hAnsi="Garamond"/>
          <w:b/>
          <w:bCs/>
          <w:i/>
          <w:iCs/>
          <w:color w:val="FFFFFF" w:themeColor="background1"/>
          <w:vertAlign w:val="superscript"/>
          <w:lang w:val="en-GB"/>
        </w:rPr>
        <w:t>3</w:t>
      </w:r>
      <w:r w:rsidR="00DE2A58" w:rsidRPr="00DE2A58">
        <w:rPr>
          <w:rFonts w:ascii="Garamond" w:hAnsi="Garamond"/>
          <w:b/>
          <w:bCs/>
          <w:i/>
          <w:iCs/>
          <w:color w:val="FFFFFF" w:themeColor="background1"/>
          <w:lang w:val="en-GB"/>
        </w:rPr>
        <w:t xml:space="preserve"> </w:t>
      </w:r>
      <w:r w:rsidR="00DE2A58" w:rsidRPr="00981678">
        <w:rPr>
          <w:rFonts w:ascii="Garamond" w:hAnsi="Garamond"/>
          <w:b/>
          <w:bCs/>
          <w:i/>
          <w:iCs/>
          <w:color w:val="FFFFFF" w:themeColor="background1"/>
          <w:lang w:val="en-GB"/>
        </w:rPr>
        <w:t xml:space="preserve">Adeniyi </w:t>
      </w:r>
      <w:r w:rsidRPr="00981678">
        <w:rPr>
          <w:rFonts w:ascii="Garamond" w:hAnsi="Garamond"/>
          <w:b/>
          <w:bCs/>
          <w:i/>
          <w:iCs/>
          <w:color w:val="FFFFFF" w:themeColor="background1"/>
          <w:lang w:val="en-GB"/>
        </w:rPr>
        <w:t xml:space="preserve">Ademola Fowowe, </w:t>
      </w:r>
      <w:r w:rsidRPr="00981678">
        <w:rPr>
          <w:rFonts w:ascii="Garamond" w:hAnsi="Garamond"/>
          <w:b/>
          <w:bCs/>
          <w:i/>
          <w:iCs/>
          <w:color w:val="FFFFFF" w:themeColor="background1"/>
          <w:vertAlign w:val="superscript"/>
          <w:lang w:val="en-GB"/>
        </w:rPr>
        <w:t>4</w:t>
      </w:r>
      <w:r w:rsidRPr="00981678">
        <w:rPr>
          <w:rFonts w:ascii="Garamond" w:hAnsi="Garamond"/>
          <w:b/>
          <w:bCs/>
          <w:i/>
          <w:iCs/>
          <w:color w:val="FFFFFF" w:themeColor="background1"/>
          <w:lang w:val="en-GB"/>
        </w:rPr>
        <w:t xml:space="preserve">Jesuferanmi Tayo Ladapo, </w:t>
      </w:r>
      <w:r w:rsidRPr="00981678">
        <w:rPr>
          <w:rFonts w:ascii="Garamond" w:hAnsi="Garamond"/>
          <w:b/>
          <w:bCs/>
          <w:i/>
          <w:iCs/>
          <w:color w:val="FFFFFF" w:themeColor="background1"/>
          <w:vertAlign w:val="superscript"/>
          <w:lang w:val="en-GB"/>
        </w:rPr>
        <w:t>5</w:t>
      </w:r>
      <w:r w:rsidRPr="00981678">
        <w:rPr>
          <w:rFonts w:ascii="Garamond" w:hAnsi="Garamond"/>
          <w:b/>
          <w:bCs/>
          <w:i/>
          <w:iCs/>
          <w:color w:val="FFFFFF" w:themeColor="background1"/>
          <w:lang w:val="en-GB"/>
        </w:rPr>
        <w:t xml:space="preserve">Deborah Foluke </w:t>
      </w:r>
      <w:proofErr w:type="spellStart"/>
      <w:r w:rsidRPr="00981678">
        <w:rPr>
          <w:rFonts w:ascii="Garamond" w:hAnsi="Garamond"/>
          <w:b/>
          <w:bCs/>
          <w:i/>
          <w:iCs/>
          <w:color w:val="FFFFFF" w:themeColor="background1"/>
          <w:lang w:val="en-GB"/>
        </w:rPr>
        <w:t>Onisile</w:t>
      </w:r>
      <w:proofErr w:type="spellEnd"/>
      <w:r w:rsidRPr="00981678">
        <w:rPr>
          <w:rFonts w:ascii="Garamond" w:hAnsi="Garamond"/>
          <w:b/>
          <w:bCs/>
          <w:i/>
          <w:iCs/>
          <w:color w:val="FFFFFF" w:themeColor="background1"/>
          <w:lang w:val="en-GB"/>
        </w:rPr>
        <w:t xml:space="preserve">, </w:t>
      </w:r>
      <w:r w:rsidRPr="00981678">
        <w:rPr>
          <w:rFonts w:ascii="Garamond" w:hAnsi="Garamond"/>
          <w:b/>
          <w:bCs/>
          <w:i/>
          <w:iCs/>
          <w:color w:val="FFFFFF" w:themeColor="background1"/>
          <w:vertAlign w:val="superscript"/>
          <w:lang w:val="en-GB"/>
        </w:rPr>
        <w:t>6</w:t>
      </w:r>
      <w:r w:rsidRPr="00981678">
        <w:rPr>
          <w:rFonts w:ascii="Garamond" w:hAnsi="Garamond"/>
          <w:b/>
          <w:bCs/>
          <w:i/>
          <w:iCs/>
          <w:color w:val="FFFFFF" w:themeColor="background1"/>
          <w:lang w:val="en-GB"/>
        </w:rPr>
        <w:t xml:space="preserve">Opeyemi </w:t>
      </w:r>
      <w:proofErr w:type="spellStart"/>
      <w:r w:rsidRPr="00981678">
        <w:rPr>
          <w:rFonts w:ascii="Garamond" w:hAnsi="Garamond"/>
          <w:b/>
          <w:bCs/>
          <w:i/>
          <w:iCs/>
          <w:color w:val="FFFFFF" w:themeColor="background1"/>
          <w:lang w:val="en-GB"/>
        </w:rPr>
        <w:t>Ayodiipo</w:t>
      </w:r>
      <w:proofErr w:type="spellEnd"/>
      <w:r w:rsidRPr="00981678">
        <w:rPr>
          <w:rFonts w:ascii="Garamond" w:hAnsi="Garamond"/>
          <w:b/>
          <w:bCs/>
          <w:i/>
          <w:iCs/>
          <w:color w:val="FFFFFF" w:themeColor="background1"/>
          <w:lang w:val="en-GB"/>
        </w:rPr>
        <w:t xml:space="preserve"> Idowu</w:t>
      </w:r>
    </w:p>
    <w:p w14:paraId="5C0EB0C0" w14:textId="77777777" w:rsidR="00981678" w:rsidRPr="00981678" w:rsidRDefault="00981678" w:rsidP="00981678">
      <w:pPr>
        <w:pBdr>
          <w:bottom w:val="single" w:sz="6" w:space="1" w:color="auto"/>
        </w:pBdr>
        <w:jc w:val="both"/>
        <w:rPr>
          <w:rFonts w:ascii="Garamond" w:hAnsi="Garamond"/>
          <w:bCs/>
          <w:i/>
          <w:iCs/>
          <w:sz w:val="20"/>
          <w:szCs w:val="20"/>
          <w:lang w:val="en-GB"/>
        </w:rPr>
      </w:pPr>
      <w:bookmarkStart w:id="4" w:name="_Hlk209348096"/>
      <w:bookmarkEnd w:id="2"/>
      <w:bookmarkEnd w:id="3"/>
      <w:r w:rsidRPr="00981678">
        <w:rPr>
          <w:rFonts w:ascii="Garamond" w:hAnsi="Garamond"/>
          <w:i/>
          <w:iCs/>
          <w:sz w:val="20"/>
          <w:szCs w:val="20"/>
          <w:vertAlign w:val="superscript"/>
          <w:lang w:val="en-GB"/>
        </w:rPr>
        <w:t>1</w:t>
      </w:r>
      <w:r w:rsidRPr="00981678">
        <w:rPr>
          <w:rFonts w:ascii="Garamond" w:hAnsi="Garamond"/>
          <w:i/>
          <w:iCs/>
          <w:sz w:val="20"/>
          <w:szCs w:val="20"/>
          <w:lang w:val="en-GB"/>
        </w:rPr>
        <w:t>Department of Physiotherapy, Faculty of Basic Medical Sciences, Redeemer’s University, Osun State, Nigeria</w:t>
      </w:r>
    </w:p>
    <w:p w14:paraId="3A9F985B" w14:textId="77777777" w:rsidR="00981678" w:rsidRPr="00981678" w:rsidRDefault="00981678" w:rsidP="00981678">
      <w:pPr>
        <w:pBdr>
          <w:bottom w:val="single" w:sz="6" w:space="1" w:color="auto"/>
        </w:pBdr>
        <w:jc w:val="both"/>
        <w:rPr>
          <w:rFonts w:ascii="Garamond" w:hAnsi="Garamond"/>
          <w:bCs/>
          <w:i/>
          <w:iCs/>
          <w:sz w:val="20"/>
          <w:szCs w:val="20"/>
          <w:lang w:val="en-GB"/>
        </w:rPr>
      </w:pPr>
      <w:r w:rsidRPr="00981678">
        <w:rPr>
          <w:rFonts w:ascii="Garamond" w:hAnsi="Garamond"/>
          <w:bCs/>
          <w:i/>
          <w:iCs/>
          <w:sz w:val="20"/>
          <w:szCs w:val="20"/>
          <w:vertAlign w:val="superscript"/>
          <w:lang w:val="en-GB"/>
        </w:rPr>
        <w:t>2</w:t>
      </w:r>
      <w:r w:rsidRPr="00981678">
        <w:rPr>
          <w:rFonts w:ascii="Garamond" w:hAnsi="Garamond"/>
          <w:bCs/>
          <w:i/>
          <w:iCs/>
          <w:sz w:val="20"/>
          <w:szCs w:val="20"/>
          <w:lang w:val="en-GB"/>
        </w:rPr>
        <w:t>Physiotherapy Programme, College of Health Sciences, Bowen University, Iwo, Osun State, Nigeria.</w:t>
      </w:r>
    </w:p>
    <w:p w14:paraId="17A4B666" w14:textId="77777777" w:rsidR="00981678" w:rsidRPr="00981678" w:rsidRDefault="00981678" w:rsidP="00981678">
      <w:pPr>
        <w:pBdr>
          <w:bottom w:val="single" w:sz="6" w:space="1" w:color="auto"/>
        </w:pBdr>
        <w:jc w:val="both"/>
        <w:rPr>
          <w:rFonts w:ascii="Garamond" w:hAnsi="Garamond"/>
          <w:bCs/>
          <w:i/>
          <w:iCs/>
          <w:sz w:val="20"/>
          <w:szCs w:val="20"/>
          <w:lang w:val="en-GB"/>
        </w:rPr>
      </w:pPr>
      <w:r w:rsidRPr="00981678">
        <w:rPr>
          <w:rFonts w:ascii="Garamond" w:hAnsi="Garamond"/>
          <w:bCs/>
          <w:i/>
          <w:iCs/>
          <w:sz w:val="20"/>
          <w:szCs w:val="20"/>
          <w:vertAlign w:val="superscript"/>
          <w:lang w:val="en-GB"/>
        </w:rPr>
        <w:t>3</w:t>
      </w:r>
      <w:r w:rsidRPr="00981678">
        <w:rPr>
          <w:rFonts w:ascii="Garamond" w:hAnsi="Garamond"/>
          <w:bCs/>
          <w:i/>
          <w:iCs/>
          <w:sz w:val="20"/>
          <w:szCs w:val="20"/>
          <w:lang w:val="en-GB"/>
        </w:rPr>
        <w:t>Department of Physiotherapy, College of Basic Medical and Health Sciences, Fountain University, Osogbo, Osun State, Nigeria.</w:t>
      </w:r>
    </w:p>
    <w:p w14:paraId="24F62AA4" w14:textId="77777777" w:rsidR="00981678" w:rsidRPr="00981678" w:rsidRDefault="00981678" w:rsidP="00981678">
      <w:pPr>
        <w:pBdr>
          <w:bottom w:val="single" w:sz="6" w:space="1" w:color="auto"/>
        </w:pBdr>
        <w:jc w:val="both"/>
        <w:rPr>
          <w:rFonts w:ascii="Garamond" w:hAnsi="Garamond"/>
          <w:i/>
          <w:iCs/>
          <w:sz w:val="20"/>
          <w:szCs w:val="20"/>
          <w:lang w:val="en-GB"/>
        </w:rPr>
      </w:pPr>
      <w:r w:rsidRPr="00981678">
        <w:rPr>
          <w:rFonts w:ascii="Garamond" w:hAnsi="Garamond"/>
          <w:bCs/>
          <w:i/>
          <w:iCs/>
          <w:sz w:val="20"/>
          <w:szCs w:val="20"/>
          <w:vertAlign w:val="superscript"/>
          <w:lang w:val="en-GB"/>
        </w:rPr>
        <w:t>4</w:t>
      </w:r>
      <w:r w:rsidRPr="00981678">
        <w:rPr>
          <w:rFonts w:ascii="Garamond" w:hAnsi="Garamond"/>
          <w:bCs/>
          <w:i/>
          <w:iCs/>
          <w:sz w:val="20"/>
          <w:szCs w:val="20"/>
          <w:lang w:val="en-GB"/>
        </w:rPr>
        <w:t xml:space="preserve">Department of Public Health Science, </w:t>
      </w:r>
      <w:r w:rsidRPr="00981678">
        <w:rPr>
          <w:rFonts w:ascii="Garamond" w:hAnsi="Garamond"/>
          <w:i/>
          <w:iCs/>
          <w:sz w:val="20"/>
          <w:szCs w:val="20"/>
          <w:lang w:val="en-GB"/>
        </w:rPr>
        <w:t>Faculty of Basic Medical Sciences, Redeemer’s University, Ede, Osun State, Nigeria.</w:t>
      </w:r>
    </w:p>
    <w:p w14:paraId="12CEA947" w14:textId="77777777" w:rsidR="00981678" w:rsidRPr="00981678" w:rsidRDefault="00981678" w:rsidP="00981678">
      <w:pPr>
        <w:pBdr>
          <w:bottom w:val="single" w:sz="6" w:space="1" w:color="auto"/>
        </w:pBdr>
        <w:jc w:val="both"/>
        <w:rPr>
          <w:rFonts w:ascii="Garamond" w:hAnsi="Garamond"/>
          <w:i/>
          <w:iCs/>
          <w:sz w:val="20"/>
          <w:szCs w:val="20"/>
          <w:lang w:val="en-GB"/>
        </w:rPr>
      </w:pPr>
      <w:r w:rsidRPr="00981678">
        <w:rPr>
          <w:rFonts w:ascii="Garamond" w:hAnsi="Garamond"/>
          <w:bCs/>
          <w:i/>
          <w:iCs/>
          <w:sz w:val="20"/>
          <w:szCs w:val="20"/>
          <w:vertAlign w:val="superscript"/>
          <w:lang w:val="en-GB"/>
        </w:rPr>
        <w:t>5</w:t>
      </w:r>
      <w:r w:rsidRPr="00981678">
        <w:rPr>
          <w:rFonts w:ascii="Garamond" w:hAnsi="Garamond"/>
          <w:bCs/>
          <w:i/>
          <w:iCs/>
          <w:sz w:val="20"/>
          <w:szCs w:val="20"/>
          <w:lang w:val="en-GB"/>
        </w:rPr>
        <w:t xml:space="preserve">Department of Nursing Science, </w:t>
      </w:r>
      <w:r w:rsidRPr="00981678">
        <w:rPr>
          <w:rFonts w:ascii="Garamond" w:hAnsi="Garamond"/>
          <w:i/>
          <w:iCs/>
          <w:sz w:val="20"/>
          <w:szCs w:val="20"/>
          <w:lang w:val="en-GB"/>
        </w:rPr>
        <w:t>Faculty of Basic Medical Sciences, Redeemer’s University, Ede, Osun State, Nigeria.</w:t>
      </w:r>
    </w:p>
    <w:p w14:paraId="1D40B826" w14:textId="4CF3771B" w:rsidR="00981678" w:rsidRPr="00981678" w:rsidRDefault="00981678" w:rsidP="00981678">
      <w:pPr>
        <w:pBdr>
          <w:bottom w:val="single" w:sz="6" w:space="1" w:color="auto"/>
        </w:pBdr>
        <w:jc w:val="both"/>
        <w:rPr>
          <w:rFonts w:ascii="Garamond" w:hAnsi="Garamond"/>
          <w:i/>
          <w:iCs/>
          <w:sz w:val="20"/>
          <w:szCs w:val="20"/>
          <w:lang w:val="en-GB"/>
        </w:rPr>
      </w:pPr>
      <w:r w:rsidRPr="00981678">
        <w:rPr>
          <w:rFonts w:ascii="Garamond" w:hAnsi="Garamond"/>
          <w:i/>
          <w:iCs/>
          <w:sz w:val="20"/>
          <w:szCs w:val="20"/>
          <w:vertAlign w:val="superscript"/>
          <w:lang w:val="en-GB"/>
        </w:rPr>
        <w:t>6</w:t>
      </w:r>
      <w:r w:rsidRPr="00981678">
        <w:rPr>
          <w:rFonts w:ascii="Garamond" w:hAnsi="Garamond"/>
          <w:i/>
          <w:iCs/>
          <w:sz w:val="20"/>
          <w:szCs w:val="20"/>
          <w:lang w:val="en-GB"/>
        </w:rPr>
        <w:t>Department of Physiotherapy, Faculty of Allied Health Sciences, Federal University of Health sciences Ila-</w:t>
      </w:r>
      <w:proofErr w:type="spellStart"/>
      <w:r w:rsidRPr="00981678">
        <w:rPr>
          <w:rFonts w:ascii="Garamond" w:hAnsi="Garamond"/>
          <w:i/>
          <w:iCs/>
          <w:sz w:val="20"/>
          <w:szCs w:val="20"/>
          <w:lang w:val="en-GB"/>
        </w:rPr>
        <w:t>Orangun</w:t>
      </w:r>
      <w:proofErr w:type="spellEnd"/>
      <w:r w:rsidRPr="00981678">
        <w:rPr>
          <w:rFonts w:ascii="Garamond" w:hAnsi="Garamond"/>
          <w:i/>
          <w:iCs/>
          <w:sz w:val="20"/>
          <w:szCs w:val="20"/>
          <w:lang w:val="en-GB"/>
        </w:rPr>
        <w:t>, Osun State, Nigeria.</w:t>
      </w:r>
    </w:p>
    <w:p w14:paraId="3E5791BB" w14:textId="77777777" w:rsidR="00981678" w:rsidRDefault="00981678" w:rsidP="002265FA">
      <w:pPr>
        <w:pBdr>
          <w:bottom w:val="single" w:sz="6" w:space="1" w:color="auto"/>
        </w:pBdr>
        <w:jc w:val="both"/>
        <w:rPr>
          <w:rFonts w:ascii="Garamond" w:hAnsi="Garamond"/>
          <w:i/>
          <w:iCs/>
          <w:sz w:val="20"/>
          <w:szCs w:val="20"/>
        </w:rPr>
      </w:pPr>
    </w:p>
    <w:bookmarkEnd w:id="4"/>
    <w:p w14:paraId="46D10856" w14:textId="0C16E6A8" w:rsidR="004C6FDE" w:rsidRPr="004C6FDE" w:rsidRDefault="001D4D3C" w:rsidP="004C6FDE">
      <w:pPr>
        <w:pBdr>
          <w:bottom w:val="single" w:sz="6" w:space="1" w:color="auto"/>
        </w:pBdr>
        <w:jc w:val="both"/>
        <w:rPr>
          <w:rFonts w:ascii="Garamond" w:hAnsi="Garamond"/>
          <w:b/>
          <w:bCs/>
          <w:sz w:val="20"/>
          <w:szCs w:val="20"/>
          <w:lang w:val="en-GB"/>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proofErr w:type="spellStart"/>
      <w:r w:rsidR="004C6FDE" w:rsidRPr="004C6FDE">
        <w:rPr>
          <w:rFonts w:ascii="Garamond" w:hAnsi="Garamond" w:cs="Segoe UI"/>
          <w:b/>
          <w:bCs/>
          <w:sz w:val="20"/>
          <w:szCs w:val="20"/>
          <w:shd w:val="clear" w:color="auto" w:fill="FFFFFF"/>
          <w:lang w:val="en-GB"/>
        </w:rPr>
        <w:t>Niyi</w:t>
      </w:r>
      <w:proofErr w:type="spellEnd"/>
      <w:r w:rsidR="004C6FDE" w:rsidRPr="004C6FDE">
        <w:rPr>
          <w:rFonts w:ascii="Garamond" w:hAnsi="Garamond" w:cs="Segoe UI"/>
          <w:b/>
          <w:bCs/>
          <w:sz w:val="20"/>
          <w:szCs w:val="20"/>
          <w:shd w:val="clear" w:color="auto" w:fill="FFFFFF"/>
          <w:lang w:val="en-GB"/>
        </w:rPr>
        <w:t xml:space="preserve"> David Akintayo</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4C6FDE" w:rsidRPr="004C6FDE">
        <w:rPr>
          <w:rFonts w:ascii="Garamond" w:hAnsi="Garamond"/>
          <w:bCs/>
          <w:sz w:val="20"/>
          <w:szCs w:val="20"/>
          <w:lang w:val="en-GB"/>
        </w:rPr>
        <w:t>Department of Physiotherapy, Faculty of Basic Medical Sciences, Redeemer’s University, P.M.B 230, Ede, Osun State, Nigeria</w:t>
      </w:r>
      <w:r w:rsidR="004C6FDE">
        <w:rPr>
          <w:rFonts w:ascii="Garamond" w:hAnsi="Garamond"/>
          <w:bCs/>
          <w:sz w:val="20"/>
          <w:szCs w:val="20"/>
          <w:lang w:val="en-GB"/>
        </w:rPr>
        <w:t>.</w:t>
      </w:r>
      <w:hyperlink r:id="rId8" w:history="1">
        <w:r w:rsidR="004C6FDE" w:rsidRPr="004C6FDE">
          <w:rPr>
            <w:rStyle w:val="Hyperlink"/>
            <w:rFonts w:ascii="Garamond" w:hAnsi="Garamond"/>
            <w:bCs/>
            <w:sz w:val="20"/>
            <w:szCs w:val="20"/>
            <w:lang w:val="en-GB"/>
          </w:rPr>
          <w:t>akintayon@run.edu.ng</w:t>
        </w:r>
      </w:hyperlink>
      <w:r w:rsidR="004C6FDE" w:rsidRPr="004C6FDE">
        <w:rPr>
          <w:rFonts w:ascii="Garamond" w:hAnsi="Garamond"/>
          <w:bCs/>
          <w:sz w:val="20"/>
          <w:szCs w:val="20"/>
          <w:lang w:val="en-GB"/>
        </w:rPr>
        <w:t>;+2348166702375</w:t>
      </w:r>
    </w:p>
    <w:p w14:paraId="22774234" w14:textId="77777777" w:rsidR="004C6FDE" w:rsidRDefault="004C6FDE" w:rsidP="00855308">
      <w:pPr>
        <w:pBdr>
          <w:bottom w:val="single" w:sz="6" w:space="1" w:color="auto"/>
        </w:pBdr>
        <w:jc w:val="both"/>
        <w:rPr>
          <w:rFonts w:ascii="Garamond" w:hAnsi="Garamond"/>
          <w:bCs/>
          <w:sz w:val="20"/>
          <w:szCs w:val="20"/>
        </w:rPr>
      </w:pPr>
    </w:p>
    <w:p w14:paraId="15BB8056" w14:textId="58B9EF3A"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E34213">
        <w:rPr>
          <w:rFonts w:ascii="Garamond" w:hAnsi="Garamond"/>
          <w:sz w:val="16"/>
          <w:szCs w:val="16"/>
        </w:rPr>
        <w:t>0</w:t>
      </w:r>
      <w:r w:rsidR="004C6FDE">
        <w:rPr>
          <w:rFonts w:ascii="Garamond" w:hAnsi="Garamond"/>
          <w:sz w:val="16"/>
          <w:szCs w:val="16"/>
        </w:rPr>
        <w:t>8</w:t>
      </w:r>
      <w:r w:rsidR="00943E61" w:rsidRPr="00F30FAF">
        <w:rPr>
          <w:rFonts w:ascii="Garamond" w:hAnsi="Garamond"/>
          <w:sz w:val="16"/>
          <w:szCs w:val="16"/>
        </w:rPr>
        <w:t xml:space="preserve"> </w:t>
      </w:r>
      <w:r w:rsidR="004C6FDE">
        <w:rPr>
          <w:rFonts w:ascii="Garamond" w:hAnsi="Garamond"/>
          <w:sz w:val="16"/>
          <w:szCs w:val="16"/>
        </w:rPr>
        <w:t>February</w:t>
      </w:r>
      <w:r w:rsidR="00943E61" w:rsidRPr="00F30FAF">
        <w:rPr>
          <w:rFonts w:ascii="Garamond" w:hAnsi="Garamond"/>
          <w:sz w:val="16"/>
          <w:szCs w:val="16"/>
        </w:rPr>
        <w:t xml:space="preserve"> 202</w:t>
      </w:r>
      <w:r w:rsidR="004C6FDE">
        <w:rPr>
          <w:rFonts w:ascii="Garamond" w:hAnsi="Garamond"/>
          <w:sz w:val="16"/>
          <w:szCs w:val="16"/>
        </w:rPr>
        <w:t>6</w:t>
      </w:r>
      <w:r w:rsidR="00943E61" w:rsidRPr="00F30FAF">
        <w:rPr>
          <w:rFonts w:ascii="Garamond" w:hAnsi="Garamond"/>
          <w:sz w:val="16"/>
          <w:szCs w:val="16"/>
        </w:rPr>
        <w:t xml:space="preserve">, </w:t>
      </w:r>
      <w:proofErr w:type="gramStart"/>
      <w:r w:rsidR="00943E61" w:rsidRPr="00F30FAF">
        <w:rPr>
          <w:rFonts w:ascii="Garamond" w:hAnsi="Garamond"/>
          <w:sz w:val="16"/>
          <w:szCs w:val="16"/>
        </w:rPr>
        <w:t>Reviewed</w:t>
      </w:r>
      <w:proofErr w:type="gramEnd"/>
      <w:r w:rsidR="00943E61" w:rsidRPr="00F30FAF">
        <w:rPr>
          <w:rFonts w:ascii="Garamond" w:hAnsi="Garamond"/>
          <w:sz w:val="16"/>
          <w:szCs w:val="16"/>
        </w:rPr>
        <w:t xml:space="preserve"> </w:t>
      </w:r>
      <w:r w:rsidR="002E3587">
        <w:rPr>
          <w:rFonts w:ascii="Garamond" w:hAnsi="Garamond"/>
          <w:sz w:val="16"/>
          <w:szCs w:val="16"/>
        </w:rPr>
        <w:t>07</w:t>
      </w:r>
      <w:r w:rsidR="00943E61" w:rsidRPr="00F30FAF">
        <w:rPr>
          <w:rFonts w:ascii="Garamond" w:hAnsi="Garamond"/>
          <w:sz w:val="16"/>
          <w:szCs w:val="16"/>
        </w:rPr>
        <w:t xml:space="preserve"> </w:t>
      </w:r>
      <w:r w:rsidR="002E3587">
        <w:rPr>
          <w:rFonts w:ascii="Garamond" w:hAnsi="Garamond"/>
          <w:sz w:val="16"/>
          <w:szCs w:val="16"/>
        </w:rPr>
        <w:t>March</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1AF8E754" w:rsidR="006732D7" w:rsidRPr="000931E7" w:rsidRDefault="0040264D" w:rsidP="006732D7">
      <w:pPr>
        <w:jc w:val="both"/>
        <w:rPr>
          <w:rFonts w:ascii="Garamond" w:hAnsi="Garamond"/>
          <w:sz w:val="22"/>
          <w:szCs w:val="22"/>
        </w:rPr>
      </w:pPr>
      <w:r w:rsidRPr="000931E7">
        <w:rPr>
          <w:rFonts w:ascii="Garamond" w:hAnsi="Garamond"/>
          <w:b/>
          <w:sz w:val="22"/>
          <w:szCs w:val="20"/>
        </w:rPr>
        <w:t>ABSTRACT</w:t>
      </w:r>
    </w:p>
    <w:p w14:paraId="2C68B739" w14:textId="554F9E71" w:rsidR="00E23DF2" w:rsidRPr="00E23DF2" w:rsidRDefault="0017507F" w:rsidP="00E23DF2">
      <w:pPr>
        <w:jc w:val="both"/>
        <w:rPr>
          <w:rFonts w:ascii="Garamond" w:eastAsiaTheme="minorHAnsi" w:hAnsi="Garamond" w:cstheme="minorHAnsi"/>
          <w:bCs/>
          <w:sz w:val="20"/>
          <w:szCs w:val="20"/>
          <w:lang w:val="en-GB"/>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E23DF2" w:rsidRPr="00E23DF2">
        <w:rPr>
          <w:rFonts w:ascii="Garamond" w:eastAsiaTheme="minorHAnsi" w:hAnsi="Garamond" w:cstheme="minorHAnsi"/>
          <w:b/>
          <w:bCs/>
          <w:sz w:val="20"/>
          <w:szCs w:val="20"/>
        </w:rPr>
        <w:t xml:space="preserve">  </w:t>
      </w:r>
      <w:r w:rsidR="00E23DF2" w:rsidRPr="00E23DF2">
        <w:rPr>
          <w:rFonts w:ascii="Garamond" w:eastAsiaTheme="minorHAnsi" w:hAnsi="Garamond" w:cstheme="minorHAnsi"/>
          <w:bCs/>
          <w:sz w:val="20"/>
          <w:szCs w:val="20"/>
          <w:lang w:val="en-GB"/>
        </w:rPr>
        <w:t>Musculoskeletal disorders remain a prominent occupational health concern in the butchering profession.</w:t>
      </w:r>
      <w:r w:rsidR="00E23DF2" w:rsidRPr="00E23DF2">
        <w:rPr>
          <w:rFonts w:ascii="Garamond" w:eastAsiaTheme="minorHAnsi" w:hAnsi="Garamond" w:cstheme="minorHAnsi"/>
          <w:bCs/>
          <w:sz w:val="20"/>
          <w:szCs w:val="20"/>
        </w:rPr>
        <w:t xml:space="preserve"> </w:t>
      </w:r>
      <w:r w:rsidR="00E23DF2" w:rsidRPr="00E23DF2">
        <w:rPr>
          <w:rFonts w:ascii="Garamond" w:eastAsiaTheme="minorHAnsi" w:hAnsi="Garamond" w:cstheme="minorHAnsi"/>
          <w:bCs/>
          <w:sz w:val="20"/>
          <w:szCs w:val="20"/>
          <w:lang w:val="en-GB"/>
        </w:rPr>
        <w:t xml:space="preserve">Therefore, this study aimed to map evidence on the prevalence and pattern of </w:t>
      </w:r>
      <w:bookmarkStart w:id="5" w:name="_Hlk220234732"/>
      <w:r w:rsidR="00E23DF2" w:rsidRPr="00E23DF2">
        <w:rPr>
          <w:rFonts w:ascii="Garamond" w:eastAsiaTheme="minorHAnsi" w:hAnsi="Garamond" w:cstheme="minorHAnsi"/>
          <w:bCs/>
          <w:sz w:val="20"/>
          <w:szCs w:val="20"/>
          <w:lang w:val="en-GB"/>
        </w:rPr>
        <w:t xml:space="preserve">Work-related Musculoskeletal Disorders </w:t>
      </w:r>
      <w:bookmarkEnd w:id="5"/>
      <w:r w:rsidR="00E23DF2" w:rsidRPr="00E23DF2">
        <w:rPr>
          <w:rFonts w:ascii="Garamond" w:eastAsiaTheme="minorHAnsi" w:hAnsi="Garamond" w:cstheme="minorHAnsi"/>
          <w:bCs/>
          <w:sz w:val="20"/>
          <w:szCs w:val="20"/>
          <w:lang w:val="en-GB"/>
        </w:rPr>
        <w:t xml:space="preserve">(WRMSDs) among butchers worldwide as this would help in the formulation of needed occupational health policy or workplace interventions. </w:t>
      </w:r>
    </w:p>
    <w:p w14:paraId="4849C58C" w14:textId="77777777" w:rsidR="00E23DF2" w:rsidRPr="00E23DF2" w:rsidRDefault="00E23DF2" w:rsidP="00E23DF2">
      <w:pPr>
        <w:jc w:val="both"/>
        <w:rPr>
          <w:rFonts w:ascii="Garamond" w:eastAsiaTheme="minorHAnsi" w:hAnsi="Garamond" w:cstheme="minorHAnsi"/>
          <w:bCs/>
          <w:sz w:val="20"/>
          <w:szCs w:val="20"/>
          <w:lang w:val="en-GB"/>
        </w:rPr>
      </w:pPr>
      <w:r w:rsidRPr="00E23DF2">
        <w:rPr>
          <w:rFonts w:ascii="Garamond" w:eastAsiaTheme="minorHAnsi" w:hAnsi="Garamond" w:cstheme="minorHAnsi"/>
          <w:b/>
          <w:bCs/>
          <w:sz w:val="20"/>
          <w:szCs w:val="20"/>
        </w:rPr>
        <w:t>Methods:</w:t>
      </w:r>
      <w:r w:rsidRPr="00E23DF2">
        <w:rPr>
          <w:rFonts w:ascii="Garamond" w:eastAsiaTheme="minorHAnsi" w:hAnsi="Garamond" w:cstheme="minorHAnsi"/>
          <w:bCs/>
          <w:sz w:val="20"/>
          <w:szCs w:val="20"/>
        </w:rPr>
        <w:t xml:space="preserve"> </w:t>
      </w:r>
      <w:r w:rsidRPr="00E23DF2">
        <w:rPr>
          <w:rFonts w:ascii="Garamond" w:eastAsiaTheme="minorHAnsi" w:hAnsi="Garamond" w:cstheme="minorHAnsi"/>
          <w:bCs/>
          <w:sz w:val="20"/>
          <w:szCs w:val="20"/>
          <w:lang w:val="en-GB"/>
        </w:rPr>
        <w:t>A scoping review was conducted following the Arksey and O’Malley framework, enhanced by Levac, and reported per PRISMA-</w:t>
      </w:r>
      <w:proofErr w:type="spellStart"/>
      <w:r w:rsidRPr="00E23DF2">
        <w:rPr>
          <w:rFonts w:ascii="Garamond" w:eastAsiaTheme="minorHAnsi" w:hAnsi="Garamond" w:cstheme="minorHAnsi"/>
          <w:bCs/>
          <w:sz w:val="20"/>
          <w:szCs w:val="20"/>
          <w:lang w:val="en-GB"/>
        </w:rPr>
        <w:t>ScR</w:t>
      </w:r>
      <w:proofErr w:type="spellEnd"/>
      <w:r w:rsidRPr="00E23DF2">
        <w:rPr>
          <w:rFonts w:ascii="Garamond" w:eastAsiaTheme="minorHAnsi" w:hAnsi="Garamond" w:cstheme="minorHAnsi"/>
          <w:bCs/>
          <w:sz w:val="20"/>
          <w:szCs w:val="20"/>
          <w:lang w:val="en-GB"/>
        </w:rPr>
        <w:t xml:space="preserve"> guidelines. Eight databases (PubMed, Google Scholar, CINAHL, Medline, </w:t>
      </w:r>
      <w:proofErr w:type="spellStart"/>
      <w:r w:rsidRPr="00E23DF2">
        <w:rPr>
          <w:rFonts w:ascii="Garamond" w:eastAsiaTheme="minorHAnsi" w:hAnsi="Garamond" w:cstheme="minorHAnsi"/>
          <w:bCs/>
          <w:sz w:val="20"/>
          <w:szCs w:val="20"/>
          <w:lang w:val="en-GB"/>
        </w:rPr>
        <w:t>AJoL</w:t>
      </w:r>
      <w:proofErr w:type="spellEnd"/>
      <w:r w:rsidRPr="00E23DF2">
        <w:rPr>
          <w:rFonts w:ascii="Garamond" w:eastAsiaTheme="minorHAnsi" w:hAnsi="Garamond" w:cstheme="minorHAnsi"/>
          <w:bCs/>
          <w:sz w:val="20"/>
          <w:szCs w:val="20"/>
          <w:lang w:val="en-GB"/>
        </w:rPr>
        <w:t>, Scopus, Web of science, and EMBASE) were searched (between 2016 – 2022) for peer-reviewed observational studies reporting musculoskeletal symptoms or injuries in actively employed butchers. Six studies met inclusion criteria. Data were narratively synthesized to map prevalence trends, risk factors, and preventive practices.</w:t>
      </w:r>
    </w:p>
    <w:p w14:paraId="512C5C68" w14:textId="77777777" w:rsidR="00E23DF2" w:rsidRPr="00E23DF2" w:rsidRDefault="00E23DF2" w:rsidP="00E23DF2">
      <w:pPr>
        <w:jc w:val="both"/>
        <w:rPr>
          <w:rFonts w:ascii="Garamond" w:eastAsiaTheme="minorHAnsi" w:hAnsi="Garamond" w:cstheme="minorHAnsi"/>
          <w:bCs/>
          <w:sz w:val="20"/>
          <w:szCs w:val="20"/>
        </w:rPr>
      </w:pPr>
      <w:r w:rsidRPr="00E23DF2">
        <w:rPr>
          <w:rFonts w:ascii="Garamond" w:eastAsiaTheme="minorHAnsi" w:hAnsi="Garamond" w:cstheme="minorHAnsi"/>
          <w:b/>
          <w:bCs/>
          <w:sz w:val="20"/>
          <w:szCs w:val="20"/>
        </w:rPr>
        <w:t>Results:</w:t>
      </w:r>
      <w:r w:rsidRPr="00E23DF2">
        <w:rPr>
          <w:rFonts w:ascii="Garamond" w:eastAsiaTheme="minorHAnsi" w:hAnsi="Garamond" w:cstheme="minorHAnsi"/>
          <w:bCs/>
          <w:sz w:val="20"/>
          <w:szCs w:val="20"/>
        </w:rPr>
        <w:t xml:space="preserve"> </w:t>
      </w:r>
      <w:r w:rsidRPr="00E23DF2">
        <w:rPr>
          <w:rFonts w:ascii="Garamond" w:eastAsiaTheme="minorHAnsi" w:hAnsi="Garamond" w:cstheme="minorHAnsi"/>
          <w:bCs/>
          <w:sz w:val="20"/>
          <w:szCs w:val="20"/>
          <w:lang w:val="en-GB"/>
        </w:rPr>
        <w:t>Work-related Musculoskeletal Disorders 12-month prevalence ranged from 10.3% to 88.2%, and the most commonly affected body region are the lower back, shoulders, wrists, and neck. Risk factors included repetitive knife use, heavy lifting, poor posture, prolonged standing, inadequate equipment, and lack of protective gear. Only one study used clinical diagnostic tools; others relied on self-reports. Preventive strategies were poorly documented, with low awareness and unsafe practices noted.</w:t>
      </w:r>
      <w:r w:rsidRPr="00E23DF2">
        <w:rPr>
          <w:rFonts w:ascii="Garamond" w:eastAsiaTheme="minorHAnsi" w:hAnsi="Garamond" w:cstheme="minorHAnsi"/>
          <w:bCs/>
          <w:sz w:val="20"/>
          <w:szCs w:val="20"/>
        </w:rPr>
        <w:t xml:space="preserve"> </w:t>
      </w:r>
    </w:p>
    <w:p w14:paraId="2DE1E5BD" w14:textId="77777777" w:rsidR="00E23DF2" w:rsidRPr="00E23DF2" w:rsidRDefault="00E23DF2" w:rsidP="00E23DF2">
      <w:pPr>
        <w:jc w:val="both"/>
        <w:rPr>
          <w:rFonts w:ascii="Garamond" w:eastAsiaTheme="minorHAnsi" w:hAnsi="Garamond" w:cstheme="minorHAnsi"/>
          <w:bCs/>
          <w:sz w:val="20"/>
          <w:szCs w:val="20"/>
          <w:lang w:val="en-GB"/>
        </w:rPr>
      </w:pPr>
      <w:r w:rsidRPr="00E23DF2">
        <w:rPr>
          <w:rFonts w:ascii="Garamond" w:eastAsiaTheme="minorHAnsi" w:hAnsi="Garamond" w:cstheme="minorHAnsi"/>
          <w:b/>
          <w:bCs/>
          <w:sz w:val="20"/>
          <w:szCs w:val="20"/>
          <w:lang w:val="en-GB"/>
        </w:rPr>
        <w:t>Conclusion:</w:t>
      </w:r>
      <w:r w:rsidRPr="00E23DF2">
        <w:rPr>
          <w:rFonts w:ascii="Garamond" w:eastAsiaTheme="minorHAnsi" w:hAnsi="Garamond" w:cstheme="minorHAnsi"/>
          <w:bCs/>
          <w:sz w:val="20"/>
          <w:szCs w:val="20"/>
          <w:lang w:val="en-GB"/>
        </w:rPr>
        <w:t xml:space="preserve"> Butchers experience disproportionately high Work-related Musculoskeletal Disorders rates, especially in the spine and upper extremities, driven by task demands and poor ergonomics. Evidence on prevention remains sparse, underscoring the need for targeted occupational health programs, ergonomic interventions, and further longitudinal or interventional research.</w:t>
      </w:r>
    </w:p>
    <w:p w14:paraId="08DEEFB7" w14:textId="77777777" w:rsidR="00E23DF2" w:rsidRDefault="00E23DF2" w:rsidP="00E23DF2">
      <w:pPr>
        <w:jc w:val="both"/>
        <w:rPr>
          <w:rFonts w:ascii="Garamond" w:eastAsiaTheme="minorHAnsi" w:hAnsi="Garamond" w:cstheme="minorHAnsi"/>
          <w:b/>
          <w:sz w:val="20"/>
          <w:szCs w:val="20"/>
        </w:rPr>
      </w:pPr>
    </w:p>
    <w:p w14:paraId="4E3742F9" w14:textId="6A7E430B" w:rsidR="00E23DF2" w:rsidRPr="00E23DF2" w:rsidRDefault="00E23DF2" w:rsidP="00E23DF2">
      <w:pPr>
        <w:jc w:val="both"/>
        <w:rPr>
          <w:rFonts w:ascii="Garamond" w:eastAsiaTheme="minorHAnsi" w:hAnsi="Garamond" w:cstheme="minorHAnsi"/>
          <w:bCs/>
          <w:sz w:val="20"/>
          <w:szCs w:val="20"/>
        </w:rPr>
      </w:pPr>
      <w:r w:rsidRPr="00E23DF2">
        <w:rPr>
          <w:rFonts w:ascii="Garamond" w:eastAsiaTheme="minorHAnsi" w:hAnsi="Garamond" w:cstheme="minorHAnsi"/>
          <w:b/>
          <w:sz w:val="20"/>
          <w:szCs w:val="20"/>
        </w:rPr>
        <w:t>Keywords</w:t>
      </w:r>
      <w:r w:rsidRPr="00E23DF2">
        <w:rPr>
          <w:rFonts w:ascii="Garamond" w:eastAsiaTheme="minorHAnsi" w:hAnsi="Garamond" w:cstheme="minorHAnsi"/>
          <w:bCs/>
          <w:sz w:val="20"/>
          <w:szCs w:val="20"/>
        </w:rPr>
        <w:t>: musculoskeletal pain, prevalence, risk factors, Butchers, Scoping review.</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0B3409">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421"/>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4F81804C"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77740433">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62A10237">
                <wp:simplePos x="0" y="0"/>
                <wp:positionH relativeFrom="margin">
                  <wp:posOffset>3254829</wp:posOffset>
                </wp:positionH>
                <wp:positionV relativeFrom="paragraph">
                  <wp:posOffset>27759</wp:posOffset>
                </wp:positionV>
                <wp:extent cx="2671639" cy="1077685"/>
                <wp:effectExtent l="0" t="0" r="8255" b="14605"/>
                <wp:wrapNone/>
                <wp:docPr id="8" name="Text Box 8"/>
                <wp:cNvGraphicFramePr/>
                <a:graphic xmlns:a="http://schemas.openxmlformats.org/drawingml/2006/main">
                  <a:graphicData uri="http://schemas.microsoft.com/office/word/2010/wordprocessingShape">
                    <wps:wsp>
                      <wps:cNvSpPr txBox="1"/>
                      <wps:spPr>
                        <a:xfrm>
                          <a:off x="0" y="0"/>
                          <a:ext cx="2671639" cy="927073"/>
                        </a:xfrm>
                        <a:prstGeom prst="rect">
                          <a:avLst/>
                        </a:prstGeom>
                        <a:solidFill>
                          <a:sysClr val="window" lastClr="FFFFFF"/>
                        </a:solidFill>
                        <a:ln w="6350">
                          <a:solidFill>
                            <a:srgbClr val="70AD47">
                              <a:lumMod val="75000"/>
                            </a:srgbClr>
                          </a:solidFill>
                        </a:ln>
                      </wps:spPr>
                      <wps:txbx>
                        <w:txbxContent>
                          <w:p w14:paraId="65562D4D" w14:textId="55DED2CB" w:rsidR="00576722" w:rsidRPr="00981678" w:rsidRDefault="00DE2A58" w:rsidP="00D26558">
                            <w:pPr>
                              <w:pBdr>
                                <w:bottom w:val="single" w:sz="6" w:space="1" w:color="auto"/>
                              </w:pBdr>
                              <w:jc w:val="both"/>
                              <w:rPr>
                                <w:rFonts w:ascii="Garamond" w:hAnsi="Garamond" w:cs="Segoe UI"/>
                                <w:sz w:val="19"/>
                                <w:szCs w:val="19"/>
                                <w:shd w:val="clear" w:color="auto" w:fill="FFFFFF"/>
                              </w:rPr>
                            </w:pPr>
                            <w:r w:rsidRPr="004E53CB">
                              <w:rPr>
                                <w:rFonts w:ascii="Garamond" w:hAnsi="Garamond" w:cs="Times New Roman"/>
                                <w:i/>
                                <w:iCs/>
                                <w:sz w:val="20"/>
                                <w:szCs w:val="20"/>
                              </w:rPr>
                              <w:t xml:space="preserve">Akintayo ND, </w:t>
                            </w:r>
                            <w:proofErr w:type="spellStart"/>
                            <w:r w:rsidRPr="004E53CB">
                              <w:rPr>
                                <w:rFonts w:ascii="Garamond" w:hAnsi="Garamond" w:cs="Times New Roman"/>
                                <w:i/>
                                <w:iCs/>
                                <w:sz w:val="20"/>
                                <w:szCs w:val="20"/>
                              </w:rPr>
                              <w:t>Isayode</w:t>
                            </w:r>
                            <w:proofErr w:type="spellEnd"/>
                            <w:r w:rsidRPr="004E53CB">
                              <w:rPr>
                                <w:rFonts w:ascii="Garamond" w:hAnsi="Garamond" w:cs="Times New Roman"/>
                                <w:i/>
                                <w:iCs/>
                                <w:sz w:val="20"/>
                                <w:szCs w:val="20"/>
                              </w:rPr>
                              <w:t xml:space="preserve"> GA, Adeleke JO, </w:t>
                            </w:r>
                            <w:proofErr w:type="spellStart"/>
                            <w:r w:rsidRPr="004E53CB">
                              <w:rPr>
                                <w:rFonts w:ascii="Garamond" w:hAnsi="Garamond" w:cs="Times New Roman"/>
                                <w:i/>
                                <w:iCs/>
                                <w:sz w:val="20"/>
                                <w:szCs w:val="20"/>
                              </w:rPr>
                              <w:t>Fowowe</w:t>
                            </w:r>
                            <w:proofErr w:type="spellEnd"/>
                            <w:r w:rsidRPr="004E53CB">
                              <w:rPr>
                                <w:rFonts w:ascii="Garamond" w:hAnsi="Garamond" w:cs="Times New Roman"/>
                                <w:i/>
                                <w:iCs/>
                                <w:sz w:val="20"/>
                                <w:szCs w:val="20"/>
                              </w:rPr>
                              <w:t xml:space="preserve"> AA, Ladapo JT, </w:t>
                            </w:r>
                            <w:proofErr w:type="spellStart"/>
                            <w:r w:rsidRPr="004E53CB">
                              <w:rPr>
                                <w:rFonts w:ascii="Garamond" w:hAnsi="Garamond" w:cs="Times New Roman"/>
                                <w:i/>
                                <w:iCs/>
                                <w:sz w:val="20"/>
                                <w:szCs w:val="20"/>
                              </w:rPr>
                              <w:t>Onisile</w:t>
                            </w:r>
                            <w:proofErr w:type="spellEnd"/>
                            <w:r w:rsidRPr="004E53CB">
                              <w:rPr>
                                <w:rFonts w:ascii="Garamond" w:hAnsi="Garamond" w:cs="Times New Roman"/>
                                <w:i/>
                                <w:iCs/>
                                <w:sz w:val="20"/>
                                <w:szCs w:val="20"/>
                              </w:rPr>
                              <w:t xml:space="preserve"> DF, Idowu OA</w:t>
                            </w:r>
                            <w:r>
                              <w:rPr>
                                <w:rFonts w:ascii="Garamond" w:hAnsi="Garamond" w:cs="Segoe UI"/>
                                <w:sz w:val="19"/>
                                <w:szCs w:val="19"/>
                                <w:shd w:val="clear" w:color="auto" w:fill="FFFFFF"/>
                                <w:lang w:val="en-GB"/>
                              </w:rPr>
                              <w:t xml:space="preserve">. </w:t>
                            </w:r>
                            <w:r w:rsidR="00E23DF2" w:rsidRPr="00981678">
                              <w:rPr>
                                <w:rFonts w:ascii="Garamond" w:hAnsi="Garamond" w:cs="Segoe UI"/>
                                <w:sz w:val="19"/>
                                <w:szCs w:val="19"/>
                                <w:shd w:val="clear" w:color="auto" w:fill="FFFFFF"/>
                                <w:lang w:val="en-GB"/>
                              </w:rPr>
                              <w:t>Global Prevalence and Patterns of Work-related Musculoskeletal Disorders among Butchers: A Scoping Review</w:t>
                            </w:r>
                            <w:r w:rsidR="00E23DF2" w:rsidRPr="00981678">
                              <w:rPr>
                                <w:rFonts w:ascii="Garamond" w:hAnsi="Garamond" w:cs="Segoe UI"/>
                                <w:i/>
                                <w:iCs/>
                                <w:sz w:val="19"/>
                                <w:szCs w:val="19"/>
                                <w:shd w:val="clear" w:color="auto" w:fill="FFFFFF"/>
                              </w:rPr>
                              <w:t xml:space="preserve">. </w:t>
                            </w:r>
                            <w:r w:rsidR="00576722" w:rsidRPr="00981678">
                              <w:rPr>
                                <w:rFonts w:ascii="Garamond" w:hAnsi="Garamond" w:cs="Segoe UI"/>
                                <w:color w:val="000000" w:themeColor="text1"/>
                                <w:sz w:val="19"/>
                                <w:szCs w:val="19"/>
                                <w:shd w:val="clear" w:color="auto" w:fill="FFFFFF"/>
                              </w:rPr>
                              <w:t>The Nigerian Health Journal 202</w:t>
                            </w:r>
                            <w:r w:rsidR="00347612" w:rsidRPr="00981678">
                              <w:rPr>
                                <w:rFonts w:ascii="Garamond" w:hAnsi="Garamond" w:cs="Segoe UI"/>
                                <w:color w:val="000000" w:themeColor="text1"/>
                                <w:sz w:val="19"/>
                                <w:szCs w:val="19"/>
                                <w:shd w:val="clear" w:color="auto" w:fill="FFFFFF"/>
                              </w:rPr>
                              <w:t>6</w:t>
                            </w:r>
                            <w:r w:rsidR="00576722" w:rsidRPr="00981678">
                              <w:rPr>
                                <w:rFonts w:ascii="Garamond" w:hAnsi="Garamond" w:cs="Segoe UI"/>
                                <w:color w:val="000000" w:themeColor="text1"/>
                                <w:sz w:val="19"/>
                                <w:szCs w:val="19"/>
                                <w:shd w:val="clear" w:color="auto" w:fill="FFFFFF"/>
                              </w:rPr>
                              <w:t>; 2</w:t>
                            </w:r>
                            <w:r w:rsidR="00347612" w:rsidRPr="00981678">
                              <w:rPr>
                                <w:rFonts w:ascii="Garamond" w:hAnsi="Garamond" w:cs="Segoe UI"/>
                                <w:color w:val="000000" w:themeColor="text1"/>
                                <w:sz w:val="19"/>
                                <w:szCs w:val="19"/>
                                <w:shd w:val="clear" w:color="auto" w:fill="FFFFFF"/>
                              </w:rPr>
                              <w:t>6</w:t>
                            </w:r>
                            <w:r w:rsidR="00576722" w:rsidRPr="00981678">
                              <w:rPr>
                                <w:rFonts w:ascii="Garamond" w:hAnsi="Garamond" w:cs="Segoe UI"/>
                                <w:color w:val="000000" w:themeColor="text1"/>
                                <w:sz w:val="19"/>
                                <w:szCs w:val="19"/>
                                <w:shd w:val="clear" w:color="auto" w:fill="FFFFFF"/>
                              </w:rPr>
                              <w:t>(</w:t>
                            </w:r>
                            <w:r w:rsidR="00347612" w:rsidRPr="00981678">
                              <w:rPr>
                                <w:rFonts w:ascii="Garamond" w:hAnsi="Garamond" w:cs="Segoe UI"/>
                                <w:color w:val="000000" w:themeColor="text1"/>
                                <w:sz w:val="19"/>
                                <w:szCs w:val="19"/>
                                <w:shd w:val="clear" w:color="auto" w:fill="FFFFFF"/>
                              </w:rPr>
                              <w:t>1</w:t>
                            </w:r>
                            <w:r w:rsidR="00576722" w:rsidRPr="00981678">
                              <w:rPr>
                                <w:rFonts w:ascii="Garamond" w:hAnsi="Garamond" w:cs="Segoe UI"/>
                                <w:color w:val="000000" w:themeColor="text1"/>
                                <w:sz w:val="19"/>
                                <w:szCs w:val="19"/>
                                <w:shd w:val="clear" w:color="auto" w:fill="FFFFFF"/>
                              </w:rPr>
                              <w:t>)</w:t>
                            </w:r>
                            <w:r w:rsidR="000B3409">
                              <w:rPr>
                                <w:rFonts w:ascii="Garamond" w:hAnsi="Garamond" w:cs="Segoe UI"/>
                                <w:color w:val="000000" w:themeColor="text1"/>
                                <w:sz w:val="19"/>
                                <w:szCs w:val="19"/>
                                <w:shd w:val="clear" w:color="auto" w:fill="FFFFFF"/>
                              </w:rPr>
                              <w:t xml:space="preserve">: 421 – 431. </w:t>
                            </w:r>
                            <w:hyperlink r:id="rId22" w:history="1">
                              <w:r w:rsidR="000B3409" w:rsidRPr="008D4B15">
                                <w:rPr>
                                  <w:rStyle w:val="Hyperlink"/>
                                  <w:rFonts w:ascii="Garamond" w:hAnsi="Garamond" w:cs="Arial"/>
                                  <w:sz w:val="20"/>
                                  <w:szCs w:val="20"/>
                                </w:rPr>
                                <w:t>https://doi.org/10.71637/tnhj.v26i1.1333</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7" type="#_x0000_t202" style="position:absolute;left:0;text-align:left;margin-left:256.3pt;margin-top:2.2pt;width:210.35pt;height:84.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" fillcolor="window" strokecolor="#548235" strokeweight=".5pt">
                <v:textbox>
                  <w:txbxContent>
                    <w:p w14:paraId="65562D4D" w14:textId="55DED2CB" w:rsidR="00576722" w:rsidRPr="00981678" w:rsidRDefault="00DE2A58" w:rsidP="00D26558">
                      <w:pPr>
                        <w:pBdr>
                          <w:bottom w:val="single" w:sz="6" w:space="1" w:color="auto"/>
                        </w:pBdr>
                        <w:jc w:val="both"/>
                        <w:rPr>
                          <w:rFonts w:ascii="Garamond" w:hAnsi="Garamond" w:cs="Segoe UI"/>
                          <w:sz w:val="19"/>
                          <w:szCs w:val="19"/>
                          <w:shd w:val="clear" w:color="auto" w:fill="FFFFFF"/>
                        </w:rPr>
                      </w:pPr>
                      <w:r w:rsidRPr="004E53CB">
                        <w:rPr>
                          <w:rFonts w:ascii="Garamond" w:hAnsi="Garamond" w:cs="Times New Roman"/>
                          <w:i/>
                          <w:iCs/>
                          <w:sz w:val="20"/>
                          <w:szCs w:val="20"/>
                        </w:rPr>
                        <w:t xml:space="preserve">Akintayo ND, </w:t>
                      </w:r>
                      <w:proofErr w:type="spellStart"/>
                      <w:r w:rsidRPr="004E53CB">
                        <w:rPr>
                          <w:rFonts w:ascii="Garamond" w:hAnsi="Garamond" w:cs="Times New Roman"/>
                          <w:i/>
                          <w:iCs/>
                          <w:sz w:val="20"/>
                          <w:szCs w:val="20"/>
                        </w:rPr>
                        <w:t>Isayode</w:t>
                      </w:r>
                      <w:proofErr w:type="spellEnd"/>
                      <w:r w:rsidRPr="004E53CB">
                        <w:rPr>
                          <w:rFonts w:ascii="Garamond" w:hAnsi="Garamond" w:cs="Times New Roman"/>
                          <w:i/>
                          <w:iCs/>
                          <w:sz w:val="20"/>
                          <w:szCs w:val="20"/>
                        </w:rPr>
                        <w:t xml:space="preserve"> GA, Adeleke JO, </w:t>
                      </w:r>
                      <w:proofErr w:type="spellStart"/>
                      <w:r w:rsidRPr="004E53CB">
                        <w:rPr>
                          <w:rFonts w:ascii="Garamond" w:hAnsi="Garamond" w:cs="Times New Roman"/>
                          <w:i/>
                          <w:iCs/>
                          <w:sz w:val="20"/>
                          <w:szCs w:val="20"/>
                        </w:rPr>
                        <w:t>Fowowe</w:t>
                      </w:r>
                      <w:proofErr w:type="spellEnd"/>
                      <w:r w:rsidRPr="004E53CB">
                        <w:rPr>
                          <w:rFonts w:ascii="Garamond" w:hAnsi="Garamond" w:cs="Times New Roman"/>
                          <w:i/>
                          <w:iCs/>
                          <w:sz w:val="20"/>
                          <w:szCs w:val="20"/>
                        </w:rPr>
                        <w:t xml:space="preserve"> AA, Ladapo JT, </w:t>
                      </w:r>
                      <w:proofErr w:type="spellStart"/>
                      <w:r w:rsidRPr="004E53CB">
                        <w:rPr>
                          <w:rFonts w:ascii="Garamond" w:hAnsi="Garamond" w:cs="Times New Roman"/>
                          <w:i/>
                          <w:iCs/>
                          <w:sz w:val="20"/>
                          <w:szCs w:val="20"/>
                        </w:rPr>
                        <w:t>Onisile</w:t>
                      </w:r>
                      <w:proofErr w:type="spellEnd"/>
                      <w:r w:rsidRPr="004E53CB">
                        <w:rPr>
                          <w:rFonts w:ascii="Garamond" w:hAnsi="Garamond" w:cs="Times New Roman"/>
                          <w:i/>
                          <w:iCs/>
                          <w:sz w:val="20"/>
                          <w:szCs w:val="20"/>
                        </w:rPr>
                        <w:t xml:space="preserve"> DF, Idowu OA</w:t>
                      </w:r>
                      <w:r>
                        <w:rPr>
                          <w:rFonts w:ascii="Garamond" w:hAnsi="Garamond" w:cs="Segoe UI"/>
                          <w:sz w:val="19"/>
                          <w:szCs w:val="19"/>
                          <w:shd w:val="clear" w:color="auto" w:fill="FFFFFF"/>
                          <w:lang w:val="en-GB"/>
                        </w:rPr>
                        <w:t xml:space="preserve">. </w:t>
                      </w:r>
                      <w:r w:rsidR="00E23DF2" w:rsidRPr="00981678">
                        <w:rPr>
                          <w:rFonts w:ascii="Garamond" w:hAnsi="Garamond" w:cs="Segoe UI"/>
                          <w:sz w:val="19"/>
                          <w:szCs w:val="19"/>
                          <w:shd w:val="clear" w:color="auto" w:fill="FFFFFF"/>
                          <w:lang w:val="en-GB"/>
                        </w:rPr>
                        <w:t>Global Prevalence and Patterns of Work-related Musculoskeletal Disorders among Butchers: A Scoping Review</w:t>
                      </w:r>
                      <w:r w:rsidR="00E23DF2" w:rsidRPr="00981678">
                        <w:rPr>
                          <w:rFonts w:ascii="Garamond" w:hAnsi="Garamond" w:cs="Segoe UI"/>
                          <w:i/>
                          <w:iCs/>
                          <w:sz w:val="19"/>
                          <w:szCs w:val="19"/>
                          <w:shd w:val="clear" w:color="auto" w:fill="FFFFFF"/>
                        </w:rPr>
                        <w:t xml:space="preserve">. </w:t>
                      </w:r>
                      <w:r w:rsidR="00576722" w:rsidRPr="00981678">
                        <w:rPr>
                          <w:rFonts w:ascii="Garamond" w:hAnsi="Garamond" w:cs="Segoe UI"/>
                          <w:color w:val="000000" w:themeColor="text1"/>
                          <w:sz w:val="19"/>
                          <w:szCs w:val="19"/>
                          <w:shd w:val="clear" w:color="auto" w:fill="FFFFFF"/>
                        </w:rPr>
                        <w:t>The Nigerian Health Journal 202</w:t>
                      </w:r>
                      <w:r w:rsidR="00347612" w:rsidRPr="00981678">
                        <w:rPr>
                          <w:rFonts w:ascii="Garamond" w:hAnsi="Garamond" w:cs="Segoe UI"/>
                          <w:color w:val="000000" w:themeColor="text1"/>
                          <w:sz w:val="19"/>
                          <w:szCs w:val="19"/>
                          <w:shd w:val="clear" w:color="auto" w:fill="FFFFFF"/>
                        </w:rPr>
                        <w:t>6</w:t>
                      </w:r>
                      <w:r w:rsidR="00576722" w:rsidRPr="00981678">
                        <w:rPr>
                          <w:rFonts w:ascii="Garamond" w:hAnsi="Garamond" w:cs="Segoe UI"/>
                          <w:color w:val="000000" w:themeColor="text1"/>
                          <w:sz w:val="19"/>
                          <w:szCs w:val="19"/>
                          <w:shd w:val="clear" w:color="auto" w:fill="FFFFFF"/>
                        </w:rPr>
                        <w:t>; 2</w:t>
                      </w:r>
                      <w:r w:rsidR="00347612" w:rsidRPr="00981678">
                        <w:rPr>
                          <w:rFonts w:ascii="Garamond" w:hAnsi="Garamond" w:cs="Segoe UI"/>
                          <w:color w:val="000000" w:themeColor="text1"/>
                          <w:sz w:val="19"/>
                          <w:szCs w:val="19"/>
                          <w:shd w:val="clear" w:color="auto" w:fill="FFFFFF"/>
                        </w:rPr>
                        <w:t>6</w:t>
                      </w:r>
                      <w:r w:rsidR="00576722" w:rsidRPr="00981678">
                        <w:rPr>
                          <w:rFonts w:ascii="Garamond" w:hAnsi="Garamond" w:cs="Segoe UI"/>
                          <w:color w:val="000000" w:themeColor="text1"/>
                          <w:sz w:val="19"/>
                          <w:szCs w:val="19"/>
                          <w:shd w:val="clear" w:color="auto" w:fill="FFFFFF"/>
                        </w:rPr>
                        <w:t>(</w:t>
                      </w:r>
                      <w:r w:rsidR="00347612" w:rsidRPr="00981678">
                        <w:rPr>
                          <w:rFonts w:ascii="Garamond" w:hAnsi="Garamond" w:cs="Segoe UI"/>
                          <w:color w:val="000000" w:themeColor="text1"/>
                          <w:sz w:val="19"/>
                          <w:szCs w:val="19"/>
                          <w:shd w:val="clear" w:color="auto" w:fill="FFFFFF"/>
                        </w:rPr>
                        <w:t>1</w:t>
                      </w:r>
                      <w:r w:rsidR="00576722" w:rsidRPr="00981678">
                        <w:rPr>
                          <w:rFonts w:ascii="Garamond" w:hAnsi="Garamond" w:cs="Segoe UI"/>
                          <w:color w:val="000000" w:themeColor="text1"/>
                          <w:sz w:val="19"/>
                          <w:szCs w:val="19"/>
                          <w:shd w:val="clear" w:color="auto" w:fill="FFFFFF"/>
                        </w:rPr>
                        <w:t>)</w:t>
                      </w:r>
                      <w:r w:rsidR="000B3409">
                        <w:rPr>
                          <w:rFonts w:ascii="Garamond" w:hAnsi="Garamond" w:cs="Segoe UI"/>
                          <w:color w:val="000000" w:themeColor="text1"/>
                          <w:sz w:val="19"/>
                          <w:szCs w:val="19"/>
                          <w:shd w:val="clear" w:color="auto" w:fill="FFFFFF"/>
                        </w:rPr>
                        <w:t xml:space="preserve">: 421 – 431. </w:t>
                      </w:r>
                      <w:hyperlink r:id="rId23" w:history="1">
                        <w:r w:rsidR="000B3409" w:rsidRPr="008D4B15">
                          <w:rPr>
                            <w:rStyle w:val="Hyperlink"/>
                            <w:rFonts w:ascii="Garamond" w:hAnsi="Garamond" w:cs="Arial"/>
                            <w:sz w:val="20"/>
                            <w:szCs w:val="20"/>
                          </w:rPr>
                          <w:t>https://doi.org/10.71637/tnhj.v26i1.1333</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46C66752" w:rsidR="000720E5" w:rsidRDefault="0040264D"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31B7529F" w14:textId="447685F0" w:rsidR="008D0E7E" w:rsidRDefault="008D0E7E" w:rsidP="008D0E7E">
      <w:pPr>
        <w:spacing w:line="259" w:lineRule="auto"/>
        <w:jc w:val="both"/>
        <w:rPr>
          <w:rFonts w:ascii="Garamond" w:hAnsi="Garamond"/>
          <w:bCs/>
          <w:iCs/>
          <w:sz w:val="20"/>
          <w:szCs w:val="20"/>
          <w:lang w:val="en-GB"/>
        </w:rPr>
      </w:pPr>
      <w:bookmarkStart w:id="9" w:name="_Hlk220234765"/>
      <w:r w:rsidRPr="008D0E7E">
        <w:rPr>
          <w:rFonts w:ascii="Garamond" w:hAnsi="Garamond"/>
          <w:bCs/>
          <w:iCs/>
          <w:sz w:val="20"/>
          <w:szCs w:val="20"/>
          <w:lang w:val="en-GB"/>
        </w:rPr>
        <w:t xml:space="preserve">Musculoskeletal disorders </w:t>
      </w:r>
      <w:bookmarkEnd w:id="9"/>
      <w:r w:rsidRPr="008D0E7E">
        <w:rPr>
          <w:rFonts w:ascii="Garamond" w:hAnsi="Garamond"/>
          <w:bCs/>
          <w:iCs/>
          <w:sz w:val="20"/>
          <w:szCs w:val="20"/>
          <w:lang w:val="en-GB"/>
        </w:rPr>
        <w:t>(MSDs) are among the most common occupational health problems globally and represent a major cause of morbidity, lost productivity and reduced quality of life.</w:t>
      </w:r>
      <w:r w:rsidRPr="008D0E7E">
        <w:rPr>
          <w:rFonts w:ascii="Garamond" w:hAnsi="Garamond"/>
          <w:bCs/>
          <w:iCs/>
          <w:sz w:val="20"/>
          <w:szCs w:val="20"/>
          <w:vertAlign w:val="superscript"/>
          <w:lang w:val="en-GB"/>
        </w:rPr>
        <w:t>1</w:t>
      </w:r>
      <w:r w:rsidRPr="008D0E7E">
        <w:rPr>
          <w:rFonts w:ascii="Garamond" w:hAnsi="Garamond"/>
          <w:bCs/>
          <w:iCs/>
          <w:sz w:val="20"/>
          <w:szCs w:val="20"/>
          <w:lang w:val="en-GB"/>
        </w:rPr>
        <w:t xml:space="preserve"> Musculoskeletal disorders (MSDs) refer to injuries or dysfunctions affecting muscles, nerves, tendons, joints, cartilage, or spinal discs, often resulting from occupational exposures such as repetitive motion, forceful exertion, awkward postures, or vibration.</w:t>
      </w:r>
      <w:r w:rsidRPr="008D0E7E">
        <w:rPr>
          <w:rFonts w:ascii="Garamond" w:hAnsi="Garamond"/>
          <w:bCs/>
          <w:iCs/>
          <w:sz w:val="20"/>
          <w:szCs w:val="20"/>
          <w:vertAlign w:val="superscript"/>
          <w:lang w:val="en-GB"/>
        </w:rPr>
        <w:t>2,3</w:t>
      </w:r>
      <w:r w:rsidRPr="008D0E7E">
        <w:rPr>
          <w:rFonts w:ascii="Garamond" w:hAnsi="Garamond"/>
          <w:bCs/>
          <w:iCs/>
          <w:sz w:val="20"/>
          <w:szCs w:val="20"/>
          <w:lang w:val="en-GB"/>
        </w:rPr>
        <w:t xml:space="preserve"> In a recently released Global burden of Disease (GBD) data, 1.71 billion people worldwide are affected by MSDs such as low back pain, neck pain revealing that MSDs are the leading contributor to disability worldwide.</w:t>
      </w:r>
      <w:r w:rsidRPr="008D0E7E">
        <w:rPr>
          <w:rFonts w:ascii="Garamond" w:hAnsi="Garamond"/>
          <w:bCs/>
          <w:iCs/>
          <w:sz w:val="20"/>
          <w:szCs w:val="20"/>
          <w:vertAlign w:val="superscript"/>
          <w:lang w:val="en-GB"/>
        </w:rPr>
        <w:t>4</w:t>
      </w:r>
      <w:r w:rsidRPr="008D0E7E">
        <w:rPr>
          <w:rFonts w:ascii="Garamond" w:hAnsi="Garamond"/>
          <w:bCs/>
          <w:iCs/>
          <w:sz w:val="20"/>
          <w:szCs w:val="20"/>
          <w:lang w:val="en-GB"/>
        </w:rPr>
        <w:t xml:space="preserve"> Amongst these MSDs, low back pain remains the most significant contributor to the overall burden of disease, with an estimated 570 million prevalent cases worldwide, accounting for responsible for 7.4% of total global Years Lived with Disability (YLDs).</w:t>
      </w:r>
      <w:r w:rsidRPr="008D0E7E">
        <w:rPr>
          <w:rFonts w:ascii="Garamond" w:hAnsi="Garamond"/>
          <w:bCs/>
          <w:iCs/>
          <w:sz w:val="20"/>
          <w:szCs w:val="20"/>
          <w:vertAlign w:val="superscript"/>
          <w:lang w:val="en-GB"/>
        </w:rPr>
        <w:t>4</w:t>
      </w:r>
    </w:p>
    <w:p w14:paraId="775923B8" w14:textId="53F3EAE8" w:rsidR="008D0E7E" w:rsidRDefault="008D0E7E" w:rsidP="008D0E7E">
      <w:pPr>
        <w:spacing w:line="259" w:lineRule="auto"/>
        <w:jc w:val="both"/>
        <w:rPr>
          <w:rFonts w:ascii="Garamond" w:hAnsi="Garamond"/>
          <w:bCs/>
          <w:iCs/>
          <w:sz w:val="20"/>
          <w:szCs w:val="20"/>
          <w:lang w:val="en-GB"/>
        </w:rPr>
      </w:pPr>
      <w:r w:rsidRPr="008D0E7E">
        <w:rPr>
          <w:rFonts w:ascii="Garamond" w:hAnsi="Garamond"/>
          <w:bCs/>
          <w:iCs/>
          <w:sz w:val="20"/>
          <w:szCs w:val="20"/>
          <w:lang w:val="en-GB"/>
        </w:rPr>
        <w:t>The burden of MSDs is particularly high in physically demanding occupations such as butchery, where workers encounter significant biomechanical and ergonomic stressors daily.</w:t>
      </w:r>
      <w:r w:rsidRPr="008D0E7E">
        <w:rPr>
          <w:rFonts w:ascii="Garamond" w:hAnsi="Garamond"/>
          <w:bCs/>
          <w:iCs/>
          <w:sz w:val="20"/>
          <w:szCs w:val="20"/>
          <w:vertAlign w:val="superscript"/>
          <w:lang w:val="en-GB"/>
        </w:rPr>
        <w:t>5-7</w:t>
      </w:r>
      <w:r w:rsidRPr="008D0E7E">
        <w:rPr>
          <w:rFonts w:ascii="Garamond" w:hAnsi="Garamond"/>
          <w:bCs/>
          <w:iCs/>
          <w:sz w:val="20"/>
          <w:szCs w:val="20"/>
          <w:lang w:val="en-GB"/>
        </w:rPr>
        <w:t xml:space="preserve"> Butchering typically involves forceful cutting meat, repetitive manual tasks, heavy lifting, and prolonged standing, factors known to exacerbate the risk of developing musculoskeletal complaints.</w:t>
      </w:r>
      <w:r w:rsidRPr="008D0E7E">
        <w:rPr>
          <w:rFonts w:ascii="Garamond" w:hAnsi="Garamond"/>
          <w:bCs/>
          <w:iCs/>
          <w:sz w:val="20"/>
          <w:szCs w:val="20"/>
          <w:vertAlign w:val="superscript"/>
          <w:lang w:val="en-GB"/>
        </w:rPr>
        <w:t>8</w:t>
      </w:r>
      <w:r w:rsidRPr="008D0E7E">
        <w:rPr>
          <w:rFonts w:ascii="Garamond" w:hAnsi="Garamond"/>
          <w:bCs/>
          <w:iCs/>
          <w:sz w:val="20"/>
          <w:szCs w:val="20"/>
          <w:lang w:val="en-GB"/>
        </w:rPr>
        <w:t xml:space="preserve"> In addition, butchers often work in cold environments and under time constraints, with limited access to ergonomic equipment or automation, leading to heightened strain on the back, shoulders, upper limbs, and wrists.</w:t>
      </w:r>
      <w:r w:rsidRPr="008D0E7E">
        <w:rPr>
          <w:rFonts w:ascii="Garamond" w:hAnsi="Garamond"/>
          <w:bCs/>
          <w:iCs/>
          <w:sz w:val="20"/>
          <w:szCs w:val="20"/>
          <w:vertAlign w:val="superscript"/>
          <w:lang w:val="en-GB"/>
        </w:rPr>
        <w:t>9,10</w:t>
      </w:r>
      <w:r w:rsidRPr="008D0E7E">
        <w:rPr>
          <w:rFonts w:ascii="Garamond" w:hAnsi="Garamond"/>
          <w:bCs/>
          <w:iCs/>
          <w:sz w:val="20"/>
          <w:szCs w:val="20"/>
          <w:lang w:val="en-GB"/>
        </w:rPr>
        <w:t xml:space="preserve"> In many low- and middle-income countries (LMICs), including regions in Sub-Saharan Africa and South Asia, the occupational settings for butchers remains largely informal and unregulated, as reflected in the lack of occupational health surveillance, insufficient training on safe work practices, and limited access to health care, which together contributes to the prevalence of preventable MSDs and other chronic health issues</w:t>
      </w:r>
      <w:r w:rsidR="0040264D">
        <w:rPr>
          <w:rFonts w:ascii="Garamond" w:hAnsi="Garamond"/>
          <w:bCs/>
          <w:iCs/>
          <w:sz w:val="20"/>
          <w:szCs w:val="20"/>
          <w:lang w:val="en-GB"/>
        </w:rPr>
        <w:t>.</w:t>
      </w:r>
      <w:r w:rsidRPr="008D0E7E">
        <w:rPr>
          <w:rFonts w:ascii="Garamond" w:hAnsi="Garamond"/>
          <w:bCs/>
          <w:iCs/>
          <w:sz w:val="20"/>
          <w:szCs w:val="20"/>
          <w:vertAlign w:val="superscript"/>
          <w:lang w:val="en-GB"/>
        </w:rPr>
        <w:t>11,12</w:t>
      </w:r>
    </w:p>
    <w:p w14:paraId="5CC6F733" w14:textId="4F87B40D" w:rsidR="008D0E7E" w:rsidRDefault="008D0E7E" w:rsidP="008D0E7E">
      <w:pPr>
        <w:spacing w:line="259" w:lineRule="auto"/>
        <w:jc w:val="both"/>
        <w:rPr>
          <w:rFonts w:ascii="Garamond" w:hAnsi="Garamond"/>
          <w:bCs/>
          <w:iCs/>
          <w:sz w:val="20"/>
          <w:szCs w:val="20"/>
          <w:lang w:val="en-GB"/>
        </w:rPr>
      </w:pPr>
      <w:r w:rsidRPr="008D0E7E">
        <w:rPr>
          <w:rFonts w:ascii="Garamond" w:hAnsi="Garamond"/>
          <w:bCs/>
          <w:iCs/>
          <w:sz w:val="20"/>
          <w:szCs w:val="20"/>
          <w:lang w:val="en-GB"/>
        </w:rPr>
        <w:t>Despite the occupational hazards faced by butchers, there is limited comprehensive evidence synthesizing the prevalence and nature of MSDs among these individuals. Even though there are studies that have been conducted among poultry meat processing workers, this could not suffice for butchers as there are clear differences between them with respect to animals processed, the processing methods, the scale of operation and the final products produced. This invariably affects their prevalence, patterns and risk factor of WRMSDs among them.</w:t>
      </w:r>
      <w:r w:rsidRPr="008D0E7E">
        <w:rPr>
          <w:rFonts w:ascii="Garamond" w:hAnsi="Garamond"/>
          <w:bCs/>
          <w:iCs/>
          <w:sz w:val="20"/>
          <w:szCs w:val="20"/>
          <w:vertAlign w:val="superscript"/>
          <w:lang w:val="en-GB"/>
        </w:rPr>
        <w:t>8,13</w:t>
      </w:r>
      <w:r w:rsidRPr="008D0E7E">
        <w:rPr>
          <w:rFonts w:ascii="Garamond" w:hAnsi="Garamond"/>
          <w:bCs/>
          <w:iCs/>
          <w:sz w:val="20"/>
          <w:szCs w:val="20"/>
          <w:lang w:val="en-GB"/>
        </w:rPr>
        <w:t xml:space="preserve"> Most available </w:t>
      </w:r>
      <w:r w:rsidRPr="008D0E7E">
        <w:rPr>
          <w:rFonts w:ascii="Garamond" w:hAnsi="Garamond"/>
          <w:bCs/>
          <w:iCs/>
          <w:sz w:val="20"/>
          <w:szCs w:val="20"/>
          <w:lang w:val="en-GB"/>
        </w:rPr>
        <w:t>studies focus on general labour or specific industries such as construction, healthcare, or manufacturing, often excluding butchers or aggregating them within broader occupational groups. This lack of targeted research hinders the development of occupation-specific interventions and policies aimed at reducing MSDs among butchers.</w:t>
      </w:r>
    </w:p>
    <w:p w14:paraId="2B88474C" w14:textId="13812722" w:rsidR="008D0E7E" w:rsidRPr="008D0E7E" w:rsidRDefault="008D0E7E" w:rsidP="008D0E7E">
      <w:pPr>
        <w:spacing w:line="259" w:lineRule="auto"/>
        <w:jc w:val="both"/>
        <w:rPr>
          <w:rFonts w:ascii="Garamond" w:hAnsi="Garamond"/>
          <w:bCs/>
          <w:iCs/>
          <w:sz w:val="20"/>
          <w:szCs w:val="20"/>
          <w:lang w:val="en-GB"/>
        </w:rPr>
      </w:pPr>
      <w:r w:rsidRPr="008D0E7E">
        <w:rPr>
          <w:rFonts w:ascii="Garamond" w:hAnsi="Garamond"/>
          <w:bCs/>
          <w:iCs/>
          <w:sz w:val="20"/>
          <w:szCs w:val="20"/>
          <w:lang w:val="en-GB"/>
        </w:rPr>
        <w:t xml:space="preserve">A scoping review offers a suitable methodological approach for mapping the current body of evidence, identifying knowledge gaps, and guiding future research and workplace interventions. Through this review, a clearer understanding of the prevalence, patterns, and associated risk factors of MSDs among butchers can be established, supporting informed </w:t>
      </w:r>
      <w:bookmarkStart w:id="10" w:name="_Hlk216344638"/>
      <w:r w:rsidRPr="008D0E7E">
        <w:rPr>
          <w:rFonts w:ascii="Garamond" w:hAnsi="Garamond"/>
          <w:bCs/>
          <w:iCs/>
          <w:sz w:val="20"/>
          <w:szCs w:val="20"/>
          <w:lang w:val="en-GB"/>
        </w:rPr>
        <w:t>occupational health decision-making in this workforce</w:t>
      </w:r>
      <w:bookmarkEnd w:id="10"/>
      <w:r w:rsidRPr="008D0E7E">
        <w:rPr>
          <w:rFonts w:ascii="Garamond" w:hAnsi="Garamond"/>
          <w:bCs/>
          <w:iCs/>
          <w:sz w:val="20"/>
          <w:szCs w:val="20"/>
          <w:lang w:val="en-GB"/>
        </w:rPr>
        <w:t>.</w:t>
      </w:r>
    </w:p>
    <w:p w14:paraId="05D2EEC9" w14:textId="77777777" w:rsidR="008D0E7E" w:rsidRDefault="008D0E7E" w:rsidP="008D0E7E">
      <w:pPr>
        <w:spacing w:line="259" w:lineRule="auto"/>
        <w:jc w:val="both"/>
        <w:rPr>
          <w:rFonts w:ascii="Garamond" w:hAnsi="Garamond"/>
          <w:b/>
          <w:bCs/>
          <w:iCs/>
          <w:sz w:val="22"/>
          <w:szCs w:val="22"/>
          <w:lang w:val="en-GB"/>
        </w:rPr>
      </w:pPr>
    </w:p>
    <w:p w14:paraId="26240A66" w14:textId="0FD32F22" w:rsidR="008D0E7E" w:rsidRPr="008D0E7E" w:rsidRDefault="0040264D" w:rsidP="008D0E7E">
      <w:pPr>
        <w:spacing w:line="259" w:lineRule="auto"/>
        <w:jc w:val="both"/>
        <w:rPr>
          <w:rFonts w:ascii="Garamond" w:hAnsi="Garamond"/>
          <w:b/>
          <w:bCs/>
          <w:iCs/>
          <w:sz w:val="22"/>
          <w:szCs w:val="22"/>
          <w:lang w:val="en-GB"/>
        </w:rPr>
      </w:pPr>
      <w:r w:rsidRPr="008D0E7E">
        <w:rPr>
          <w:rFonts w:ascii="Garamond" w:hAnsi="Garamond"/>
          <w:b/>
          <w:bCs/>
          <w:iCs/>
          <w:sz w:val="22"/>
          <w:szCs w:val="22"/>
          <w:lang w:val="en-GB"/>
        </w:rPr>
        <w:t>METHODS</w:t>
      </w:r>
    </w:p>
    <w:p w14:paraId="24091379" w14:textId="05D57AD2" w:rsidR="008D0E7E" w:rsidRPr="008D0E7E" w:rsidRDefault="008D0E7E" w:rsidP="008D0E7E">
      <w:pPr>
        <w:spacing w:line="259" w:lineRule="auto"/>
        <w:jc w:val="both"/>
        <w:rPr>
          <w:rFonts w:ascii="Garamond" w:hAnsi="Garamond"/>
          <w:bCs/>
          <w:iCs/>
          <w:sz w:val="20"/>
          <w:szCs w:val="20"/>
          <w:lang w:val="en-GB"/>
        </w:rPr>
      </w:pPr>
      <w:r w:rsidRPr="0040264D">
        <w:rPr>
          <w:rFonts w:ascii="Garamond" w:hAnsi="Garamond"/>
          <w:b/>
          <w:bCs/>
          <w:i/>
          <w:sz w:val="20"/>
          <w:szCs w:val="20"/>
          <w:lang w:val="en-GB"/>
        </w:rPr>
        <w:t>Study design</w:t>
      </w:r>
      <w:r w:rsidR="0040264D" w:rsidRPr="0040264D">
        <w:rPr>
          <w:rFonts w:ascii="Garamond" w:hAnsi="Garamond"/>
          <w:b/>
          <w:bCs/>
          <w:i/>
          <w:sz w:val="20"/>
          <w:szCs w:val="20"/>
          <w:lang w:val="en-GB"/>
        </w:rPr>
        <w:t>:</w:t>
      </w:r>
      <w:r w:rsidR="0040264D">
        <w:rPr>
          <w:rFonts w:ascii="Garamond" w:hAnsi="Garamond"/>
          <w:b/>
          <w:bCs/>
          <w:iCs/>
          <w:sz w:val="20"/>
          <w:szCs w:val="20"/>
          <w:lang w:val="en-GB"/>
        </w:rPr>
        <w:t xml:space="preserve"> </w:t>
      </w:r>
      <w:r w:rsidRPr="008D0E7E">
        <w:rPr>
          <w:rFonts w:ascii="Garamond" w:hAnsi="Garamond"/>
          <w:bCs/>
          <w:iCs/>
          <w:sz w:val="20"/>
          <w:szCs w:val="20"/>
        </w:rPr>
        <w:t xml:space="preserve">We conducted this scoping review following the framework of Arksey and O’Malley </w:t>
      </w:r>
      <w:r w:rsidRPr="008D0E7E">
        <w:rPr>
          <w:rFonts w:ascii="Garamond" w:hAnsi="Garamond"/>
          <w:bCs/>
          <w:iCs/>
          <w:sz w:val="20"/>
          <w:szCs w:val="20"/>
          <w:vertAlign w:val="superscript"/>
        </w:rPr>
        <w:t xml:space="preserve">14 </w:t>
      </w:r>
      <w:r w:rsidRPr="008D0E7E">
        <w:rPr>
          <w:rFonts w:ascii="Garamond" w:hAnsi="Garamond"/>
          <w:bCs/>
          <w:iCs/>
          <w:sz w:val="20"/>
          <w:szCs w:val="20"/>
        </w:rPr>
        <w:t>and the PRISMA-</w:t>
      </w:r>
      <w:proofErr w:type="spellStart"/>
      <w:r w:rsidRPr="008D0E7E">
        <w:rPr>
          <w:rFonts w:ascii="Garamond" w:hAnsi="Garamond"/>
          <w:bCs/>
          <w:iCs/>
          <w:sz w:val="20"/>
          <w:szCs w:val="20"/>
        </w:rPr>
        <w:t>ScR</w:t>
      </w:r>
      <w:proofErr w:type="spellEnd"/>
      <w:r w:rsidRPr="008D0E7E">
        <w:rPr>
          <w:rFonts w:ascii="Garamond" w:hAnsi="Garamond"/>
          <w:bCs/>
          <w:iCs/>
          <w:sz w:val="20"/>
          <w:szCs w:val="20"/>
        </w:rPr>
        <w:t xml:space="preserve"> reporting guidelines. </w:t>
      </w:r>
      <w:r w:rsidRPr="008D0E7E">
        <w:rPr>
          <w:rFonts w:ascii="Garamond" w:hAnsi="Garamond"/>
          <w:bCs/>
          <w:iCs/>
          <w:sz w:val="20"/>
          <w:szCs w:val="20"/>
          <w:lang w:val="en-GB"/>
        </w:rPr>
        <w:t>Methodological frameworks by Levac and colleagues and Arksey and O’Malley were used to guide this scoping review.</w:t>
      </w:r>
      <w:r w:rsidRPr="008D0E7E">
        <w:rPr>
          <w:rFonts w:ascii="Garamond" w:hAnsi="Garamond"/>
          <w:bCs/>
          <w:iCs/>
          <w:sz w:val="20"/>
          <w:szCs w:val="20"/>
          <w:vertAlign w:val="superscript"/>
          <w:lang w:val="en-GB"/>
        </w:rPr>
        <w:t>14,15</w:t>
      </w:r>
      <w:r w:rsidRPr="008D0E7E">
        <w:rPr>
          <w:rFonts w:ascii="Garamond" w:hAnsi="Garamond"/>
          <w:bCs/>
          <w:iCs/>
          <w:sz w:val="20"/>
          <w:szCs w:val="20"/>
          <w:lang w:val="en-GB"/>
        </w:rPr>
        <w:t xml:space="preserve"> The framework included the following stages:</w:t>
      </w:r>
    </w:p>
    <w:p w14:paraId="0B3CE160" w14:textId="77777777" w:rsidR="008D0E7E" w:rsidRPr="008D0E7E" w:rsidRDefault="008D0E7E" w:rsidP="008D0E7E">
      <w:pPr>
        <w:numPr>
          <w:ilvl w:val="0"/>
          <w:numId w:val="28"/>
        </w:numPr>
        <w:spacing w:line="259" w:lineRule="auto"/>
        <w:jc w:val="both"/>
        <w:rPr>
          <w:rFonts w:ascii="Garamond" w:hAnsi="Garamond"/>
          <w:bCs/>
          <w:iCs/>
          <w:sz w:val="20"/>
          <w:szCs w:val="20"/>
          <w:lang w:val="en-GB"/>
        </w:rPr>
      </w:pPr>
      <w:r w:rsidRPr="008D0E7E">
        <w:rPr>
          <w:rFonts w:ascii="Garamond" w:hAnsi="Garamond"/>
          <w:bCs/>
          <w:iCs/>
          <w:sz w:val="20"/>
          <w:szCs w:val="20"/>
          <w:lang w:val="en-GB"/>
        </w:rPr>
        <w:t>Identifying research questions</w:t>
      </w:r>
    </w:p>
    <w:p w14:paraId="399EE03D" w14:textId="77777777" w:rsidR="008D0E7E" w:rsidRPr="008D0E7E" w:rsidRDefault="008D0E7E" w:rsidP="008D0E7E">
      <w:pPr>
        <w:numPr>
          <w:ilvl w:val="0"/>
          <w:numId w:val="28"/>
        </w:numPr>
        <w:spacing w:line="259" w:lineRule="auto"/>
        <w:jc w:val="both"/>
        <w:rPr>
          <w:rFonts w:ascii="Garamond" w:hAnsi="Garamond"/>
          <w:bCs/>
          <w:iCs/>
          <w:sz w:val="20"/>
          <w:szCs w:val="20"/>
          <w:lang w:val="en-GB"/>
        </w:rPr>
      </w:pPr>
      <w:r w:rsidRPr="008D0E7E">
        <w:rPr>
          <w:rFonts w:ascii="Garamond" w:hAnsi="Garamond"/>
          <w:bCs/>
          <w:iCs/>
          <w:sz w:val="20"/>
          <w:szCs w:val="20"/>
          <w:lang w:val="en-GB"/>
        </w:rPr>
        <w:t>Identifying relevant studies</w:t>
      </w:r>
    </w:p>
    <w:p w14:paraId="1F0D5F20" w14:textId="77777777" w:rsidR="008D0E7E" w:rsidRPr="008D0E7E" w:rsidRDefault="008D0E7E" w:rsidP="008D0E7E">
      <w:pPr>
        <w:numPr>
          <w:ilvl w:val="0"/>
          <w:numId w:val="28"/>
        </w:numPr>
        <w:spacing w:line="259" w:lineRule="auto"/>
        <w:jc w:val="both"/>
        <w:rPr>
          <w:rFonts w:ascii="Garamond" w:hAnsi="Garamond"/>
          <w:bCs/>
          <w:iCs/>
          <w:sz w:val="20"/>
          <w:szCs w:val="20"/>
          <w:lang w:val="en-GB"/>
        </w:rPr>
      </w:pPr>
      <w:r w:rsidRPr="008D0E7E">
        <w:rPr>
          <w:rFonts w:ascii="Garamond" w:hAnsi="Garamond"/>
          <w:bCs/>
          <w:iCs/>
          <w:sz w:val="20"/>
          <w:szCs w:val="20"/>
          <w:lang w:val="en-GB"/>
        </w:rPr>
        <w:t>Selecting studies</w:t>
      </w:r>
    </w:p>
    <w:p w14:paraId="5F0715BB" w14:textId="77777777" w:rsidR="008D0E7E" w:rsidRPr="008D0E7E" w:rsidRDefault="008D0E7E" w:rsidP="008D0E7E">
      <w:pPr>
        <w:numPr>
          <w:ilvl w:val="0"/>
          <w:numId w:val="28"/>
        </w:numPr>
        <w:spacing w:line="259" w:lineRule="auto"/>
        <w:jc w:val="both"/>
        <w:rPr>
          <w:rFonts w:ascii="Garamond" w:hAnsi="Garamond"/>
          <w:bCs/>
          <w:iCs/>
          <w:sz w:val="20"/>
          <w:szCs w:val="20"/>
          <w:lang w:val="en-GB"/>
        </w:rPr>
      </w:pPr>
      <w:r w:rsidRPr="008D0E7E">
        <w:rPr>
          <w:rFonts w:ascii="Garamond" w:hAnsi="Garamond"/>
          <w:bCs/>
          <w:iCs/>
          <w:sz w:val="20"/>
          <w:szCs w:val="20"/>
          <w:lang w:val="en-GB"/>
        </w:rPr>
        <w:t>Charting the data, collating, and summarizing</w:t>
      </w:r>
    </w:p>
    <w:p w14:paraId="2DD98F3C" w14:textId="77777777" w:rsidR="008D0E7E" w:rsidRPr="008D0E7E" w:rsidRDefault="008D0E7E" w:rsidP="008D0E7E">
      <w:pPr>
        <w:numPr>
          <w:ilvl w:val="0"/>
          <w:numId w:val="28"/>
        </w:numPr>
        <w:spacing w:line="259" w:lineRule="auto"/>
        <w:jc w:val="both"/>
        <w:rPr>
          <w:rFonts w:ascii="Garamond" w:hAnsi="Garamond"/>
          <w:bCs/>
          <w:iCs/>
          <w:sz w:val="20"/>
          <w:szCs w:val="20"/>
          <w:lang w:val="en-GB"/>
        </w:rPr>
      </w:pPr>
      <w:r w:rsidRPr="008D0E7E">
        <w:rPr>
          <w:rFonts w:ascii="Garamond" w:hAnsi="Garamond"/>
          <w:bCs/>
          <w:iCs/>
          <w:sz w:val="20"/>
          <w:szCs w:val="20"/>
          <w:lang w:val="en-GB"/>
        </w:rPr>
        <w:t>Reporting the results</w:t>
      </w:r>
    </w:p>
    <w:p w14:paraId="7E7CAB3B" w14:textId="12F688CD" w:rsidR="008D0E7E" w:rsidRPr="0040264D" w:rsidRDefault="008D0E7E" w:rsidP="008D0E7E">
      <w:pPr>
        <w:spacing w:line="259" w:lineRule="auto"/>
        <w:jc w:val="both"/>
        <w:rPr>
          <w:rFonts w:ascii="Garamond" w:hAnsi="Garamond"/>
          <w:bCs/>
          <w:iCs/>
          <w:sz w:val="20"/>
          <w:szCs w:val="20"/>
          <w:lang w:val="en-GB"/>
        </w:rPr>
      </w:pPr>
      <w:r w:rsidRPr="008D0E7E">
        <w:rPr>
          <w:rFonts w:ascii="Garamond" w:hAnsi="Garamond"/>
          <w:bCs/>
          <w:iCs/>
          <w:sz w:val="20"/>
          <w:szCs w:val="20"/>
          <w:lang w:val="en-GB"/>
        </w:rPr>
        <w:t xml:space="preserve">In addition, the </w:t>
      </w:r>
      <w:bookmarkStart w:id="11" w:name="_Hlk220234884"/>
      <w:r w:rsidRPr="008D0E7E">
        <w:rPr>
          <w:rFonts w:ascii="Garamond" w:hAnsi="Garamond"/>
          <w:bCs/>
          <w:iCs/>
          <w:sz w:val="20"/>
          <w:szCs w:val="20"/>
          <w:lang w:val="en-GB"/>
        </w:rPr>
        <w:t xml:space="preserve">Preferred Reporting Items for Systematic Reviews and Meta-Analyses extension for Scoping Reviews </w:t>
      </w:r>
      <w:bookmarkEnd w:id="11"/>
      <w:r w:rsidRPr="008D0E7E">
        <w:rPr>
          <w:rFonts w:ascii="Garamond" w:hAnsi="Garamond"/>
          <w:bCs/>
          <w:iCs/>
          <w:sz w:val="20"/>
          <w:szCs w:val="20"/>
          <w:lang w:val="en-GB"/>
        </w:rPr>
        <w:t>(</w:t>
      </w:r>
      <w:bookmarkStart w:id="12" w:name="_Hlk220234873"/>
      <w:r w:rsidRPr="008D0E7E">
        <w:rPr>
          <w:rFonts w:ascii="Garamond" w:hAnsi="Garamond"/>
          <w:bCs/>
          <w:iCs/>
          <w:sz w:val="20"/>
          <w:szCs w:val="20"/>
          <w:lang w:val="en-GB"/>
        </w:rPr>
        <w:t>PRISMA-</w:t>
      </w:r>
      <w:proofErr w:type="spellStart"/>
      <w:r w:rsidRPr="008D0E7E">
        <w:rPr>
          <w:rFonts w:ascii="Garamond" w:hAnsi="Garamond"/>
          <w:bCs/>
          <w:iCs/>
          <w:sz w:val="20"/>
          <w:szCs w:val="20"/>
          <w:lang w:val="en-GB"/>
        </w:rPr>
        <w:t>ScR</w:t>
      </w:r>
      <w:bookmarkEnd w:id="12"/>
      <w:proofErr w:type="spellEnd"/>
      <w:r w:rsidRPr="008D0E7E">
        <w:rPr>
          <w:rFonts w:ascii="Garamond" w:hAnsi="Garamond"/>
          <w:bCs/>
          <w:iCs/>
          <w:sz w:val="20"/>
          <w:szCs w:val="20"/>
          <w:lang w:val="en-GB"/>
        </w:rPr>
        <w:t>) Checklist was applied.</w:t>
      </w:r>
      <w:r w:rsidRPr="008D0E7E">
        <w:rPr>
          <w:rFonts w:ascii="Garamond" w:hAnsi="Garamond"/>
          <w:bCs/>
          <w:iCs/>
          <w:sz w:val="20"/>
          <w:szCs w:val="20"/>
          <w:vertAlign w:val="superscript"/>
          <w:lang w:val="en-GB"/>
        </w:rPr>
        <w:t>16</w:t>
      </w:r>
      <w:r w:rsidRPr="008D0E7E">
        <w:rPr>
          <w:rFonts w:ascii="Garamond" w:hAnsi="Garamond"/>
          <w:bCs/>
          <w:iCs/>
          <w:sz w:val="20"/>
          <w:szCs w:val="20"/>
          <w:lang w:val="en-GB"/>
        </w:rPr>
        <w:t xml:space="preserve"> This provided a clear summary of the article selection process, showing the steps from identifying records in databases to screening, assessing eligibility, and finally including studies in the review.</w:t>
      </w:r>
    </w:p>
    <w:p w14:paraId="6BF8E51F" w14:textId="3DA13D14" w:rsidR="008D0E7E" w:rsidRPr="0040264D" w:rsidRDefault="008D0E7E" w:rsidP="008D0E7E">
      <w:pPr>
        <w:spacing w:line="259" w:lineRule="auto"/>
        <w:jc w:val="both"/>
        <w:rPr>
          <w:rFonts w:ascii="Garamond" w:hAnsi="Garamond"/>
          <w:bCs/>
          <w:iCs/>
          <w:sz w:val="20"/>
          <w:szCs w:val="20"/>
          <w:lang w:val="en-GB"/>
        </w:rPr>
      </w:pPr>
      <w:r w:rsidRPr="0040264D">
        <w:rPr>
          <w:rFonts w:ascii="Garamond" w:hAnsi="Garamond"/>
          <w:b/>
          <w:bCs/>
          <w:i/>
          <w:sz w:val="20"/>
          <w:szCs w:val="20"/>
          <w:lang w:val="en-GB"/>
        </w:rPr>
        <w:t>Identifying the research question</w:t>
      </w:r>
      <w:r w:rsidR="0040264D" w:rsidRPr="0040264D">
        <w:rPr>
          <w:rFonts w:ascii="Garamond" w:hAnsi="Garamond"/>
          <w:b/>
          <w:bCs/>
          <w:i/>
          <w:sz w:val="20"/>
          <w:szCs w:val="20"/>
          <w:lang w:val="en-GB"/>
        </w:rPr>
        <w:t xml:space="preserve">: </w:t>
      </w:r>
      <w:r w:rsidRPr="008D0E7E">
        <w:rPr>
          <w:rFonts w:ascii="Garamond" w:hAnsi="Garamond"/>
          <w:bCs/>
          <w:iCs/>
          <w:sz w:val="20"/>
          <w:szCs w:val="20"/>
          <w:lang w:val="en-GB"/>
        </w:rPr>
        <w:t>The overarching research question was as follows: What is the available global evidence regarding the prevalence and patterns of musculoskeletal disorders among Butchers?</w:t>
      </w:r>
    </w:p>
    <w:p w14:paraId="6EA28615" w14:textId="5EB113FB" w:rsidR="008D0E7E" w:rsidRPr="008D0E7E" w:rsidRDefault="008D0E7E" w:rsidP="008D0E7E">
      <w:pPr>
        <w:spacing w:line="259" w:lineRule="auto"/>
        <w:jc w:val="both"/>
        <w:rPr>
          <w:rFonts w:ascii="Garamond" w:hAnsi="Garamond"/>
          <w:bCs/>
          <w:iCs/>
          <w:sz w:val="20"/>
          <w:szCs w:val="20"/>
          <w:lang w:val="en-GB"/>
        </w:rPr>
      </w:pPr>
      <w:r w:rsidRPr="0040264D">
        <w:rPr>
          <w:rFonts w:ascii="Garamond" w:hAnsi="Garamond"/>
          <w:b/>
          <w:bCs/>
          <w:i/>
          <w:sz w:val="20"/>
          <w:szCs w:val="20"/>
          <w:lang w:val="en-GB"/>
        </w:rPr>
        <w:t>Eligibility of the research</w:t>
      </w:r>
      <w:r w:rsidR="0040264D" w:rsidRPr="0040264D">
        <w:rPr>
          <w:rFonts w:ascii="Garamond" w:hAnsi="Garamond"/>
          <w:b/>
          <w:bCs/>
          <w:i/>
          <w:sz w:val="20"/>
          <w:szCs w:val="20"/>
          <w:lang w:val="en-GB"/>
        </w:rPr>
        <w:t xml:space="preserve">: </w:t>
      </w:r>
      <w:r w:rsidRPr="008D0E7E">
        <w:rPr>
          <w:rFonts w:ascii="Garamond" w:hAnsi="Garamond"/>
          <w:bCs/>
          <w:iCs/>
          <w:sz w:val="20"/>
          <w:szCs w:val="20"/>
          <w:lang w:val="en-GB"/>
        </w:rPr>
        <w:t>The PCC (Population, Concept, Context) framework was used to structure the eligibility criteria.</w:t>
      </w:r>
    </w:p>
    <w:p w14:paraId="6BFEC72A" w14:textId="77777777" w:rsidR="008D0E7E" w:rsidRPr="008D0E7E" w:rsidRDefault="008D0E7E" w:rsidP="008D0E7E">
      <w:pPr>
        <w:spacing w:line="259" w:lineRule="auto"/>
        <w:jc w:val="both"/>
        <w:rPr>
          <w:rFonts w:ascii="Garamond" w:hAnsi="Garamond"/>
          <w:bCs/>
          <w:iCs/>
          <w:sz w:val="20"/>
          <w:szCs w:val="20"/>
          <w:lang w:val="en-GB"/>
        </w:rPr>
      </w:pPr>
      <w:r w:rsidRPr="0040264D">
        <w:rPr>
          <w:rFonts w:ascii="Garamond" w:hAnsi="Garamond"/>
          <w:bCs/>
          <w:i/>
          <w:sz w:val="20"/>
          <w:szCs w:val="20"/>
          <w:lang w:val="en-GB"/>
        </w:rPr>
        <w:t>Population</w:t>
      </w:r>
      <w:r w:rsidRPr="008D0E7E">
        <w:rPr>
          <w:rFonts w:ascii="Garamond" w:hAnsi="Garamond"/>
          <w:bCs/>
          <w:iCs/>
          <w:sz w:val="20"/>
          <w:szCs w:val="20"/>
          <w:lang w:val="en-GB"/>
        </w:rPr>
        <w:t>: Actively employed butchers of all genders, aged 18 years and above.</w:t>
      </w:r>
    </w:p>
    <w:p w14:paraId="282B9A0F" w14:textId="77777777" w:rsidR="008D0E7E" w:rsidRPr="008D0E7E" w:rsidRDefault="008D0E7E" w:rsidP="008D0E7E">
      <w:pPr>
        <w:spacing w:line="259" w:lineRule="auto"/>
        <w:jc w:val="both"/>
        <w:rPr>
          <w:rFonts w:ascii="Garamond" w:hAnsi="Garamond"/>
          <w:bCs/>
          <w:iCs/>
          <w:sz w:val="20"/>
          <w:szCs w:val="20"/>
          <w:lang w:val="en-GB"/>
        </w:rPr>
      </w:pPr>
      <w:r w:rsidRPr="0040264D">
        <w:rPr>
          <w:rFonts w:ascii="Garamond" w:hAnsi="Garamond"/>
          <w:bCs/>
          <w:i/>
          <w:sz w:val="20"/>
          <w:szCs w:val="20"/>
          <w:lang w:val="en-GB"/>
        </w:rPr>
        <w:t>Concept:</w:t>
      </w:r>
      <w:r w:rsidRPr="008D0E7E">
        <w:rPr>
          <w:rFonts w:ascii="Garamond" w:hAnsi="Garamond"/>
          <w:bCs/>
          <w:iCs/>
          <w:sz w:val="20"/>
          <w:szCs w:val="20"/>
          <w:lang w:val="en-GB"/>
        </w:rPr>
        <w:t xml:space="preserve"> Musculoskeletal disorders (MSDs), including work-related musculoskeletal symptoms, injuries, or diagnosed conditions.</w:t>
      </w:r>
    </w:p>
    <w:p w14:paraId="2BC1F868" w14:textId="77777777" w:rsidR="008D0E7E" w:rsidRPr="008D0E7E" w:rsidRDefault="008D0E7E" w:rsidP="008D0E7E">
      <w:pPr>
        <w:spacing w:line="259" w:lineRule="auto"/>
        <w:jc w:val="both"/>
        <w:rPr>
          <w:rFonts w:ascii="Garamond" w:hAnsi="Garamond"/>
          <w:bCs/>
          <w:iCs/>
          <w:sz w:val="20"/>
          <w:szCs w:val="20"/>
          <w:lang w:val="en-GB"/>
        </w:rPr>
      </w:pPr>
      <w:r w:rsidRPr="0040264D">
        <w:rPr>
          <w:rFonts w:ascii="Garamond" w:hAnsi="Garamond"/>
          <w:bCs/>
          <w:i/>
          <w:sz w:val="20"/>
          <w:szCs w:val="20"/>
          <w:lang w:val="en-GB"/>
        </w:rPr>
        <w:t>Context:</w:t>
      </w:r>
      <w:r w:rsidRPr="008D0E7E">
        <w:rPr>
          <w:rFonts w:ascii="Garamond" w:hAnsi="Garamond"/>
          <w:bCs/>
          <w:iCs/>
          <w:sz w:val="20"/>
          <w:szCs w:val="20"/>
          <w:lang w:val="en-GB"/>
        </w:rPr>
        <w:t xml:space="preserve"> Occupational and workplace settings specific to butchers across diverse global regions.</w:t>
      </w:r>
    </w:p>
    <w:p w14:paraId="64364B20" w14:textId="5233DC80" w:rsidR="008D0E7E" w:rsidRPr="0040264D" w:rsidRDefault="008D0E7E" w:rsidP="008D0E7E">
      <w:pPr>
        <w:spacing w:line="259" w:lineRule="auto"/>
        <w:jc w:val="both"/>
        <w:rPr>
          <w:rFonts w:ascii="Garamond" w:hAnsi="Garamond"/>
          <w:bCs/>
          <w:iCs/>
          <w:sz w:val="20"/>
          <w:szCs w:val="20"/>
          <w:lang w:val="en-GB"/>
        </w:rPr>
      </w:pPr>
      <w:r w:rsidRPr="0040264D">
        <w:rPr>
          <w:rFonts w:ascii="Garamond" w:hAnsi="Garamond"/>
          <w:b/>
          <w:bCs/>
          <w:i/>
          <w:sz w:val="20"/>
          <w:szCs w:val="20"/>
          <w:lang w:val="en-GB"/>
        </w:rPr>
        <w:lastRenderedPageBreak/>
        <w:t>Search strategy</w:t>
      </w:r>
      <w:r w:rsidR="0040264D" w:rsidRPr="0040264D">
        <w:rPr>
          <w:rFonts w:ascii="Garamond" w:hAnsi="Garamond"/>
          <w:b/>
          <w:bCs/>
          <w:i/>
          <w:sz w:val="20"/>
          <w:szCs w:val="20"/>
          <w:lang w:val="en-GB"/>
        </w:rPr>
        <w:t>:</w:t>
      </w:r>
      <w:r w:rsidR="0040264D">
        <w:rPr>
          <w:rFonts w:ascii="Garamond" w:hAnsi="Garamond"/>
          <w:b/>
          <w:bCs/>
          <w:iCs/>
          <w:sz w:val="20"/>
          <w:szCs w:val="20"/>
          <w:lang w:val="en-GB"/>
        </w:rPr>
        <w:t xml:space="preserve"> </w:t>
      </w:r>
      <w:r w:rsidRPr="008D0E7E">
        <w:rPr>
          <w:rFonts w:ascii="Garamond" w:hAnsi="Garamond"/>
          <w:bCs/>
          <w:iCs/>
          <w:sz w:val="20"/>
          <w:szCs w:val="20"/>
          <w:lang w:val="en-GB"/>
        </w:rPr>
        <w:t xml:space="preserve">The following electronic databases were searched: PubMed, Google Scholar, Cumulative Index to Nursing and Allied Health Literature (CINAHL), Medline, </w:t>
      </w:r>
      <w:proofErr w:type="spellStart"/>
      <w:r w:rsidRPr="008D0E7E">
        <w:rPr>
          <w:rFonts w:ascii="Garamond" w:hAnsi="Garamond"/>
          <w:bCs/>
          <w:iCs/>
          <w:sz w:val="20"/>
          <w:szCs w:val="20"/>
          <w:lang w:val="en-GB"/>
        </w:rPr>
        <w:t>AJoL</w:t>
      </w:r>
      <w:proofErr w:type="spellEnd"/>
      <w:r w:rsidRPr="008D0E7E">
        <w:rPr>
          <w:rFonts w:ascii="Garamond" w:hAnsi="Garamond"/>
          <w:bCs/>
          <w:iCs/>
          <w:sz w:val="20"/>
          <w:szCs w:val="20"/>
          <w:lang w:val="en-GB"/>
        </w:rPr>
        <w:t xml:space="preserve">, Scopus, Web of Science, and EMBASE. </w:t>
      </w:r>
      <w:r w:rsidRPr="008D0E7E">
        <w:rPr>
          <w:rFonts w:ascii="Garamond" w:hAnsi="Garamond"/>
          <w:bCs/>
          <w:iCs/>
          <w:sz w:val="20"/>
          <w:szCs w:val="20"/>
        </w:rPr>
        <w:t xml:space="preserve">Search terms included combinations of “musculoskeletal disorders” OR “MSDs” OR “WRMSDs”; </w:t>
      </w:r>
      <w:r w:rsidRPr="008D0E7E">
        <w:rPr>
          <w:rFonts w:ascii="Garamond" w:hAnsi="Garamond"/>
          <w:bCs/>
          <w:iCs/>
          <w:sz w:val="20"/>
          <w:szCs w:val="20"/>
          <w:lang w:val="en-GB"/>
        </w:rPr>
        <w:t xml:space="preserve">AND “butcher” OR “meat processing workers” OR “abattoir workers”; AND “occupational health” OR “ergonomics” </w:t>
      </w:r>
      <w:r w:rsidRPr="008D0E7E">
        <w:rPr>
          <w:rFonts w:ascii="Garamond" w:hAnsi="Garamond"/>
          <w:bCs/>
          <w:iCs/>
          <w:sz w:val="20"/>
          <w:szCs w:val="20"/>
        </w:rPr>
        <w:t xml:space="preserve">and related keywords. </w:t>
      </w:r>
      <w:r w:rsidRPr="008D0E7E">
        <w:rPr>
          <w:rFonts w:ascii="Garamond" w:hAnsi="Garamond"/>
          <w:bCs/>
          <w:iCs/>
          <w:sz w:val="20"/>
          <w:szCs w:val="20"/>
          <w:lang w:val="en-GB"/>
        </w:rPr>
        <w:t>The reference lists of all included studies were searched for additional eligible studies. The study selection was presented using the PRISMA-</w:t>
      </w:r>
      <w:proofErr w:type="spellStart"/>
      <w:r w:rsidRPr="008D0E7E">
        <w:rPr>
          <w:rFonts w:ascii="Garamond" w:hAnsi="Garamond"/>
          <w:bCs/>
          <w:iCs/>
          <w:sz w:val="20"/>
          <w:szCs w:val="20"/>
          <w:lang w:val="en-GB"/>
        </w:rPr>
        <w:t>ScR</w:t>
      </w:r>
      <w:proofErr w:type="spellEnd"/>
      <w:r w:rsidRPr="008D0E7E">
        <w:rPr>
          <w:rFonts w:ascii="Garamond" w:hAnsi="Garamond"/>
          <w:bCs/>
          <w:iCs/>
          <w:sz w:val="20"/>
          <w:szCs w:val="20"/>
          <w:lang w:val="en-GB"/>
        </w:rPr>
        <w:t xml:space="preserve"> flow diagram.</w:t>
      </w:r>
    </w:p>
    <w:p w14:paraId="47F71B8C" w14:textId="4E11776C" w:rsidR="008D0E7E" w:rsidRPr="008D0E7E" w:rsidRDefault="008D0E7E" w:rsidP="008D0E7E">
      <w:pPr>
        <w:spacing w:line="259" w:lineRule="auto"/>
        <w:jc w:val="both"/>
        <w:rPr>
          <w:rFonts w:ascii="Garamond" w:hAnsi="Garamond"/>
          <w:bCs/>
          <w:iCs/>
          <w:sz w:val="20"/>
          <w:szCs w:val="20"/>
          <w:lang w:val="en-GB"/>
        </w:rPr>
      </w:pPr>
      <w:r w:rsidRPr="0040264D">
        <w:rPr>
          <w:rFonts w:ascii="Garamond" w:hAnsi="Garamond"/>
          <w:b/>
          <w:bCs/>
          <w:i/>
          <w:sz w:val="20"/>
          <w:szCs w:val="20"/>
          <w:lang w:val="en-GB"/>
        </w:rPr>
        <w:t>Study selection</w:t>
      </w:r>
      <w:r w:rsidR="0040264D" w:rsidRPr="0040264D">
        <w:rPr>
          <w:rFonts w:ascii="Garamond" w:hAnsi="Garamond"/>
          <w:b/>
          <w:bCs/>
          <w:i/>
          <w:sz w:val="20"/>
          <w:szCs w:val="20"/>
          <w:lang w:val="en-GB"/>
        </w:rPr>
        <w:t>:</w:t>
      </w:r>
      <w:r w:rsidR="0040264D">
        <w:rPr>
          <w:rFonts w:ascii="Garamond" w:hAnsi="Garamond"/>
          <w:b/>
          <w:bCs/>
          <w:iCs/>
          <w:sz w:val="20"/>
          <w:szCs w:val="20"/>
          <w:lang w:val="en-GB"/>
        </w:rPr>
        <w:t xml:space="preserve"> </w:t>
      </w:r>
      <w:r w:rsidRPr="008D0E7E">
        <w:rPr>
          <w:rFonts w:ascii="Garamond" w:hAnsi="Garamond"/>
          <w:bCs/>
          <w:iCs/>
          <w:sz w:val="20"/>
          <w:szCs w:val="20"/>
          <w:lang w:val="en-GB"/>
        </w:rPr>
        <w:t>Two reviewers, I.G. and I.O., independently screened titles and abstracts. They piloted the full-text screening, and both reviewers also screened eligible full texts for inclusion criteria. In case of any disagreement during title and abstract and full-text screening, both reviewers discussed to reach a consensus. When consensus could not be reached in the titles and abstracts screening or full-text screening stages, a third reviewer A.N was consulted for the final decision.</w:t>
      </w:r>
    </w:p>
    <w:p w14:paraId="13E218EA" w14:textId="77777777" w:rsidR="008D0E7E" w:rsidRPr="0040264D" w:rsidRDefault="008D0E7E" w:rsidP="008D0E7E">
      <w:pPr>
        <w:spacing w:line="259" w:lineRule="auto"/>
        <w:jc w:val="both"/>
        <w:rPr>
          <w:rFonts w:ascii="Garamond" w:hAnsi="Garamond"/>
          <w:b/>
          <w:bCs/>
          <w:i/>
          <w:sz w:val="20"/>
          <w:szCs w:val="20"/>
          <w:lang w:val="en-GB"/>
        </w:rPr>
      </w:pPr>
      <w:r w:rsidRPr="0040264D">
        <w:rPr>
          <w:rFonts w:ascii="Garamond" w:hAnsi="Garamond"/>
          <w:b/>
          <w:bCs/>
          <w:i/>
          <w:sz w:val="20"/>
          <w:szCs w:val="20"/>
          <w:lang w:val="en-GB"/>
        </w:rPr>
        <w:t>Eligibility criteria</w:t>
      </w:r>
    </w:p>
    <w:p w14:paraId="03586C84" w14:textId="660355EA" w:rsidR="008D0E7E" w:rsidRPr="008D0E7E" w:rsidRDefault="008D0E7E" w:rsidP="008D0E7E">
      <w:pPr>
        <w:spacing w:line="259" w:lineRule="auto"/>
        <w:jc w:val="both"/>
        <w:rPr>
          <w:rFonts w:ascii="Garamond" w:hAnsi="Garamond"/>
          <w:bCs/>
          <w:iCs/>
          <w:sz w:val="20"/>
          <w:szCs w:val="20"/>
          <w:lang w:val="en-GB"/>
        </w:rPr>
      </w:pPr>
      <w:r w:rsidRPr="0040264D">
        <w:rPr>
          <w:rFonts w:ascii="Garamond" w:hAnsi="Garamond"/>
          <w:i/>
          <w:iCs/>
          <w:sz w:val="20"/>
          <w:szCs w:val="20"/>
          <w:lang w:val="en-GB"/>
        </w:rPr>
        <w:t>Inclusion criteria</w:t>
      </w:r>
      <w:r w:rsidR="0040264D" w:rsidRPr="0040264D">
        <w:rPr>
          <w:rFonts w:ascii="Garamond" w:hAnsi="Garamond"/>
          <w:i/>
          <w:iCs/>
          <w:sz w:val="20"/>
          <w:szCs w:val="20"/>
          <w:lang w:val="en-GB"/>
        </w:rPr>
        <w:t xml:space="preserve">: </w:t>
      </w:r>
      <w:r w:rsidRPr="008D0E7E">
        <w:rPr>
          <w:rFonts w:ascii="Garamond" w:hAnsi="Garamond"/>
          <w:bCs/>
          <w:iCs/>
          <w:sz w:val="20"/>
          <w:szCs w:val="20"/>
          <w:lang w:val="en-GB"/>
        </w:rPr>
        <w:t>Studies were eligible for inclusion if they:</w:t>
      </w:r>
    </w:p>
    <w:p w14:paraId="7247B0FB" w14:textId="77777777" w:rsidR="008D0E7E" w:rsidRPr="008D0E7E" w:rsidRDefault="008D0E7E" w:rsidP="008D0E7E">
      <w:pPr>
        <w:numPr>
          <w:ilvl w:val="0"/>
          <w:numId w:val="26"/>
        </w:numPr>
        <w:spacing w:line="259" w:lineRule="auto"/>
        <w:ind w:left="426"/>
        <w:jc w:val="both"/>
        <w:rPr>
          <w:rFonts w:ascii="Garamond" w:hAnsi="Garamond"/>
          <w:bCs/>
          <w:iCs/>
          <w:sz w:val="20"/>
          <w:szCs w:val="20"/>
          <w:lang w:val="en-GB"/>
        </w:rPr>
      </w:pPr>
      <w:r w:rsidRPr="008D0E7E">
        <w:rPr>
          <w:rFonts w:ascii="Garamond" w:hAnsi="Garamond"/>
          <w:bCs/>
          <w:iCs/>
          <w:sz w:val="20"/>
          <w:szCs w:val="20"/>
          <w:lang w:val="en-GB"/>
        </w:rPr>
        <w:t xml:space="preserve">Focused on butchers currently working in abattoirs, butcher shops, or meat processing environments. </w:t>
      </w:r>
    </w:p>
    <w:p w14:paraId="435D93C1" w14:textId="77777777" w:rsidR="008D0E7E" w:rsidRPr="008D0E7E" w:rsidRDefault="008D0E7E" w:rsidP="008D0E7E">
      <w:pPr>
        <w:numPr>
          <w:ilvl w:val="0"/>
          <w:numId w:val="26"/>
        </w:numPr>
        <w:spacing w:line="259" w:lineRule="auto"/>
        <w:ind w:left="426"/>
        <w:jc w:val="both"/>
        <w:rPr>
          <w:rFonts w:ascii="Garamond" w:hAnsi="Garamond"/>
          <w:bCs/>
          <w:iCs/>
          <w:sz w:val="20"/>
          <w:szCs w:val="20"/>
          <w:lang w:val="en-GB"/>
        </w:rPr>
      </w:pPr>
      <w:r w:rsidRPr="008D0E7E">
        <w:rPr>
          <w:rFonts w:ascii="Garamond" w:hAnsi="Garamond"/>
          <w:bCs/>
          <w:iCs/>
          <w:sz w:val="20"/>
          <w:szCs w:val="20"/>
          <w:lang w:val="en-GB"/>
        </w:rPr>
        <w:t>Included participants aged 18 years and older with a minimum of 6 months of work experience.</w:t>
      </w:r>
    </w:p>
    <w:p w14:paraId="77FA35A4" w14:textId="77777777" w:rsidR="008D0E7E" w:rsidRPr="008D0E7E" w:rsidRDefault="008D0E7E" w:rsidP="008D0E7E">
      <w:pPr>
        <w:numPr>
          <w:ilvl w:val="0"/>
          <w:numId w:val="26"/>
        </w:numPr>
        <w:spacing w:line="259" w:lineRule="auto"/>
        <w:ind w:left="426"/>
        <w:jc w:val="both"/>
        <w:rPr>
          <w:rFonts w:ascii="Garamond" w:hAnsi="Garamond"/>
          <w:bCs/>
          <w:iCs/>
          <w:sz w:val="20"/>
          <w:szCs w:val="20"/>
          <w:lang w:val="en-GB"/>
        </w:rPr>
      </w:pPr>
      <w:r w:rsidRPr="008D0E7E">
        <w:rPr>
          <w:rFonts w:ascii="Garamond" w:hAnsi="Garamond"/>
          <w:bCs/>
          <w:iCs/>
          <w:sz w:val="20"/>
          <w:szCs w:val="20"/>
          <w:lang w:val="en-GB"/>
        </w:rPr>
        <w:t xml:space="preserve">Reported the prevalence, types, or risk factors associated with musculoskeletal disorders. </w:t>
      </w:r>
    </w:p>
    <w:p w14:paraId="54E8CF4F" w14:textId="77777777" w:rsidR="008D0E7E" w:rsidRPr="008D0E7E" w:rsidRDefault="008D0E7E" w:rsidP="008D0E7E">
      <w:pPr>
        <w:numPr>
          <w:ilvl w:val="0"/>
          <w:numId w:val="26"/>
        </w:numPr>
        <w:spacing w:line="259" w:lineRule="auto"/>
        <w:ind w:left="426"/>
        <w:jc w:val="both"/>
        <w:rPr>
          <w:rFonts w:ascii="Garamond" w:hAnsi="Garamond"/>
          <w:bCs/>
          <w:iCs/>
          <w:sz w:val="20"/>
          <w:szCs w:val="20"/>
          <w:lang w:val="en-GB"/>
        </w:rPr>
      </w:pPr>
      <w:r w:rsidRPr="008D0E7E">
        <w:rPr>
          <w:rFonts w:ascii="Garamond" w:hAnsi="Garamond"/>
          <w:bCs/>
          <w:iCs/>
          <w:sz w:val="20"/>
          <w:szCs w:val="20"/>
          <w:lang w:val="en-GB"/>
        </w:rPr>
        <w:t>Employed observational research designs, particularly cross-sectional, cohort, or case-control studies.</w:t>
      </w:r>
    </w:p>
    <w:p w14:paraId="0265F7EC" w14:textId="77777777" w:rsidR="008D0E7E" w:rsidRPr="008D0E7E" w:rsidRDefault="008D0E7E" w:rsidP="008D0E7E">
      <w:pPr>
        <w:numPr>
          <w:ilvl w:val="0"/>
          <w:numId w:val="26"/>
        </w:numPr>
        <w:spacing w:line="259" w:lineRule="auto"/>
        <w:ind w:left="426"/>
        <w:jc w:val="both"/>
        <w:rPr>
          <w:rFonts w:ascii="Garamond" w:hAnsi="Garamond"/>
          <w:bCs/>
          <w:iCs/>
          <w:sz w:val="20"/>
          <w:szCs w:val="20"/>
          <w:lang w:val="en-GB"/>
        </w:rPr>
      </w:pPr>
      <w:r w:rsidRPr="008D0E7E">
        <w:rPr>
          <w:rFonts w:ascii="Garamond" w:hAnsi="Garamond"/>
          <w:bCs/>
          <w:iCs/>
          <w:sz w:val="20"/>
          <w:szCs w:val="20"/>
          <w:lang w:val="en-GB"/>
        </w:rPr>
        <w:t xml:space="preserve">Were peer-reviewed with full-texts available. </w:t>
      </w:r>
    </w:p>
    <w:p w14:paraId="1CE4D3A1" w14:textId="77777777" w:rsidR="008D0E7E" w:rsidRPr="008D0E7E" w:rsidRDefault="008D0E7E" w:rsidP="008D0E7E">
      <w:pPr>
        <w:numPr>
          <w:ilvl w:val="0"/>
          <w:numId w:val="26"/>
        </w:numPr>
        <w:spacing w:line="259" w:lineRule="auto"/>
        <w:ind w:left="426"/>
        <w:jc w:val="both"/>
        <w:rPr>
          <w:rFonts w:ascii="Garamond" w:hAnsi="Garamond"/>
          <w:bCs/>
          <w:iCs/>
          <w:sz w:val="20"/>
          <w:szCs w:val="20"/>
          <w:lang w:val="en-GB"/>
        </w:rPr>
      </w:pPr>
      <w:r w:rsidRPr="008D0E7E">
        <w:rPr>
          <w:rFonts w:ascii="Garamond" w:hAnsi="Garamond"/>
          <w:bCs/>
          <w:iCs/>
          <w:sz w:val="20"/>
          <w:szCs w:val="20"/>
          <w:lang w:val="en-GB"/>
        </w:rPr>
        <w:t>Were published in English.</w:t>
      </w:r>
    </w:p>
    <w:p w14:paraId="7FC1CB73" w14:textId="2E6805D9" w:rsidR="008D0E7E" w:rsidRPr="008D0E7E" w:rsidRDefault="008D0E7E" w:rsidP="008D0E7E">
      <w:pPr>
        <w:spacing w:line="259" w:lineRule="auto"/>
        <w:jc w:val="both"/>
        <w:rPr>
          <w:rFonts w:ascii="Garamond" w:hAnsi="Garamond"/>
          <w:bCs/>
          <w:iCs/>
          <w:sz w:val="20"/>
          <w:szCs w:val="20"/>
          <w:lang w:val="en-GB"/>
        </w:rPr>
      </w:pPr>
      <w:r w:rsidRPr="0040264D">
        <w:rPr>
          <w:rFonts w:ascii="Garamond" w:hAnsi="Garamond"/>
          <w:i/>
          <w:iCs/>
          <w:sz w:val="20"/>
          <w:szCs w:val="20"/>
          <w:lang w:val="en-GB"/>
        </w:rPr>
        <w:t>Exclusion criteria</w:t>
      </w:r>
      <w:r w:rsidR="0040264D" w:rsidRPr="0040264D">
        <w:rPr>
          <w:rFonts w:ascii="Garamond" w:hAnsi="Garamond"/>
          <w:i/>
          <w:iCs/>
          <w:sz w:val="20"/>
          <w:szCs w:val="20"/>
          <w:lang w:val="en-GB"/>
        </w:rPr>
        <w:t>:</w:t>
      </w:r>
      <w:r w:rsidR="0040264D">
        <w:rPr>
          <w:rFonts w:ascii="Garamond" w:hAnsi="Garamond"/>
          <w:b/>
          <w:bCs/>
          <w:i/>
          <w:iCs/>
          <w:sz w:val="20"/>
          <w:szCs w:val="20"/>
          <w:lang w:val="en-GB"/>
        </w:rPr>
        <w:t xml:space="preserve"> </w:t>
      </w:r>
      <w:r w:rsidRPr="008D0E7E">
        <w:rPr>
          <w:rFonts w:ascii="Garamond" w:hAnsi="Garamond"/>
          <w:bCs/>
          <w:iCs/>
          <w:sz w:val="20"/>
          <w:szCs w:val="20"/>
          <w:lang w:val="en-GB"/>
        </w:rPr>
        <w:t>Studies were excluded if they:</w:t>
      </w:r>
    </w:p>
    <w:p w14:paraId="48A6E507" w14:textId="77777777" w:rsidR="008D0E7E" w:rsidRPr="008D0E7E" w:rsidRDefault="008D0E7E" w:rsidP="008D0E7E">
      <w:pPr>
        <w:numPr>
          <w:ilvl w:val="0"/>
          <w:numId w:val="27"/>
        </w:numPr>
        <w:spacing w:line="259" w:lineRule="auto"/>
        <w:ind w:left="284"/>
        <w:jc w:val="both"/>
        <w:rPr>
          <w:rFonts w:ascii="Garamond" w:hAnsi="Garamond"/>
          <w:bCs/>
          <w:iCs/>
          <w:sz w:val="20"/>
          <w:szCs w:val="20"/>
          <w:lang w:val="en-GB"/>
        </w:rPr>
      </w:pPr>
      <w:r w:rsidRPr="008D0E7E">
        <w:rPr>
          <w:rFonts w:ascii="Garamond" w:hAnsi="Garamond"/>
          <w:bCs/>
          <w:iCs/>
          <w:sz w:val="20"/>
          <w:szCs w:val="20"/>
          <w:lang w:val="en-GB"/>
        </w:rPr>
        <w:t>Did not involve butchers or focused on other occupational groups.</w:t>
      </w:r>
    </w:p>
    <w:p w14:paraId="45AD06E6" w14:textId="77777777" w:rsidR="008D0E7E" w:rsidRPr="008D0E7E" w:rsidRDefault="008D0E7E" w:rsidP="008D0E7E">
      <w:pPr>
        <w:numPr>
          <w:ilvl w:val="0"/>
          <w:numId w:val="27"/>
        </w:numPr>
        <w:spacing w:line="259" w:lineRule="auto"/>
        <w:ind w:left="284"/>
        <w:jc w:val="both"/>
        <w:rPr>
          <w:rFonts w:ascii="Garamond" w:hAnsi="Garamond"/>
          <w:bCs/>
          <w:iCs/>
          <w:sz w:val="20"/>
          <w:szCs w:val="20"/>
          <w:lang w:val="en-GB"/>
        </w:rPr>
      </w:pPr>
      <w:r w:rsidRPr="008D0E7E">
        <w:rPr>
          <w:rFonts w:ascii="Garamond" w:hAnsi="Garamond"/>
          <w:bCs/>
          <w:iCs/>
          <w:sz w:val="20"/>
          <w:szCs w:val="20"/>
          <w:lang w:val="en-GB"/>
        </w:rPr>
        <w:t>Did not assess musculoskeletal disorders or related conditions.</w:t>
      </w:r>
    </w:p>
    <w:p w14:paraId="19EE78BA" w14:textId="77777777" w:rsidR="008D0E7E" w:rsidRPr="008D0E7E" w:rsidRDefault="008D0E7E" w:rsidP="008D0E7E">
      <w:pPr>
        <w:numPr>
          <w:ilvl w:val="0"/>
          <w:numId w:val="27"/>
        </w:numPr>
        <w:spacing w:line="259" w:lineRule="auto"/>
        <w:ind w:left="284"/>
        <w:jc w:val="both"/>
        <w:rPr>
          <w:rFonts w:ascii="Garamond" w:hAnsi="Garamond"/>
          <w:bCs/>
          <w:iCs/>
          <w:sz w:val="20"/>
          <w:szCs w:val="20"/>
          <w:lang w:val="en-GB"/>
        </w:rPr>
      </w:pPr>
      <w:r w:rsidRPr="008D0E7E">
        <w:rPr>
          <w:rFonts w:ascii="Garamond" w:hAnsi="Garamond"/>
          <w:bCs/>
          <w:iCs/>
          <w:sz w:val="20"/>
          <w:szCs w:val="20"/>
          <w:lang w:val="en-GB"/>
        </w:rPr>
        <w:t>Did not report original data (e.g., editorials, letters, commentaries).</w:t>
      </w:r>
    </w:p>
    <w:p w14:paraId="6C9A42DF" w14:textId="77777777" w:rsidR="008D0E7E" w:rsidRPr="008D0E7E" w:rsidRDefault="008D0E7E" w:rsidP="008D0E7E">
      <w:pPr>
        <w:numPr>
          <w:ilvl w:val="0"/>
          <w:numId w:val="27"/>
        </w:numPr>
        <w:spacing w:line="259" w:lineRule="auto"/>
        <w:ind w:left="284"/>
        <w:jc w:val="both"/>
        <w:rPr>
          <w:rFonts w:ascii="Garamond" w:hAnsi="Garamond"/>
          <w:bCs/>
          <w:iCs/>
          <w:sz w:val="20"/>
          <w:szCs w:val="20"/>
          <w:lang w:val="en-GB"/>
        </w:rPr>
      </w:pPr>
      <w:r w:rsidRPr="008D0E7E">
        <w:rPr>
          <w:rFonts w:ascii="Garamond" w:hAnsi="Garamond"/>
          <w:bCs/>
          <w:iCs/>
          <w:sz w:val="20"/>
          <w:szCs w:val="20"/>
          <w:lang w:val="en-GB"/>
        </w:rPr>
        <w:t>Were non-English language publications and no translation resources were available.</w:t>
      </w:r>
    </w:p>
    <w:p w14:paraId="750453E7" w14:textId="77777777" w:rsidR="008D0E7E" w:rsidRPr="008D0E7E" w:rsidRDefault="008D0E7E" w:rsidP="008D0E7E">
      <w:pPr>
        <w:spacing w:line="259" w:lineRule="auto"/>
        <w:jc w:val="both"/>
        <w:rPr>
          <w:rFonts w:ascii="Garamond" w:hAnsi="Garamond"/>
          <w:bCs/>
          <w:iCs/>
          <w:sz w:val="20"/>
          <w:szCs w:val="20"/>
          <w:lang w:val="en-GB"/>
        </w:rPr>
      </w:pPr>
    </w:p>
    <w:p w14:paraId="14D1AEB5" w14:textId="3F77BE91" w:rsidR="008D0E7E" w:rsidRPr="0040264D" w:rsidRDefault="008D0E7E" w:rsidP="008D0E7E">
      <w:pPr>
        <w:spacing w:line="259" w:lineRule="auto"/>
        <w:jc w:val="both"/>
        <w:rPr>
          <w:rFonts w:ascii="Garamond" w:hAnsi="Garamond"/>
          <w:bCs/>
          <w:iCs/>
          <w:sz w:val="20"/>
          <w:szCs w:val="20"/>
          <w:lang w:val="en-GB"/>
        </w:rPr>
      </w:pPr>
      <w:r w:rsidRPr="0040264D">
        <w:rPr>
          <w:rFonts w:ascii="Garamond" w:hAnsi="Garamond"/>
          <w:b/>
          <w:bCs/>
          <w:i/>
          <w:sz w:val="20"/>
          <w:szCs w:val="20"/>
          <w:lang w:val="en-GB"/>
        </w:rPr>
        <w:t>Charting the data/Data Management</w:t>
      </w:r>
      <w:r w:rsidR="0040264D" w:rsidRPr="0040264D">
        <w:rPr>
          <w:rFonts w:ascii="Garamond" w:hAnsi="Garamond"/>
          <w:b/>
          <w:bCs/>
          <w:i/>
          <w:sz w:val="20"/>
          <w:szCs w:val="20"/>
          <w:lang w:val="en-GB"/>
        </w:rPr>
        <w:t>:</w:t>
      </w:r>
      <w:r w:rsidR="0040264D">
        <w:rPr>
          <w:rFonts w:ascii="Garamond" w:hAnsi="Garamond"/>
          <w:b/>
          <w:bCs/>
          <w:iCs/>
          <w:sz w:val="20"/>
          <w:szCs w:val="20"/>
          <w:lang w:val="en-GB"/>
        </w:rPr>
        <w:t xml:space="preserve"> </w:t>
      </w:r>
      <w:r w:rsidRPr="008D0E7E">
        <w:rPr>
          <w:rFonts w:ascii="Garamond" w:hAnsi="Garamond"/>
          <w:bCs/>
          <w:iCs/>
          <w:sz w:val="20"/>
          <w:szCs w:val="20"/>
          <w:lang w:val="en-GB"/>
        </w:rPr>
        <w:t xml:space="preserve">All articles retrieved from the databases were exported into RAYYAN (https://rayyan.ai.org) and screened for titles </w:t>
      </w:r>
      <w:r w:rsidRPr="008D0E7E">
        <w:rPr>
          <w:rFonts w:ascii="Garamond" w:hAnsi="Garamond"/>
          <w:bCs/>
          <w:iCs/>
          <w:sz w:val="20"/>
          <w:szCs w:val="20"/>
          <w:lang w:val="en-GB"/>
        </w:rPr>
        <w:t>and abstracts. Sorting and removal of duplicates were also emphasized. Thereafter, full-text screening was conducted based on the inclusion and exclusion criteria. Organization and documentation of extracted data were done mainly using Microsoft Excel sheets.</w:t>
      </w:r>
    </w:p>
    <w:p w14:paraId="0BF80E4F" w14:textId="5AAAD2A6" w:rsidR="008D0E7E" w:rsidRPr="0040264D" w:rsidRDefault="008D0E7E" w:rsidP="008D0E7E">
      <w:pPr>
        <w:spacing w:line="259" w:lineRule="auto"/>
        <w:jc w:val="both"/>
        <w:rPr>
          <w:rFonts w:ascii="Garamond" w:hAnsi="Garamond"/>
          <w:bCs/>
          <w:iCs/>
          <w:sz w:val="20"/>
          <w:szCs w:val="20"/>
          <w:lang w:val="en-GB"/>
        </w:rPr>
      </w:pPr>
      <w:r w:rsidRPr="0040264D">
        <w:rPr>
          <w:rFonts w:ascii="Garamond" w:hAnsi="Garamond"/>
          <w:b/>
          <w:bCs/>
          <w:i/>
          <w:sz w:val="20"/>
          <w:szCs w:val="20"/>
          <w:lang w:val="en-GB"/>
        </w:rPr>
        <w:t>Collating and summarizing</w:t>
      </w:r>
      <w:r w:rsidR="0040264D" w:rsidRPr="0040264D">
        <w:rPr>
          <w:rFonts w:ascii="Garamond" w:hAnsi="Garamond"/>
          <w:b/>
          <w:bCs/>
          <w:i/>
          <w:sz w:val="20"/>
          <w:szCs w:val="20"/>
          <w:lang w:val="en-GB"/>
        </w:rPr>
        <w:t xml:space="preserve">: </w:t>
      </w:r>
      <w:r w:rsidRPr="008D0E7E">
        <w:rPr>
          <w:rFonts w:ascii="Garamond" w:hAnsi="Garamond"/>
          <w:bCs/>
          <w:iCs/>
          <w:sz w:val="20"/>
          <w:szCs w:val="20"/>
          <w:lang w:val="en-GB"/>
        </w:rPr>
        <w:t>The characteristics of the included studies and any important questions related to the aim of this scoping review were summarized in a tabular format. Extracted data from included studies was presented in a table with narrative summaries. Relevant information that addresses the study questions was gathered and summarized. This technique of organizing was adopted to assist in the categorization of materials depending on search results. Two authors (I.G. and A.O.) analysed the summary data to discover trends or common topics/categories.</w:t>
      </w:r>
    </w:p>
    <w:p w14:paraId="139538E0" w14:textId="3BC7601C" w:rsidR="008D0E7E" w:rsidRPr="008D0E7E" w:rsidRDefault="008D0E7E" w:rsidP="008D0E7E">
      <w:pPr>
        <w:spacing w:line="259" w:lineRule="auto"/>
        <w:jc w:val="both"/>
        <w:rPr>
          <w:rFonts w:ascii="Garamond" w:hAnsi="Garamond"/>
          <w:bCs/>
          <w:iCs/>
          <w:sz w:val="20"/>
          <w:szCs w:val="20"/>
          <w:lang w:val="en-GB"/>
        </w:rPr>
      </w:pPr>
      <w:r w:rsidRPr="0040264D">
        <w:rPr>
          <w:rFonts w:ascii="Garamond" w:hAnsi="Garamond"/>
          <w:b/>
          <w:bCs/>
          <w:i/>
          <w:sz w:val="20"/>
          <w:szCs w:val="20"/>
          <w:lang w:val="en-GB"/>
        </w:rPr>
        <w:t>Ethical consideration</w:t>
      </w:r>
      <w:r w:rsidR="0040264D" w:rsidRPr="0040264D">
        <w:rPr>
          <w:rFonts w:ascii="Garamond" w:hAnsi="Garamond"/>
          <w:b/>
          <w:bCs/>
          <w:i/>
          <w:sz w:val="20"/>
          <w:szCs w:val="20"/>
          <w:lang w:val="en-GB"/>
        </w:rPr>
        <w:t>:</w:t>
      </w:r>
      <w:r w:rsidR="0040264D">
        <w:rPr>
          <w:rFonts w:ascii="Garamond" w:hAnsi="Garamond"/>
          <w:b/>
          <w:bCs/>
          <w:iCs/>
          <w:sz w:val="20"/>
          <w:szCs w:val="20"/>
          <w:lang w:val="en-GB"/>
        </w:rPr>
        <w:t xml:space="preserve"> </w:t>
      </w:r>
      <w:r w:rsidRPr="008D0E7E">
        <w:rPr>
          <w:rFonts w:ascii="Garamond" w:hAnsi="Garamond"/>
          <w:bCs/>
          <w:iCs/>
          <w:sz w:val="20"/>
          <w:szCs w:val="20"/>
          <w:lang w:val="en-GB"/>
        </w:rPr>
        <w:t>This study used publicly available data from published studies and therefore did not require institutional ethical approval.</w:t>
      </w:r>
    </w:p>
    <w:p w14:paraId="5EB393A2" w14:textId="77777777" w:rsidR="008D0E7E" w:rsidRPr="008D0E7E" w:rsidRDefault="008D0E7E" w:rsidP="008D0E7E">
      <w:pPr>
        <w:spacing w:line="259" w:lineRule="auto"/>
        <w:jc w:val="both"/>
        <w:rPr>
          <w:rFonts w:ascii="Garamond" w:hAnsi="Garamond"/>
          <w:bCs/>
          <w:iCs/>
          <w:sz w:val="20"/>
          <w:szCs w:val="20"/>
          <w:lang w:val="en-GB"/>
        </w:rPr>
      </w:pPr>
    </w:p>
    <w:p w14:paraId="2A3398C7" w14:textId="38BBE8E9" w:rsidR="008D0E7E" w:rsidRPr="0040264D" w:rsidRDefault="0040264D" w:rsidP="008D0E7E">
      <w:pPr>
        <w:spacing w:line="259" w:lineRule="auto"/>
        <w:jc w:val="both"/>
        <w:rPr>
          <w:rFonts w:ascii="Garamond" w:hAnsi="Garamond"/>
          <w:b/>
          <w:bCs/>
          <w:iCs/>
          <w:sz w:val="22"/>
          <w:szCs w:val="22"/>
          <w:lang w:val="en-GB"/>
        </w:rPr>
      </w:pPr>
      <w:r w:rsidRPr="0040264D">
        <w:rPr>
          <w:rFonts w:ascii="Garamond" w:hAnsi="Garamond"/>
          <w:b/>
          <w:bCs/>
          <w:iCs/>
          <w:sz w:val="22"/>
          <w:szCs w:val="22"/>
          <w:lang w:val="en-GB"/>
        </w:rPr>
        <w:t>RESULTS</w:t>
      </w:r>
    </w:p>
    <w:p w14:paraId="2F5CDD44" w14:textId="77777777" w:rsidR="008D0E7E" w:rsidRDefault="008D0E7E" w:rsidP="008D0E7E">
      <w:pPr>
        <w:spacing w:line="259" w:lineRule="auto"/>
        <w:jc w:val="both"/>
        <w:rPr>
          <w:rFonts w:ascii="Garamond" w:hAnsi="Garamond"/>
          <w:bCs/>
          <w:iCs/>
          <w:sz w:val="20"/>
          <w:szCs w:val="20"/>
          <w:lang w:val="en-GB"/>
        </w:rPr>
        <w:sectPr w:rsidR="008D0E7E" w:rsidSect="003D02D5">
          <w:type w:val="continuous"/>
          <w:pgSz w:w="12240" w:h="15840"/>
          <w:pgMar w:top="1440" w:right="1440" w:bottom="1440" w:left="1440" w:header="720" w:footer="720" w:gutter="0"/>
          <w:cols w:num="2" w:space="720"/>
          <w:titlePg/>
          <w:docGrid w:linePitch="360"/>
        </w:sectPr>
      </w:pPr>
      <w:r w:rsidRPr="008D0E7E">
        <w:rPr>
          <w:rFonts w:ascii="Garamond" w:hAnsi="Garamond"/>
          <w:bCs/>
          <w:iCs/>
          <w:sz w:val="20"/>
          <w:szCs w:val="20"/>
          <w:lang w:val="en-GB"/>
        </w:rPr>
        <w:t>A total of 127 records were identified through database searching and exported to Rayyan (Fig. 1). After the removal of duplicates, 54 records remained for title and abstract screening. Of these, 11 full-text articles were assessed for eligibility. Five articles were excluded, three due to unavailability of full-text and two because of unsuitable publication type. The remaining six met the inclusion and exclusion criteria and were included in this review. This selection process is summarized in the PRISMA-</w:t>
      </w:r>
      <w:proofErr w:type="spellStart"/>
      <w:r w:rsidRPr="008D0E7E">
        <w:rPr>
          <w:rFonts w:ascii="Garamond" w:hAnsi="Garamond"/>
          <w:bCs/>
          <w:iCs/>
          <w:sz w:val="20"/>
          <w:szCs w:val="20"/>
          <w:lang w:val="en-GB"/>
        </w:rPr>
        <w:t>ScR</w:t>
      </w:r>
      <w:proofErr w:type="spellEnd"/>
      <w:r w:rsidRPr="008D0E7E">
        <w:rPr>
          <w:rFonts w:ascii="Garamond" w:hAnsi="Garamond"/>
          <w:bCs/>
          <w:iCs/>
          <w:sz w:val="20"/>
          <w:szCs w:val="20"/>
          <w:lang w:val="en-GB"/>
        </w:rPr>
        <w:t xml:space="preserve"> flow diagram below</w:t>
      </w:r>
    </w:p>
    <w:p w14:paraId="390546D6" w14:textId="77777777" w:rsidR="008D0E7E" w:rsidRPr="008D0E7E" w:rsidRDefault="008D0E7E" w:rsidP="008D0E7E">
      <w:pPr>
        <w:jc w:val="both"/>
        <w:rPr>
          <w:rFonts w:ascii="Garamond" w:hAnsi="Garamond"/>
          <w:bCs/>
          <w:iCs/>
          <w:sz w:val="20"/>
          <w:szCs w:val="20"/>
          <w:lang w:val="en-GB"/>
        </w:rPr>
      </w:pPr>
    </w:p>
    <w:p w14:paraId="1A7B4F52" w14:textId="77777777" w:rsidR="008D0E7E" w:rsidRPr="008D0E7E" w:rsidRDefault="008D0E7E" w:rsidP="008D0E7E">
      <w:pPr>
        <w:jc w:val="both"/>
        <w:rPr>
          <w:rFonts w:ascii="Garamond" w:hAnsi="Garamond"/>
          <w:bCs/>
          <w:iCs/>
          <w:sz w:val="20"/>
          <w:szCs w:val="20"/>
          <w:lang w:val="en-GB"/>
        </w:rPr>
      </w:pPr>
      <w:r w:rsidRPr="008D0E7E">
        <w:rPr>
          <w:rFonts w:ascii="Garamond" w:hAnsi="Garamond"/>
          <w:bCs/>
          <w:iCs/>
          <w:noProof/>
          <w:sz w:val="20"/>
          <w:szCs w:val="20"/>
          <w:lang w:val="en-GB"/>
        </w:rPr>
        <mc:AlternateContent>
          <mc:Choice Requires="wps">
            <w:drawing>
              <wp:anchor distT="0" distB="0" distL="114300" distR="114300" simplePos="0" relativeHeight="251665408" behindDoc="0" locked="0" layoutInCell="1" allowOverlap="1" wp14:anchorId="78C69B00" wp14:editId="76353905">
                <wp:simplePos x="0" y="0"/>
                <wp:positionH relativeFrom="column">
                  <wp:posOffset>1767205</wp:posOffset>
                </wp:positionH>
                <wp:positionV relativeFrom="paragraph">
                  <wp:posOffset>76835</wp:posOffset>
                </wp:positionV>
                <wp:extent cx="1887220" cy="1243330"/>
                <wp:effectExtent l="0" t="0" r="17780" b="13970"/>
                <wp:wrapNone/>
                <wp:docPr id="64577177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7220" cy="124333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5B0FDE"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identified from*:</w:t>
                            </w:r>
                          </w:p>
                          <w:p w14:paraId="0D7C7312" w14:textId="77777777" w:rsidR="008D0E7E" w:rsidRDefault="008D0E7E" w:rsidP="008D0E7E">
                            <w:pPr>
                              <w:ind w:left="284"/>
                              <w:rPr>
                                <w:rFonts w:ascii="Arial" w:hAnsi="Arial" w:cs="Arial"/>
                                <w:color w:val="000000" w:themeColor="text1"/>
                                <w:sz w:val="18"/>
                                <w:szCs w:val="20"/>
                              </w:rPr>
                            </w:pPr>
                            <w:r>
                              <w:rPr>
                                <w:rFonts w:ascii="Arial" w:hAnsi="Arial" w:cs="Arial"/>
                                <w:color w:val="000000" w:themeColor="text1"/>
                                <w:sz w:val="18"/>
                                <w:szCs w:val="20"/>
                              </w:rPr>
                              <w:t>Databases (n = 63)</w:t>
                            </w:r>
                          </w:p>
                          <w:p w14:paraId="7A572E96" w14:textId="77777777" w:rsidR="008D0E7E" w:rsidRPr="00560609" w:rsidRDefault="008D0E7E" w:rsidP="008D0E7E">
                            <w:pPr>
                              <w:ind w:left="284"/>
                              <w:rPr>
                                <w:rFonts w:ascii="Arial" w:hAnsi="Arial" w:cs="Arial"/>
                                <w:color w:val="000000" w:themeColor="text1"/>
                                <w:sz w:val="18"/>
                                <w:szCs w:val="20"/>
                              </w:rPr>
                            </w:pPr>
                            <w:r>
                              <w:rPr>
                                <w:rFonts w:ascii="Arial" w:hAnsi="Arial" w:cs="Arial"/>
                                <w:color w:val="000000" w:themeColor="text1"/>
                                <w:sz w:val="18"/>
                                <w:szCs w:val="20"/>
                              </w:rPr>
                              <w:t>Registers (n = 64)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C69B00" id="Rectangle 36" o:spid="_x0000_s1028" style="position:absolute;left:0;text-align:left;margin-left:139.15pt;margin-top:6.05pt;width:148.6pt;height:97.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" filled="f" strokecolor="black [3213]" strokeweight="1pt">
                <v:path arrowok="t"/>
                <v:textbox>
                  <w:txbxContent>
                    <w:p w14:paraId="315B0FDE"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identified from*:</w:t>
                      </w:r>
                    </w:p>
                    <w:p w14:paraId="0D7C7312" w14:textId="77777777" w:rsidR="008D0E7E" w:rsidRDefault="008D0E7E" w:rsidP="008D0E7E">
                      <w:pPr>
                        <w:ind w:left="284"/>
                        <w:rPr>
                          <w:rFonts w:ascii="Arial" w:hAnsi="Arial" w:cs="Arial"/>
                          <w:color w:val="000000" w:themeColor="text1"/>
                          <w:sz w:val="18"/>
                          <w:szCs w:val="20"/>
                        </w:rPr>
                      </w:pPr>
                      <w:r>
                        <w:rPr>
                          <w:rFonts w:ascii="Arial" w:hAnsi="Arial" w:cs="Arial"/>
                          <w:color w:val="000000" w:themeColor="text1"/>
                          <w:sz w:val="18"/>
                          <w:szCs w:val="20"/>
                        </w:rPr>
                        <w:t>Databases (n = 63)</w:t>
                      </w:r>
                    </w:p>
                    <w:p w14:paraId="7A572E96" w14:textId="77777777" w:rsidR="008D0E7E" w:rsidRPr="00560609" w:rsidRDefault="008D0E7E" w:rsidP="008D0E7E">
                      <w:pPr>
                        <w:ind w:left="284"/>
                        <w:rPr>
                          <w:rFonts w:ascii="Arial" w:hAnsi="Arial" w:cs="Arial"/>
                          <w:color w:val="000000" w:themeColor="text1"/>
                          <w:sz w:val="18"/>
                          <w:szCs w:val="20"/>
                        </w:rPr>
                      </w:pPr>
                      <w:r>
                        <w:rPr>
                          <w:rFonts w:ascii="Arial" w:hAnsi="Arial" w:cs="Arial"/>
                          <w:color w:val="000000" w:themeColor="text1"/>
                          <w:sz w:val="18"/>
                          <w:szCs w:val="20"/>
                        </w:rPr>
                        <w:t>Registers (n = 64)</w:t>
                      </w:r>
                    </w:p>
                  </w:txbxContent>
                </v:textbox>
              </v:rect>
            </w:pict>
          </mc:Fallback>
        </mc:AlternateContent>
      </w:r>
      <w:r w:rsidRPr="008D0E7E">
        <w:rPr>
          <w:rFonts w:ascii="Garamond" w:hAnsi="Garamond"/>
          <w:bCs/>
          <w:iCs/>
          <w:noProof/>
          <w:sz w:val="20"/>
          <w:szCs w:val="20"/>
          <w:lang w:val="en-GB"/>
        </w:rPr>
        <mc:AlternateContent>
          <mc:Choice Requires="wps">
            <w:drawing>
              <wp:anchor distT="0" distB="0" distL="114300" distR="114300" simplePos="0" relativeHeight="251666432" behindDoc="0" locked="0" layoutInCell="1" allowOverlap="1" wp14:anchorId="72D975EA" wp14:editId="1B8D9104">
                <wp:simplePos x="0" y="0"/>
                <wp:positionH relativeFrom="column">
                  <wp:posOffset>4219575</wp:posOffset>
                </wp:positionH>
                <wp:positionV relativeFrom="paragraph">
                  <wp:posOffset>76835</wp:posOffset>
                </wp:positionV>
                <wp:extent cx="1887220" cy="1242695"/>
                <wp:effectExtent l="0" t="0" r="17780" b="14605"/>
                <wp:wrapNone/>
                <wp:docPr id="103756054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7220" cy="124269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588CA"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removed </w:t>
                            </w:r>
                            <w:r w:rsidRPr="00B52554">
                              <w:rPr>
                                <w:rFonts w:ascii="Arial" w:hAnsi="Arial" w:cs="Arial"/>
                                <w:i/>
                                <w:iCs/>
                                <w:color w:val="000000" w:themeColor="text1"/>
                                <w:sz w:val="18"/>
                                <w:szCs w:val="20"/>
                              </w:rPr>
                              <w:t>before screening</w:t>
                            </w:r>
                            <w:r>
                              <w:rPr>
                                <w:rFonts w:ascii="Arial" w:hAnsi="Arial" w:cs="Arial"/>
                                <w:color w:val="000000" w:themeColor="text1"/>
                                <w:sz w:val="18"/>
                                <w:szCs w:val="20"/>
                              </w:rPr>
                              <w:t>:</w:t>
                            </w:r>
                          </w:p>
                          <w:p w14:paraId="649DB0E1" w14:textId="77777777" w:rsidR="008D0E7E" w:rsidRDefault="008D0E7E" w:rsidP="008D0E7E">
                            <w:pPr>
                              <w:ind w:left="284"/>
                              <w:rPr>
                                <w:rFonts w:ascii="Arial" w:hAnsi="Arial" w:cs="Arial"/>
                                <w:color w:val="000000" w:themeColor="text1"/>
                                <w:sz w:val="18"/>
                                <w:szCs w:val="20"/>
                              </w:rPr>
                            </w:pPr>
                            <w:r>
                              <w:rPr>
                                <w:rFonts w:ascii="Arial" w:hAnsi="Arial" w:cs="Arial"/>
                                <w:color w:val="000000" w:themeColor="text1"/>
                                <w:sz w:val="18"/>
                                <w:szCs w:val="20"/>
                              </w:rPr>
                              <w:t xml:space="preserve">Duplicate records </w:t>
                            </w:r>
                            <w:proofErr w:type="gramStart"/>
                            <w:r>
                              <w:rPr>
                                <w:rFonts w:ascii="Arial" w:hAnsi="Arial" w:cs="Arial"/>
                                <w:color w:val="000000" w:themeColor="text1"/>
                                <w:sz w:val="18"/>
                                <w:szCs w:val="20"/>
                              </w:rPr>
                              <w:t>removed  (</w:t>
                            </w:r>
                            <w:proofErr w:type="gramEnd"/>
                            <w:r>
                              <w:rPr>
                                <w:rFonts w:ascii="Arial" w:hAnsi="Arial" w:cs="Arial"/>
                                <w:color w:val="000000" w:themeColor="text1"/>
                                <w:sz w:val="18"/>
                                <w:szCs w:val="20"/>
                              </w:rPr>
                              <w:t>n = 63)</w:t>
                            </w:r>
                          </w:p>
                          <w:p w14:paraId="10979F8D" w14:textId="77777777" w:rsidR="008D0E7E" w:rsidRDefault="008D0E7E" w:rsidP="008D0E7E">
                            <w:pPr>
                              <w:ind w:left="284"/>
                              <w:rPr>
                                <w:rFonts w:ascii="Arial" w:hAnsi="Arial" w:cs="Arial"/>
                                <w:color w:val="000000" w:themeColor="text1"/>
                                <w:sz w:val="18"/>
                                <w:szCs w:val="20"/>
                              </w:rPr>
                            </w:pPr>
                            <w:r>
                              <w:rPr>
                                <w:rFonts w:ascii="Arial" w:hAnsi="Arial" w:cs="Arial"/>
                                <w:color w:val="000000" w:themeColor="text1"/>
                                <w:sz w:val="18"/>
                                <w:szCs w:val="20"/>
                              </w:rPr>
                              <w:t>Records marked as ineligible by automation tools (n = 0)</w:t>
                            </w:r>
                          </w:p>
                          <w:p w14:paraId="23D0A8B6" w14:textId="77777777" w:rsidR="008D0E7E" w:rsidRPr="00560609" w:rsidRDefault="008D0E7E" w:rsidP="008D0E7E">
                            <w:pPr>
                              <w:ind w:left="284"/>
                              <w:rPr>
                                <w:rFonts w:ascii="Arial" w:hAnsi="Arial" w:cs="Arial"/>
                                <w:color w:val="000000" w:themeColor="text1"/>
                                <w:sz w:val="18"/>
                                <w:szCs w:val="20"/>
                              </w:rPr>
                            </w:pPr>
                            <w:r>
                              <w:rPr>
                                <w:rFonts w:ascii="Arial" w:hAnsi="Arial" w:cs="Arial"/>
                                <w:color w:val="000000" w:themeColor="text1"/>
                                <w:sz w:val="18"/>
                                <w:szCs w:val="20"/>
                              </w:rPr>
                              <w:t>Records removed for other reasons (n = 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D975EA" id="Rectangle 34" o:spid="_x0000_s1029" style="position:absolute;left:0;text-align:left;margin-left:332.25pt;margin-top:6.05pt;width:148.6pt;height:97.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" filled="f" strokecolor="black [3213]" strokeweight="1pt">
                <v:path arrowok="t"/>
                <v:textbox>
                  <w:txbxContent>
                    <w:p w14:paraId="764588CA"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removed </w:t>
                      </w:r>
                      <w:r w:rsidRPr="00B52554">
                        <w:rPr>
                          <w:rFonts w:ascii="Arial" w:hAnsi="Arial" w:cs="Arial"/>
                          <w:i/>
                          <w:iCs/>
                          <w:color w:val="000000" w:themeColor="text1"/>
                          <w:sz w:val="18"/>
                          <w:szCs w:val="20"/>
                        </w:rPr>
                        <w:t>before screening</w:t>
                      </w:r>
                      <w:r>
                        <w:rPr>
                          <w:rFonts w:ascii="Arial" w:hAnsi="Arial" w:cs="Arial"/>
                          <w:color w:val="000000" w:themeColor="text1"/>
                          <w:sz w:val="18"/>
                          <w:szCs w:val="20"/>
                        </w:rPr>
                        <w:t>:</w:t>
                      </w:r>
                    </w:p>
                    <w:p w14:paraId="649DB0E1" w14:textId="77777777" w:rsidR="008D0E7E" w:rsidRDefault="008D0E7E" w:rsidP="008D0E7E">
                      <w:pPr>
                        <w:ind w:left="284"/>
                        <w:rPr>
                          <w:rFonts w:ascii="Arial" w:hAnsi="Arial" w:cs="Arial"/>
                          <w:color w:val="000000" w:themeColor="text1"/>
                          <w:sz w:val="18"/>
                          <w:szCs w:val="20"/>
                        </w:rPr>
                      </w:pPr>
                      <w:r>
                        <w:rPr>
                          <w:rFonts w:ascii="Arial" w:hAnsi="Arial" w:cs="Arial"/>
                          <w:color w:val="000000" w:themeColor="text1"/>
                          <w:sz w:val="18"/>
                          <w:szCs w:val="20"/>
                        </w:rPr>
                        <w:t xml:space="preserve">Duplicate records </w:t>
                      </w:r>
                      <w:proofErr w:type="gramStart"/>
                      <w:r>
                        <w:rPr>
                          <w:rFonts w:ascii="Arial" w:hAnsi="Arial" w:cs="Arial"/>
                          <w:color w:val="000000" w:themeColor="text1"/>
                          <w:sz w:val="18"/>
                          <w:szCs w:val="20"/>
                        </w:rPr>
                        <w:t>removed  (</w:t>
                      </w:r>
                      <w:proofErr w:type="gramEnd"/>
                      <w:r>
                        <w:rPr>
                          <w:rFonts w:ascii="Arial" w:hAnsi="Arial" w:cs="Arial"/>
                          <w:color w:val="000000" w:themeColor="text1"/>
                          <w:sz w:val="18"/>
                          <w:szCs w:val="20"/>
                        </w:rPr>
                        <w:t>n = 63)</w:t>
                      </w:r>
                    </w:p>
                    <w:p w14:paraId="10979F8D" w14:textId="77777777" w:rsidR="008D0E7E" w:rsidRDefault="008D0E7E" w:rsidP="008D0E7E">
                      <w:pPr>
                        <w:ind w:left="284"/>
                        <w:rPr>
                          <w:rFonts w:ascii="Arial" w:hAnsi="Arial" w:cs="Arial"/>
                          <w:color w:val="000000" w:themeColor="text1"/>
                          <w:sz w:val="18"/>
                          <w:szCs w:val="20"/>
                        </w:rPr>
                      </w:pPr>
                      <w:r>
                        <w:rPr>
                          <w:rFonts w:ascii="Arial" w:hAnsi="Arial" w:cs="Arial"/>
                          <w:color w:val="000000" w:themeColor="text1"/>
                          <w:sz w:val="18"/>
                          <w:szCs w:val="20"/>
                        </w:rPr>
                        <w:t>Records marked as ineligible by automation tools (n = 0)</w:t>
                      </w:r>
                    </w:p>
                    <w:p w14:paraId="23D0A8B6" w14:textId="77777777" w:rsidR="008D0E7E" w:rsidRPr="00560609" w:rsidRDefault="008D0E7E" w:rsidP="008D0E7E">
                      <w:pPr>
                        <w:ind w:left="284"/>
                        <w:rPr>
                          <w:rFonts w:ascii="Arial" w:hAnsi="Arial" w:cs="Arial"/>
                          <w:color w:val="000000" w:themeColor="text1"/>
                          <w:sz w:val="18"/>
                          <w:szCs w:val="20"/>
                        </w:rPr>
                      </w:pPr>
                      <w:r>
                        <w:rPr>
                          <w:rFonts w:ascii="Arial" w:hAnsi="Arial" w:cs="Arial"/>
                          <w:color w:val="000000" w:themeColor="text1"/>
                          <w:sz w:val="18"/>
                          <w:szCs w:val="20"/>
                        </w:rPr>
                        <w:t>Records removed for other reasons (n = 10)</w:t>
                      </w:r>
                    </w:p>
                  </w:txbxContent>
                </v:textbox>
              </v:rect>
            </w:pict>
          </mc:Fallback>
        </mc:AlternateContent>
      </w:r>
    </w:p>
    <w:p w14:paraId="079EAC86" w14:textId="77777777" w:rsidR="008D0E7E" w:rsidRPr="008D0E7E" w:rsidRDefault="008D0E7E" w:rsidP="008D0E7E">
      <w:pPr>
        <w:jc w:val="both"/>
        <w:rPr>
          <w:rFonts w:ascii="Garamond" w:hAnsi="Garamond"/>
          <w:bCs/>
          <w:iCs/>
          <w:sz w:val="20"/>
          <w:szCs w:val="20"/>
          <w:lang w:val="en-GB"/>
        </w:rPr>
      </w:pPr>
      <w:r w:rsidRPr="008D0E7E">
        <w:rPr>
          <w:rFonts w:ascii="Garamond" w:hAnsi="Garamond"/>
          <w:bCs/>
          <w:iCs/>
          <w:noProof/>
          <w:sz w:val="20"/>
          <w:szCs w:val="20"/>
          <w:lang w:val="en-GB"/>
        </w:rPr>
        <mc:AlternateContent>
          <mc:Choice Requires="wps">
            <w:drawing>
              <wp:anchor distT="0" distB="0" distL="114300" distR="114300" simplePos="0" relativeHeight="251677696" behindDoc="0" locked="0" layoutInCell="1" allowOverlap="1" wp14:anchorId="2100F56F" wp14:editId="3CD478E5">
                <wp:simplePos x="0" y="0"/>
                <wp:positionH relativeFrom="column">
                  <wp:posOffset>35560</wp:posOffset>
                </wp:positionH>
                <wp:positionV relativeFrom="paragraph">
                  <wp:posOffset>166370</wp:posOffset>
                </wp:positionV>
                <wp:extent cx="1283970" cy="262890"/>
                <wp:effectExtent l="12700" t="17780" r="19685" b="12700"/>
                <wp:wrapNone/>
                <wp:docPr id="1806442110" name="Flowchart: Alternate Process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83970" cy="262890"/>
                        </a:xfrm>
                        <a:prstGeom prst="flowChartAlternateProcess">
                          <a:avLst/>
                        </a:prstGeom>
                        <a:solidFill>
                          <a:schemeClr val="accent5">
                            <a:lumMod val="60000"/>
                            <a:lumOff val="40000"/>
                          </a:schemeClr>
                        </a:solidFill>
                        <a:ln w="25400">
                          <a:solidFill>
                            <a:schemeClr val="tx1">
                              <a:lumMod val="100000"/>
                              <a:lumOff val="0"/>
                            </a:schemeClr>
                          </a:solidFill>
                          <a:miter lim="800000"/>
                          <a:headEnd/>
                          <a:tailEnd/>
                        </a:ln>
                      </wps:spPr>
                      <wps:txbx>
                        <w:txbxContent>
                          <w:p w14:paraId="6A97B498" w14:textId="77777777" w:rsidR="008D0E7E" w:rsidRPr="001502CF" w:rsidRDefault="008D0E7E" w:rsidP="008D0E7E">
                            <w:pPr>
                              <w:jc w:val="center"/>
                              <w:rPr>
                                <w:rFonts w:ascii="Arial" w:hAnsi="Arial" w:cs="Arial"/>
                                <w:b/>
                                <w:color w:val="000000" w:themeColor="text1"/>
                                <w:sz w:val="18"/>
                                <w:szCs w:val="18"/>
                              </w:rPr>
                            </w:pPr>
                            <w:r w:rsidRPr="001502CF">
                              <w:rPr>
                                <w:rFonts w:ascii="Arial" w:hAnsi="Arial" w:cs="Arial"/>
                                <w:b/>
                                <w:color w:val="000000" w:themeColor="text1"/>
                                <w:sz w:val="18"/>
                                <w:szCs w:val="18"/>
                              </w:rPr>
                              <w:t>Identification</w:t>
                            </w:r>
                          </w:p>
                        </w:txbxContent>
                      </wps:txbx>
                      <wps:bodyPr rot="0" vert="vert270"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100F56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32" o:spid="_x0000_s1030" type="#_x0000_t176" style="position:absolute;left:0;text-align:left;margin-left:2.8pt;margin-top:13.1pt;width:101.1pt;height:20.7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" fillcolor="#8eaadb [1944]" strokecolor="black [3213]" strokeweight="2pt">
                <v:textbox style="layout-flow:vertical;mso-layout-flow-alt:bottom-to-top">
                  <w:txbxContent>
                    <w:p w14:paraId="6A97B498" w14:textId="77777777" w:rsidR="008D0E7E" w:rsidRPr="001502CF" w:rsidRDefault="008D0E7E" w:rsidP="008D0E7E">
                      <w:pPr>
                        <w:jc w:val="center"/>
                        <w:rPr>
                          <w:rFonts w:ascii="Arial" w:hAnsi="Arial" w:cs="Arial"/>
                          <w:b/>
                          <w:color w:val="000000" w:themeColor="text1"/>
                          <w:sz w:val="18"/>
                          <w:szCs w:val="18"/>
                        </w:rPr>
                      </w:pPr>
                      <w:r w:rsidRPr="001502CF">
                        <w:rPr>
                          <w:rFonts w:ascii="Arial" w:hAnsi="Arial" w:cs="Arial"/>
                          <w:b/>
                          <w:color w:val="000000" w:themeColor="text1"/>
                          <w:sz w:val="18"/>
                          <w:szCs w:val="18"/>
                        </w:rPr>
                        <w:t>Identification</w:t>
                      </w:r>
                    </w:p>
                  </w:txbxContent>
                </v:textbox>
              </v:shape>
            </w:pict>
          </mc:Fallback>
        </mc:AlternateContent>
      </w:r>
    </w:p>
    <w:p w14:paraId="6D4D38D7" w14:textId="77777777" w:rsidR="008D0E7E" w:rsidRPr="008D0E7E" w:rsidRDefault="008D0E7E" w:rsidP="008D0E7E">
      <w:pPr>
        <w:jc w:val="both"/>
        <w:rPr>
          <w:rFonts w:ascii="Garamond" w:hAnsi="Garamond"/>
          <w:bCs/>
          <w:iCs/>
          <w:sz w:val="20"/>
          <w:szCs w:val="20"/>
          <w:lang w:val="en-GB"/>
        </w:rPr>
      </w:pPr>
    </w:p>
    <w:p w14:paraId="468A77BB" w14:textId="77777777" w:rsidR="008D0E7E" w:rsidRPr="008D0E7E" w:rsidRDefault="008D0E7E" w:rsidP="008D0E7E">
      <w:pPr>
        <w:jc w:val="both"/>
        <w:rPr>
          <w:rFonts w:ascii="Garamond" w:hAnsi="Garamond"/>
          <w:bCs/>
          <w:iCs/>
          <w:sz w:val="20"/>
          <w:szCs w:val="20"/>
          <w:lang w:val="en-GB"/>
        </w:rPr>
      </w:pPr>
    </w:p>
    <w:p w14:paraId="492022DD" w14:textId="77777777" w:rsidR="008D0E7E" w:rsidRPr="008D0E7E" w:rsidRDefault="008D0E7E" w:rsidP="008D0E7E">
      <w:pPr>
        <w:jc w:val="both"/>
        <w:rPr>
          <w:rFonts w:ascii="Garamond" w:hAnsi="Garamond"/>
          <w:bCs/>
          <w:iCs/>
          <w:sz w:val="20"/>
          <w:szCs w:val="20"/>
          <w:lang w:val="en-GB"/>
        </w:rPr>
      </w:pPr>
      <w:r w:rsidRPr="008D0E7E">
        <w:rPr>
          <w:rFonts w:ascii="Garamond" w:hAnsi="Garamond"/>
          <w:bCs/>
          <w:iCs/>
          <w:noProof/>
          <w:sz w:val="20"/>
          <w:szCs w:val="20"/>
          <w:lang w:val="en-GB"/>
        </w:rPr>
        <mc:AlternateContent>
          <mc:Choice Requires="wps">
            <w:drawing>
              <wp:anchor distT="4294967295" distB="4294967295" distL="114300" distR="114300" simplePos="0" relativeHeight="251674624" behindDoc="0" locked="0" layoutInCell="1" allowOverlap="1" wp14:anchorId="3E2EAD4D" wp14:editId="1FBB4116">
                <wp:simplePos x="0" y="0"/>
                <wp:positionH relativeFrom="column">
                  <wp:posOffset>3661410</wp:posOffset>
                </wp:positionH>
                <wp:positionV relativeFrom="paragraph">
                  <wp:posOffset>9524</wp:posOffset>
                </wp:positionV>
                <wp:extent cx="563245" cy="0"/>
                <wp:effectExtent l="0" t="76200" r="27305" b="95250"/>
                <wp:wrapNone/>
                <wp:docPr id="1342615888"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3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66945F3C" id="_x0000_t32" coordsize="21600,21600" o:spt="32" o:oned="t" path="m,l21600,21600e" filled="f">
                <v:path arrowok="t" fillok="f" o:connecttype="none"/>
                <o:lock v:ext="edit" shapetype="t"/>
              </v:shapetype>
              <v:shape id="Straight Arrow Connector 31" o:spid="_x0000_s1026" type="#_x0000_t32" style="position:absolute;margin-left:288.3pt;margin-top:.75pt;width:44.35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" strokecolor="black [3213]" strokeweight=".5pt">
                <v:stroke endarrow="block" joinstyle="miter"/>
                <o:lock v:ext="edit" shapetype="f"/>
              </v:shape>
            </w:pict>
          </mc:Fallback>
        </mc:AlternateContent>
      </w:r>
    </w:p>
    <w:p w14:paraId="70E661A2" w14:textId="77777777" w:rsidR="008D0E7E" w:rsidRPr="008D0E7E" w:rsidRDefault="008D0E7E" w:rsidP="008D0E7E">
      <w:pPr>
        <w:jc w:val="both"/>
        <w:rPr>
          <w:rFonts w:ascii="Garamond" w:hAnsi="Garamond"/>
          <w:bCs/>
          <w:iCs/>
          <w:sz w:val="20"/>
          <w:szCs w:val="20"/>
          <w:lang w:val="en-GB"/>
        </w:rPr>
      </w:pPr>
    </w:p>
    <w:p w14:paraId="513C6C87" w14:textId="77777777" w:rsidR="008D0E7E" w:rsidRPr="008D0E7E" w:rsidRDefault="008D0E7E" w:rsidP="008D0E7E">
      <w:pPr>
        <w:jc w:val="both"/>
        <w:rPr>
          <w:rFonts w:ascii="Garamond" w:hAnsi="Garamond"/>
          <w:bCs/>
          <w:iCs/>
          <w:sz w:val="20"/>
          <w:szCs w:val="20"/>
          <w:lang w:val="en-GB"/>
        </w:rPr>
      </w:pPr>
    </w:p>
    <w:p w14:paraId="161C4772" w14:textId="77777777" w:rsidR="008D0E7E" w:rsidRPr="008D0E7E" w:rsidRDefault="008D0E7E" w:rsidP="008D0E7E">
      <w:pPr>
        <w:jc w:val="both"/>
        <w:rPr>
          <w:rFonts w:ascii="Garamond" w:hAnsi="Garamond"/>
          <w:bCs/>
          <w:iCs/>
          <w:sz w:val="20"/>
          <w:szCs w:val="20"/>
          <w:lang w:val="en-GB"/>
        </w:rPr>
      </w:pPr>
    </w:p>
    <w:p w14:paraId="55ED9011" w14:textId="77777777" w:rsidR="008D0E7E" w:rsidRPr="008D0E7E" w:rsidRDefault="008D0E7E" w:rsidP="008D0E7E">
      <w:pPr>
        <w:jc w:val="both"/>
        <w:rPr>
          <w:rFonts w:ascii="Garamond" w:hAnsi="Garamond"/>
          <w:bCs/>
          <w:iCs/>
          <w:sz w:val="20"/>
          <w:szCs w:val="20"/>
          <w:lang w:val="en-GB"/>
        </w:rPr>
      </w:pPr>
      <w:r w:rsidRPr="008D0E7E">
        <w:rPr>
          <w:rFonts w:ascii="Garamond" w:hAnsi="Garamond"/>
          <w:bCs/>
          <w:iCs/>
          <w:noProof/>
          <w:sz w:val="20"/>
          <w:szCs w:val="20"/>
          <w:lang w:val="en-GB"/>
        </w:rPr>
        <mc:AlternateContent>
          <mc:Choice Requires="wps">
            <w:drawing>
              <wp:anchor distT="0" distB="0" distL="114299" distR="114299" simplePos="0" relativeHeight="251683840" behindDoc="0" locked="0" layoutInCell="1" allowOverlap="1" wp14:anchorId="6DBCA1DC" wp14:editId="789A6FF3">
                <wp:simplePos x="0" y="0"/>
                <wp:positionH relativeFrom="column">
                  <wp:posOffset>2724150</wp:posOffset>
                </wp:positionH>
                <wp:positionV relativeFrom="paragraph">
                  <wp:posOffset>5715</wp:posOffset>
                </wp:positionV>
                <wp:extent cx="0" cy="281305"/>
                <wp:effectExtent l="76200" t="0" r="57150" b="61595"/>
                <wp:wrapNone/>
                <wp:docPr id="158503748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13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0C89314" id="Straight Arrow Connector 10" o:spid="_x0000_s1026" type="#_x0000_t32" style="position:absolute;margin-left:214.5pt;margin-top:.45pt;width:0;height:22.15pt;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" strokecolor="black [3213]" strokeweight=".5pt">
                <v:stroke endarrow="block" joinstyle="miter"/>
                <o:lock v:ext="edit" shapetype="f"/>
              </v:shape>
            </w:pict>
          </mc:Fallback>
        </mc:AlternateContent>
      </w:r>
      <w:r w:rsidRPr="008D0E7E">
        <w:rPr>
          <w:rFonts w:ascii="Garamond" w:hAnsi="Garamond"/>
          <w:bCs/>
          <w:iCs/>
          <w:noProof/>
          <w:sz w:val="20"/>
          <w:szCs w:val="20"/>
          <w:lang w:val="en-GB"/>
        </w:rPr>
        <mc:AlternateContent>
          <mc:Choice Requires="wps">
            <w:drawing>
              <wp:anchor distT="0" distB="0" distL="114300" distR="114300" simplePos="0" relativeHeight="251682816" behindDoc="0" locked="0" layoutInCell="1" allowOverlap="1" wp14:anchorId="57C5C75E" wp14:editId="597E585C">
                <wp:simplePos x="0" y="0"/>
                <wp:positionH relativeFrom="column">
                  <wp:posOffset>-626745</wp:posOffset>
                </wp:positionH>
                <wp:positionV relativeFrom="paragraph">
                  <wp:posOffset>1180465</wp:posOffset>
                </wp:positionV>
                <wp:extent cx="2666365" cy="347345"/>
                <wp:effectExtent l="18415" t="20955" r="15240" b="17780"/>
                <wp:wrapNone/>
                <wp:docPr id="93244092" name="Flowchart: Alternate Process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666365" cy="347345"/>
                        </a:xfrm>
                        <a:prstGeom prst="flowChartAlternateProcess">
                          <a:avLst/>
                        </a:prstGeom>
                        <a:solidFill>
                          <a:schemeClr val="accent5">
                            <a:lumMod val="60000"/>
                            <a:lumOff val="40000"/>
                          </a:schemeClr>
                        </a:solidFill>
                        <a:ln w="25400">
                          <a:solidFill>
                            <a:schemeClr val="tx1">
                              <a:lumMod val="100000"/>
                              <a:lumOff val="0"/>
                            </a:schemeClr>
                          </a:solidFill>
                          <a:miter lim="800000"/>
                          <a:headEnd/>
                          <a:tailEnd/>
                        </a:ln>
                      </wps:spPr>
                      <wps:txbx>
                        <w:txbxContent>
                          <w:p w14:paraId="43282599" w14:textId="77777777" w:rsidR="008D0E7E" w:rsidRDefault="008D0E7E" w:rsidP="008D0E7E">
                            <w:pPr>
                              <w:jc w:val="center"/>
                              <w:rPr>
                                <w:rFonts w:ascii="Arial" w:hAnsi="Arial" w:cs="Arial"/>
                                <w:b/>
                                <w:color w:val="000000" w:themeColor="text1"/>
                                <w:sz w:val="18"/>
                                <w:szCs w:val="18"/>
                              </w:rPr>
                            </w:pPr>
                            <w:r>
                              <w:rPr>
                                <w:rFonts w:ascii="Arial" w:hAnsi="Arial" w:cs="Arial"/>
                                <w:b/>
                                <w:color w:val="000000" w:themeColor="text1"/>
                                <w:sz w:val="18"/>
                                <w:szCs w:val="18"/>
                              </w:rPr>
                              <w:t>Screening</w:t>
                            </w:r>
                          </w:p>
                          <w:p w14:paraId="76372D7B" w14:textId="77777777" w:rsidR="008D0E7E" w:rsidRPr="001502CF" w:rsidRDefault="008D0E7E" w:rsidP="008D0E7E">
                            <w:pPr>
                              <w:rPr>
                                <w:rFonts w:ascii="Arial" w:hAnsi="Arial" w:cs="Arial"/>
                                <w:b/>
                                <w:color w:val="000000" w:themeColor="text1"/>
                                <w:sz w:val="18"/>
                                <w:szCs w:val="18"/>
                              </w:rPr>
                            </w:pPr>
                          </w:p>
                        </w:txbxContent>
                      </wps:txbx>
                      <wps:bodyPr rot="0" vert="vert270"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7C5C75E" id="Flowchart: Alternate Process 27" o:spid="_x0000_s1031" type="#_x0000_t176" style="position:absolute;left:0;text-align:left;margin-left:-49.35pt;margin-top:92.95pt;width:209.95pt;height:27.35pt;rotation:-9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" fillcolor="#8eaadb [1944]" strokecolor="black [3213]" strokeweight="2pt">
                <v:textbox style="layout-flow:vertical;mso-layout-flow-alt:bottom-to-top">
                  <w:txbxContent>
                    <w:p w14:paraId="43282599" w14:textId="77777777" w:rsidR="008D0E7E" w:rsidRDefault="008D0E7E" w:rsidP="008D0E7E">
                      <w:pPr>
                        <w:jc w:val="center"/>
                        <w:rPr>
                          <w:rFonts w:ascii="Arial" w:hAnsi="Arial" w:cs="Arial"/>
                          <w:b/>
                          <w:color w:val="000000" w:themeColor="text1"/>
                          <w:sz w:val="18"/>
                          <w:szCs w:val="18"/>
                        </w:rPr>
                      </w:pPr>
                      <w:r>
                        <w:rPr>
                          <w:rFonts w:ascii="Arial" w:hAnsi="Arial" w:cs="Arial"/>
                          <w:b/>
                          <w:color w:val="000000" w:themeColor="text1"/>
                          <w:sz w:val="18"/>
                          <w:szCs w:val="18"/>
                        </w:rPr>
                        <w:t>Screening</w:t>
                      </w:r>
                    </w:p>
                    <w:p w14:paraId="76372D7B" w14:textId="77777777" w:rsidR="008D0E7E" w:rsidRPr="001502CF" w:rsidRDefault="008D0E7E" w:rsidP="008D0E7E">
                      <w:pPr>
                        <w:rPr>
                          <w:rFonts w:ascii="Arial" w:hAnsi="Arial" w:cs="Arial"/>
                          <w:b/>
                          <w:color w:val="000000" w:themeColor="text1"/>
                          <w:sz w:val="18"/>
                          <w:szCs w:val="18"/>
                        </w:rPr>
                      </w:pPr>
                    </w:p>
                  </w:txbxContent>
                </v:textbox>
              </v:shape>
            </w:pict>
          </mc:Fallback>
        </mc:AlternateContent>
      </w:r>
    </w:p>
    <w:p w14:paraId="15BCCA19" w14:textId="77777777" w:rsidR="008D0E7E" w:rsidRPr="008D0E7E" w:rsidRDefault="008D0E7E" w:rsidP="008D0E7E">
      <w:pPr>
        <w:jc w:val="both"/>
        <w:rPr>
          <w:rFonts w:ascii="Garamond" w:hAnsi="Garamond"/>
          <w:bCs/>
          <w:iCs/>
          <w:sz w:val="20"/>
          <w:szCs w:val="20"/>
          <w:lang w:val="en-GB"/>
        </w:rPr>
      </w:pPr>
      <w:r w:rsidRPr="008D0E7E">
        <w:rPr>
          <w:rFonts w:ascii="Garamond" w:hAnsi="Garamond"/>
          <w:bCs/>
          <w:iCs/>
          <w:noProof/>
          <w:sz w:val="20"/>
          <w:szCs w:val="20"/>
          <w:lang w:val="en-GB"/>
        </w:rPr>
        <mc:AlternateContent>
          <mc:Choice Requires="wps">
            <w:drawing>
              <wp:anchor distT="0" distB="0" distL="114300" distR="114300" simplePos="0" relativeHeight="251667456" behindDoc="0" locked="0" layoutInCell="1" allowOverlap="1" wp14:anchorId="5F109AE2" wp14:editId="1B12CBA9">
                <wp:simplePos x="0" y="0"/>
                <wp:positionH relativeFrom="column">
                  <wp:posOffset>1765300</wp:posOffset>
                </wp:positionH>
                <wp:positionV relativeFrom="paragraph">
                  <wp:posOffset>101601</wp:posOffset>
                </wp:positionV>
                <wp:extent cx="1887220" cy="488950"/>
                <wp:effectExtent l="0" t="0" r="17780" b="25400"/>
                <wp:wrapNone/>
                <wp:docPr id="1853139998"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7220" cy="488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4331A2"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screened</w:t>
                            </w:r>
                          </w:p>
                          <w:p w14:paraId="78D3F81A" w14:textId="77777777" w:rsidR="008D0E7E" w:rsidRPr="00560609" w:rsidRDefault="008D0E7E" w:rsidP="008D0E7E">
                            <w:pPr>
                              <w:rPr>
                                <w:rFonts w:ascii="Arial" w:hAnsi="Arial" w:cs="Arial"/>
                                <w:color w:val="000000" w:themeColor="text1"/>
                                <w:sz w:val="18"/>
                                <w:szCs w:val="20"/>
                              </w:rPr>
                            </w:pPr>
                            <w:r>
                              <w:rPr>
                                <w:rFonts w:ascii="Arial" w:hAnsi="Arial" w:cs="Arial"/>
                                <w:color w:val="000000" w:themeColor="text1"/>
                                <w:sz w:val="18"/>
                                <w:szCs w:val="20"/>
                              </w:rPr>
                              <w:t>(n =54)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109AE2" id="Rectangle 20" o:spid="_x0000_s1032" style="position:absolute;left:0;text-align:left;margin-left:139pt;margin-top:8pt;width:148.6pt;height: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" filled="f" strokecolor="black [3213]" strokeweight="1pt">
                <v:path arrowok="t"/>
                <v:textbox>
                  <w:txbxContent>
                    <w:p w14:paraId="3C4331A2"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screened</w:t>
                      </w:r>
                    </w:p>
                    <w:p w14:paraId="78D3F81A" w14:textId="77777777" w:rsidR="008D0E7E" w:rsidRPr="00560609" w:rsidRDefault="008D0E7E" w:rsidP="008D0E7E">
                      <w:pPr>
                        <w:rPr>
                          <w:rFonts w:ascii="Arial" w:hAnsi="Arial" w:cs="Arial"/>
                          <w:color w:val="000000" w:themeColor="text1"/>
                          <w:sz w:val="18"/>
                          <w:szCs w:val="20"/>
                        </w:rPr>
                      </w:pPr>
                      <w:r>
                        <w:rPr>
                          <w:rFonts w:ascii="Arial" w:hAnsi="Arial" w:cs="Arial"/>
                          <w:color w:val="000000" w:themeColor="text1"/>
                          <w:sz w:val="18"/>
                          <w:szCs w:val="20"/>
                        </w:rPr>
                        <w:t>(n =54)</w:t>
                      </w:r>
                    </w:p>
                  </w:txbxContent>
                </v:textbox>
              </v:rect>
            </w:pict>
          </mc:Fallback>
        </mc:AlternateContent>
      </w:r>
      <w:r w:rsidRPr="008D0E7E">
        <w:rPr>
          <w:rFonts w:ascii="Garamond" w:hAnsi="Garamond"/>
          <w:bCs/>
          <w:iCs/>
          <w:noProof/>
          <w:sz w:val="20"/>
          <w:szCs w:val="20"/>
          <w:lang w:val="en-GB"/>
        </w:rPr>
        <mc:AlternateContent>
          <mc:Choice Requires="wps">
            <w:drawing>
              <wp:anchor distT="4294967295" distB="4294967295" distL="114300" distR="114300" simplePos="0" relativeHeight="251676672" behindDoc="0" locked="0" layoutInCell="1" allowOverlap="1" wp14:anchorId="3B1BDA07" wp14:editId="36880AE5">
                <wp:simplePos x="0" y="0"/>
                <wp:positionH relativeFrom="column">
                  <wp:posOffset>3683635</wp:posOffset>
                </wp:positionH>
                <wp:positionV relativeFrom="paragraph">
                  <wp:posOffset>2000249</wp:posOffset>
                </wp:positionV>
                <wp:extent cx="563245" cy="0"/>
                <wp:effectExtent l="0" t="76200" r="27305" b="95250"/>
                <wp:wrapNone/>
                <wp:docPr id="1333564321"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3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47BAC32" id="Straight Arrow Connector 24" o:spid="_x0000_s1026" type="#_x0000_t32" style="position:absolute;margin-left:290.05pt;margin-top:157.5pt;width:44.3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" strokecolor="black [3213]" strokeweight=".5pt">
                <v:stroke endarrow="block" joinstyle="miter"/>
                <o:lock v:ext="edit" shapetype="f"/>
              </v:shape>
            </w:pict>
          </mc:Fallback>
        </mc:AlternateContent>
      </w:r>
      <w:r w:rsidRPr="008D0E7E">
        <w:rPr>
          <w:rFonts w:ascii="Garamond" w:hAnsi="Garamond"/>
          <w:bCs/>
          <w:iCs/>
          <w:noProof/>
          <w:sz w:val="20"/>
          <w:szCs w:val="20"/>
          <w:lang w:val="en-GB"/>
        </w:rPr>
        <mc:AlternateContent>
          <mc:Choice Requires="wps">
            <w:drawing>
              <wp:anchor distT="0" distB="0" distL="114300" distR="114300" simplePos="0" relativeHeight="251669504" behindDoc="0" locked="0" layoutInCell="1" allowOverlap="1" wp14:anchorId="1C16D08E" wp14:editId="324B9780">
                <wp:simplePos x="0" y="0"/>
                <wp:positionH relativeFrom="column">
                  <wp:posOffset>1767840</wp:posOffset>
                </wp:positionH>
                <wp:positionV relativeFrom="paragraph">
                  <wp:posOffset>900430</wp:posOffset>
                </wp:positionV>
                <wp:extent cx="1887220" cy="526415"/>
                <wp:effectExtent l="0" t="0" r="17780" b="26035"/>
                <wp:wrapNone/>
                <wp:docPr id="26818862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7220" cy="5264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0058B9"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w:t>
                            </w:r>
                            <w:r>
                              <w:rPr>
                                <w:rFonts w:ascii="Arial" w:hAnsi="Arial" w:cs="Arial"/>
                                <w:color w:val="000000" w:themeColor="text1"/>
                                <w:sz w:val="18"/>
                                <w:szCs w:val="20"/>
                              </w:rPr>
                              <w:t>p</w:t>
                            </w:r>
                            <w:r w:rsidRPr="00560609">
                              <w:rPr>
                                <w:rFonts w:ascii="Arial" w:hAnsi="Arial" w:cs="Arial"/>
                                <w:color w:val="000000" w:themeColor="text1"/>
                                <w:sz w:val="18"/>
                                <w:szCs w:val="20"/>
                              </w:rPr>
                              <w:t>or</w:t>
                            </w:r>
                            <w:r>
                              <w:rPr>
                                <w:rFonts w:ascii="Arial" w:hAnsi="Arial" w:cs="Arial"/>
                                <w:color w:val="000000" w:themeColor="text1"/>
                                <w:sz w:val="18"/>
                                <w:szCs w:val="20"/>
                              </w:rPr>
                              <w:t>t</w:t>
                            </w:r>
                            <w:r w:rsidRPr="00560609">
                              <w:rPr>
                                <w:rFonts w:ascii="Arial" w:hAnsi="Arial" w:cs="Arial"/>
                                <w:color w:val="000000" w:themeColor="text1"/>
                                <w:sz w:val="18"/>
                                <w:szCs w:val="20"/>
                              </w:rPr>
                              <w:t>s</w:t>
                            </w:r>
                            <w:r>
                              <w:rPr>
                                <w:rFonts w:ascii="Arial" w:hAnsi="Arial" w:cs="Arial"/>
                                <w:color w:val="000000" w:themeColor="text1"/>
                                <w:sz w:val="18"/>
                                <w:szCs w:val="20"/>
                              </w:rPr>
                              <w:t xml:space="preserve"> sought for retrieval</w:t>
                            </w:r>
                          </w:p>
                          <w:p w14:paraId="43589430" w14:textId="77777777" w:rsidR="008D0E7E" w:rsidRPr="00560609" w:rsidRDefault="008D0E7E" w:rsidP="008D0E7E">
                            <w:pPr>
                              <w:rPr>
                                <w:rFonts w:ascii="Arial" w:hAnsi="Arial" w:cs="Arial"/>
                                <w:color w:val="000000" w:themeColor="text1"/>
                                <w:sz w:val="18"/>
                                <w:szCs w:val="20"/>
                              </w:rPr>
                            </w:pPr>
                            <w:r>
                              <w:rPr>
                                <w:rFonts w:ascii="Arial" w:hAnsi="Arial" w:cs="Arial"/>
                                <w:color w:val="000000" w:themeColor="text1"/>
                                <w:sz w:val="18"/>
                                <w:szCs w:val="20"/>
                              </w:rPr>
                              <w:t>(n =11)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16D08E" id="Rectangle 22" o:spid="_x0000_s1033" style="position:absolute;left:0;text-align:left;margin-left:139.2pt;margin-top:70.9pt;width:148.6pt;height:41.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" filled="f" strokecolor="black [3213]" strokeweight="1pt">
                <v:path arrowok="t"/>
                <v:textbox>
                  <w:txbxContent>
                    <w:p w14:paraId="570058B9"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w:t>
                      </w:r>
                      <w:r>
                        <w:rPr>
                          <w:rFonts w:ascii="Arial" w:hAnsi="Arial" w:cs="Arial"/>
                          <w:color w:val="000000" w:themeColor="text1"/>
                          <w:sz w:val="18"/>
                          <w:szCs w:val="20"/>
                        </w:rPr>
                        <w:t>p</w:t>
                      </w:r>
                      <w:r w:rsidRPr="00560609">
                        <w:rPr>
                          <w:rFonts w:ascii="Arial" w:hAnsi="Arial" w:cs="Arial"/>
                          <w:color w:val="000000" w:themeColor="text1"/>
                          <w:sz w:val="18"/>
                          <w:szCs w:val="20"/>
                        </w:rPr>
                        <w:t>or</w:t>
                      </w:r>
                      <w:r>
                        <w:rPr>
                          <w:rFonts w:ascii="Arial" w:hAnsi="Arial" w:cs="Arial"/>
                          <w:color w:val="000000" w:themeColor="text1"/>
                          <w:sz w:val="18"/>
                          <w:szCs w:val="20"/>
                        </w:rPr>
                        <w:t>t</w:t>
                      </w:r>
                      <w:r w:rsidRPr="00560609">
                        <w:rPr>
                          <w:rFonts w:ascii="Arial" w:hAnsi="Arial" w:cs="Arial"/>
                          <w:color w:val="000000" w:themeColor="text1"/>
                          <w:sz w:val="18"/>
                          <w:szCs w:val="20"/>
                        </w:rPr>
                        <w:t>s</w:t>
                      </w:r>
                      <w:r>
                        <w:rPr>
                          <w:rFonts w:ascii="Arial" w:hAnsi="Arial" w:cs="Arial"/>
                          <w:color w:val="000000" w:themeColor="text1"/>
                          <w:sz w:val="18"/>
                          <w:szCs w:val="20"/>
                        </w:rPr>
                        <w:t xml:space="preserve"> sought for retrieval</w:t>
                      </w:r>
                    </w:p>
                    <w:p w14:paraId="43589430" w14:textId="77777777" w:rsidR="008D0E7E" w:rsidRPr="00560609" w:rsidRDefault="008D0E7E" w:rsidP="008D0E7E">
                      <w:pPr>
                        <w:rPr>
                          <w:rFonts w:ascii="Arial" w:hAnsi="Arial" w:cs="Arial"/>
                          <w:color w:val="000000" w:themeColor="text1"/>
                          <w:sz w:val="18"/>
                          <w:szCs w:val="20"/>
                        </w:rPr>
                      </w:pPr>
                      <w:r>
                        <w:rPr>
                          <w:rFonts w:ascii="Arial" w:hAnsi="Arial" w:cs="Arial"/>
                          <w:color w:val="000000" w:themeColor="text1"/>
                          <w:sz w:val="18"/>
                          <w:szCs w:val="20"/>
                        </w:rPr>
                        <w:t>(n =11)</w:t>
                      </w:r>
                    </w:p>
                  </w:txbxContent>
                </v:textbox>
              </v:rect>
            </w:pict>
          </mc:Fallback>
        </mc:AlternateContent>
      </w:r>
      <w:r w:rsidRPr="008D0E7E">
        <w:rPr>
          <w:rFonts w:ascii="Garamond" w:hAnsi="Garamond"/>
          <w:bCs/>
          <w:iCs/>
          <w:noProof/>
          <w:sz w:val="20"/>
          <w:szCs w:val="20"/>
          <w:lang w:val="en-GB"/>
        </w:rPr>
        <mc:AlternateContent>
          <mc:Choice Requires="wps">
            <w:drawing>
              <wp:anchor distT="4294967295" distB="4294967295" distL="114300" distR="114300" simplePos="0" relativeHeight="251675648" behindDoc="0" locked="0" layoutInCell="1" allowOverlap="1" wp14:anchorId="18FFE105" wp14:editId="2B68364A">
                <wp:simplePos x="0" y="0"/>
                <wp:positionH relativeFrom="column">
                  <wp:posOffset>3660775</wp:posOffset>
                </wp:positionH>
                <wp:positionV relativeFrom="paragraph">
                  <wp:posOffset>328294</wp:posOffset>
                </wp:positionV>
                <wp:extent cx="563245" cy="0"/>
                <wp:effectExtent l="0" t="76200" r="27305" b="95250"/>
                <wp:wrapNone/>
                <wp:docPr id="1271664387"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3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3E7E896" id="Straight Arrow Connector 18" o:spid="_x0000_s1026" type="#_x0000_t32" style="position:absolute;margin-left:288.25pt;margin-top:25.85pt;width:44.35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" strokecolor="black [3213]" strokeweight=".5pt">
                <v:stroke endarrow="block" joinstyle="miter"/>
                <o:lock v:ext="edit" shapetype="f"/>
              </v:shape>
            </w:pict>
          </mc:Fallback>
        </mc:AlternateContent>
      </w:r>
      <w:r w:rsidRPr="008D0E7E">
        <w:rPr>
          <w:rFonts w:ascii="Garamond" w:hAnsi="Garamond"/>
          <w:bCs/>
          <w:iCs/>
          <w:noProof/>
          <w:sz w:val="20"/>
          <w:szCs w:val="20"/>
          <w:lang w:val="en-GB"/>
        </w:rPr>
        <mc:AlternateContent>
          <mc:Choice Requires="wps">
            <w:drawing>
              <wp:anchor distT="0" distB="0" distL="114300" distR="114300" simplePos="0" relativeHeight="251668480" behindDoc="0" locked="0" layoutInCell="1" allowOverlap="1" wp14:anchorId="57F77492" wp14:editId="4B3FEE03">
                <wp:simplePos x="0" y="0"/>
                <wp:positionH relativeFrom="column">
                  <wp:posOffset>4228465</wp:posOffset>
                </wp:positionH>
                <wp:positionV relativeFrom="paragraph">
                  <wp:posOffset>74930</wp:posOffset>
                </wp:positionV>
                <wp:extent cx="1887220" cy="526415"/>
                <wp:effectExtent l="0" t="0" r="17780" b="26035"/>
                <wp:wrapNone/>
                <wp:docPr id="81839642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7220" cy="5264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840BF6"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excluded**</w:t>
                            </w:r>
                          </w:p>
                          <w:p w14:paraId="10CB8B93" w14:textId="77777777" w:rsidR="008D0E7E" w:rsidRPr="00560609" w:rsidRDefault="008D0E7E" w:rsidP="008D0E7E">
                            <w:pPr>
                              <w:rPr>
                                <w:rFonts w:ascii="Arial" w:hAnsi="Arial" w:cs="Arial"/>
                                <w:color w:val="000000" w:themeColor="text1"/>
                                <w:sz w:val="18"/>
                                <w:szCs w:val="20"/>
                              </w:rPr>
                            </w:pPr>
                            <w:r>
                              <w:rPr>
                                <w:rFonts w:ascii="Arial" w:hAnsi="Arial" w:cs="Arial"/>
                                <w:color w:val="000000" w:themeColor="text1"/>
                                <w:sz w:val="18"/>
                                <w:szCs w:val="20"/>
                              </w:rPr>
                              <w:t>(n = 43)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F77492" id="Rectangle 16" o:spid="_x0000_s1034" style="position:absolute;left:0;text-align:left;margin-left:332.95pt;margin-top:5.9pt;width:148.6pt;height:41.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" filled="f" strokecolor="black [3213]" strokeweight="1pt">
                <v:path arrowok="t"/>
                <v:textbox>
                  <w:txbxContent>
                    <w:p w14:paraId="1C840BF6"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Records</w:t>
                      </w:r>
                      <w:r>
                        <w:rPr>
                          <w:rFonts w:ascii="Arial" w:hAnsi="Arial" w:cs="Arial"/>
                          <w:color w:val="000000" w:themeColor="text1"/>
                          <w:sz w:val="18"/>
                          <w:szCs w:val="20"/>
                        </w:rPr>
                        <w:t xml:space="preserve"> excluded**</w:t>
                      </w:r>
                    </w:p>
                    <w:p w14:paraId="10CB8B93" w14:textId="77777777" w:rsidR="008D0E7E" w:rsidRPr="00560609" w:rsidRDefault="008D0E7E" w:rsidP="008D0E7E">
                      <w:pPr>
                        <w:rPr>
                          <w:rFonts w:ascii="Arial" w:hAnsi="Arial" w:cs="Arial"/>
                          <w:color w:val="000000" w:themeColor="text1"/>
                          <w:sz w:val="18"/>
                          <w:szCs w:val="20"/>
                        </w:rPr>
                      </w:pPr>
                      <w:r>
                        <w:rPr>
                          <w:rFonts w:ascii="Arial" w:hAnsi="Arial" w:cs="Arial"/>
                          <w:color w:val="000000" w:themeColor="text1"/>
                          <w:sz w:val="18"/>
                          <w:szCs w:val="20"/>
                        </w:rPr>
                        <w:t>(n = 43)</w:t>
                      </w:r>
                    </w:p>
                  </w:txbxContent>
                </v:textbox>
              </v:rect>
            </w:pict>
          </mc:Fallback>
        </mc:AlternateContent>
      </w:r>
    </w:p>
    <w:p w14:paraId="06A1E678" w14:textId="77777777" w:rsidR="008D0E7E" w:rsidRPr="008D0E7E" w:rsidRDefault="008D0E7E" w:rsidP="008D0E7E">
      <w:pPr>
        <w:jc w:val="both"/>
        <w:rPr>
          <w:rFonts w:ascii="Garamond" w:hAnsi="Garamond"/>
          <w:bCs/>
          <w:iCs/>
          <w:sz w:val="20"/>
          <w:szCs w:val="20"/>
          <w:lang w:val="en-GB"/>
        </w:rPr>
      </w:pPr>
    </w:p>
    <w:p w14:paraId="0C1344B7" w14:textId="77777777" w:rsidR="008D0E7E" w:rsidRPr="008D0E7E" w:rsidRDefault="008D0E7E" w:rsidP="008D0E7E">
      <w:pPr>
        <w:jc w:val="both"/>
        <w:rPr>
          <w:rFonts w:ascii="Garamond" w:hAnsi="Garamond"/>
          <w:bCs/>
          <w:iCs/>
          <w:sz w:val="20"/>
          <w:szCs w:val="20"/>
          <w:lang w:val="en-GB"/>
        </w:rPr>
      </w:pPr>
    </w:p>
    <w:p w14:paraId="5A3FE005" w14:textId="77777777" w:rsidR="008D0E7E" w:rsidRPr="008D0E7E" w:rsidRDefault="008D0E7E" w:rsidP="008D0E7E">
      <w:pPr>
        <w:jc w:val="both"/>
        <w:rPr>
          <w:rFonts w:ascii="Garamond" w:hAnsi="Garamond"/>
          <w:bCs/>
          <w:iCs/>
          <w:sz w:val="20"/>
          <w:szCs w:val="20"/>
          <w:lang w:val="en-GB"/>
        </w:rPr>
      </w:pPr>
      <w:r w:rsidRPr="008D0E7E">
        <w:rPr>
          <w:rFonts w:ascii="Garamond" w:hAnsi="Garamond"/>
          <w:bCs/>
          <w:iCs/>
          <w:noProof/>
          <w:sz w:val="20"/>
          <w:szCs w:val="20"/>
          <w:lang w:val="en-GB"/>
        </w:rPr>
        <mc:AlternateContent>
          <mc:Choice Requires="wps">
            <w:drawing>
              <wp:anchor distT="0" distB="0" distL="114299" distR="114299" simplePos="0" relativeHeight="251679744" behindDoc="0" locked="0" layoutInCell="1" allowOverlap="1" wp14:anchorId="6E9AD549" wp14:editId="44F53673">
                <wp:simplePos x="0" y="0"/>
                <wp:positionH relativeFrom="column">
                  <wp:posOffset>2607944</wp:posOffset>
                </wp:positionH>
                <wp:positionV relativeFrom="paragraph">
                  <wp:posOffset>99695</wp:posOffset>
                </wp:positionV>
                <wp:extent cx="0" cy="281305"/>
                <wp:effectExtent l="76200" t="0" r="57150" b="61595"/>
                <wp:wrapNone/>
                <wp:docPr id="1036211038"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13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482EC9F" id="Straight Arrow Connector 14" o:spid="_x0000_s1026" type="#_x0000_t32" style="position:absolute;margin-left:205.35pt;margin-top:7.85pt;width:0;height:22.15pt;z-index:25167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" strokecolor="black [3213]" strokeweight=".5pt">
                <v:stroke endarrow="block" joinstyle="miter"/>
                <o:lock v:ext="edit" shapetype="f"/>
              </v:shape>
            </w:pict>
          </mc:Fallback>
        </mc:AlternateContent>
      </w:r>
    </w:p>
    <w:p w14:paraId="5F81FADA" w14:textId="77777777" w:rsidR="008D0E7E" w:rsidRPr="008D0E7E" w:rsidRDefault="008D0E7E" w:rsidP="008D0E7E">
      <w:pPr>
        <w:jc w:val="both"/>
        <w:rPr>
          <w:rFonts w:ascii="Garamond" w:hAnsi="Garamond"/>
          <w:bCs/>
          <w:iCs/>
          <w:sz w:val="20"/>
          <w:szCs w:val="20"/>
          <w:lang w:val="en-GB"/>
        </w:rPr>
      </w:pPr>
    </w:p>
    <w:p w14:paraId="188171A3" w14:textId="77777777" w:rsidR="008D0E7E" w:rsidRPr="008D0E7E" w:rsidRDefault="008D0E7E" w:rsidP="008D0E7E">
      <w:pPr>
        <w:jc w:val="both"/>
        <w:rPr>
          <w:rFonts w:ascii="Garamond" w:hAnsi="Garamond"/>
          <w:bCs/>
          <w:iCs/>
          <w:sz w:val="20"/>
          <w:szCs w:val="20"/>
          <w:lang w:val="en-GB"/>
        </w:rPr>
      </w:pPr>
      <w:r w:rsidRPr="008D0E7E">
        <w:rPr>
          <w:rFonts w:ascii="Garamond" w:hAnsi="Garamond"/>
          <w:bCs/>
          <w:iCs/>
          <w:noProof/>
          <w:sz w:val="20"/>
          <w:szCs w:val="20"/>
          <w:lang w:val="en-GB"/>
        </w:rPr>
        <mc:AlternateContent>
          <mc:Choice Requires="wps">
            <w:drawing>
              <wp:anchor distT="0" distB="0" distL="114300" distR="114300" simplePos="0" relativeHeight="251670528" behindDoc="0" locked="0" layoutInCell="1" allowOverlap="1" wp14:anchorId="0E36A708" wp14:editId="61B29BCC">
                <wp:simplePos x="0" y="0"/>
                <wp:positionH relativeFrom="column">
                  <wp:posOffset>4229735</wp:posOffset>
                </wp:positionH>
                <wp:positionV relativeFrom="paragraph">
                  <wp:posOffset>66675</wp:posOffset>
                </wp:positionV>
                <wp:extent cx="1887220" cy="526415"/>
                <wp:effectExtent l="0" t="0" r="17780" b="26035"/>
                <wp:wrapNone/>
                <wp:docPr id="105536741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7220" cy="5264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5561B3"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w:t>
                            </w:r>
                            <w:r>
                              <w:rPr>
                                <w:rFonts w:ascii="Arial" w:hAnsi="Arial" w:cs="Arial"/>
                                <w:color w:val="000000" w:themeColor="text1"/>
                                <w:sz w:val="18"/>
                                <w:szCs w:val="20"/>
                              </w:rPr>
                              <w:t>p</w:t>
                            </w:r>
                            <w:r w:rsidRPr="00560609">
                              <w:rPr>
                                <w:rFonts w:ascii="Arial" w:hAnsi="Arial" w:cs="Arial"/>
                                <w:color w:val="000000" w:themeColor="text1"/>
                                <w:sz w:val="18"/>
                                <w:szCs w:val="20"/>
                              </w:rPr>
                              <w:t>or</w:t>
                            </w:r>
                            <w:r>
                              <w:rPr>
                                <w:rFonts w:ascii="Arial" w:hAnsi="Arial" w:cs="Arial"/>
                                <w:color w:val="000000" w:themeColor="text1"/>
                                <w:sz w:val="18"/>
                                <w:szCs w:val="20"/>
                              </w:rPr>
                              <w:t>t</w:t>
                            </w:r>
                            <w:r w:rsidRPr="00560609">
                              <w:rPr>
                                <w:rFonts w:ascii="Arial" w:hAnsi="Arial" w:cs="Arial"/>
                                <w:color w:val="000000" w:themeColor="text1"/>
                                <w:sz w:val="18"/>
                                <w:szCs w:val="20"/>
                              </w:rPr>
                              <w:t>s</w:t>
                            </w:r>
                            <w:r>
                              <w:rPr>
                                <w:rFonts w:ascii="Arial" w:hAnsi="Arial" w:cs="Arial"/>
                                <w:color w:val="000000" w:themeColor="text1"/>
                                <w:sz w:val="18"/>
                                <w:szCs w:val="20"/>
                              </w:rPr>
                              <w:t xml:space="preserve"> not retrieved</w:t>
                            </w:r>
                          </w:p>
                          <w:p w14:paraId="2591EF43" w14:textId="77777777" w:rsidR="008D0E7E" w:rsidRPr="00560609" w:rsidRDefault="008D0E7E" w:rsidP="008D0E7E">
                            <w:pPr>
                              <w:rPr>
                                <w:rFonts w:ascii="Arial" w:hAnsi="Arial" w:cs="Arial"/>
                                <w:color w:val="000000" w:themeColor="text1"/>
                                <w:sz w:val="18"/>
                                <w:szCs w:val="20"/>
                              </w:rPr>
                            </w:pPr>
                            <w:r>
                              <w:rPr>
                                <w:rFonts w:ascii="Arial" w:hAnsi="Arial" w:cs="Arial"/>
                                <w:color w:val="000000" w:themeColor="text1"/>
                                <w:sz w:val="18"/>
                                <w:szCs w:val="20"/>
                              </w:rPr>
                              <w:t>(n =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36A708" id="Rectangle 12" o:spid="_x0000_s1035" style="position:absolute;left:0;text-align:left;margin-left:333.05pt;margin-top:5.25pt;width:148.6pt;height:41.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" filled="f" strokecolor="black [3213]" strokeweight="1pt">
                <v:path arrowok="t"/>
                <v:textbox>
                  <w:txbxContent>
                    <w:p w14:paraId="4B5561B3"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w:t>
                      </w:r>
                      <w:r>
                        <w:rPr>
                          <w:rFonts w:ascii="Arial" w:hAnsi="Arial" w:cs="Arial"/>
                          <w:color w:val="000000" w:themeColor="text1"/>
                          <w:sz w:val="18"/>
                          <w:szCs w:val="20"/>
                        </w:rPr>
                        <w:t>p</w:t>
                      </w:r>
                      <w:r w:rsidRPr="00560609">
                        <w:rPr>
                          <w:rFonts w:ascii="Arial" w:hAnsi="Arial" w:cs="Arial"/>
                          <w:color w:val="000000" w:themeColor="text1"/>
                          <w:sz w:val="18"/>
                          <w:szCs w:val="20"/>
                        </w:rPr>
                        <w:t>or</w:t>
                      </w:r>
                      <w:r>
                        <w:rPr>
                          <w:rFonts w:ascii="Arial" w:hAnsi="Arial" w:cs="Arial"/>
                          <w:color w:val="000000" w:themeColor="text1"/>
                          <w:sz w:val="18"/>
                          <w:szCs w:val="20"/>
                        </w:rPr>
                        <w:t>t</w:t>
                      </w:r>
                      <w:r w:rsidRPr="00560609">
                        <w:rPr>
                          <w:rFonts w:ascii="Arial" w:hAnsi="Arial" w:cs="Arial"/>
                          <w:color w:val="000000" w:themeColor="text1"/>
                          <w:sz w:val="18"/>
                          <w:szCs w:val="20"/>
                        </w:rPr>
                        <w:t>s</w:t>
                      </w:r>
                      <w:r>
                        <w:rPr>
                          <w:rFonts w:ascii="Arial" w:hAnsi="Arial" w:cs="Arial"/>
                          <w:color w:val="000000" w:themeColor="text1"/>
                          <w:sz w:val="18"/>
                          <w:szCs w:val="20"/>
                        </w:rPr>
                        <w:t xml:space="preserve"> not retrieved</w:t>
                      </w:r>
                    </w:p>
                    <w:p w14:paraId="2591EF43" w14:textId="77777777" w:rsidR="008D0E7E" w:rsidRPr="00560609" w:rsidRDefault="008D0E7E" w:rsidP="008D0E7E">
                      <w:pPr>
                        <w:rPr>
                          <w:rFonts w:ascii="Arial" w:hAnsi="Arial" w:cs="Arial"/>
                          <w:color w:val="000000" w:themeColor="text1"/>
                          <w:sz w:val="18"/>
                          <w:szCs w:val="20"/>
                        </w:rPr>
                      </w:pPr>
                      <w:r>
                        <w:rPr>
                          <w:rFonts w:ascii="Arial" w:hAnsi="Arial" w:cs="Arial"/>
                          <w:color w:val="000000" w:themeColor="text1"/>
                          <w:sz w:val="18"/>
                          <w:szCs w:val="20"/>
                        </w:rPr>
                        <w:t>(n = 0)</w:t>
                      </w:r>
                    </w:p>
                  </w:txbxContent>
                </v:textbox>
              </v:rect>
            </w:pict>
          </mc:Fallback>
        </mc:AlternateContent>
      </w:r>
    </w:p>
    <w:p w14:paraId="38F13808" w14:textId="77777777" w:rsidR="008D0E7E" w:rsidRPr="008D0E7E" w:rsidRDefault="008D0E7E" w:rsidP="008D0E7E">
      <w:pPr>
        <w:jc w:val="both"/>
        <w:rPr>
          <w:rFonts w:ascii="Garamond" w:hAnsi="Garamond"/>
          <w:bCs/>
          <w:iCs/>
          <w:sz w:val="20"/>
          <w:szCs w:val="20"/>
          <w:lang w:val="en-GB"/>
        </w:rPr>
      </w:pPr>
    </w:p>
    <w:p w14:paraId="18FF5F21" w14:textId="77777777" w:rsidR="008D0E7E" w:rsidRPr="008D0E7E" w:rsidRDefault="008D0E7E" w:rsidP="008D0E7E">
      <w:pPr>
        <w:jc w:val="both"/>
        <w:rPr>
          <w:rFonts w:ascii="Garamond" w:hAnsi="Garamond"/>
          <w:bCs/>
          <w:iCs/>
          <w:sz w:val="20"/>
          <w:szCs w:val="20"/>
          <w:lang w:val="en-GB"/>
        </w:rPr>
      </w:pPr>
    </w:p>
    <w:p w14:paraId="17F12EC3" w14:textId="77777777" w:rsidR="008D0E7E" w:rsidRPr="008D0E7E" w:rsidRDefault="008D0E7E" w:rsidP="008D0E7E">
      <w:pPr>
        <w:jc w:val="both"/>
        <w:rPr>
          <w:rFonts w:ascii="Garamond" w:hAnsi="Garamond"/>
          <w:bCs/>
          <w:iCs/>
          <w:sz w:val="20"/>
          <w:szCs w:val="20"/>
          <w:lang w:val="en-GB"/>
        </w:rPr>
      </w:pPr>
      <w:r w:rsidRPr="008D0E7E">
        <w:rPr>
          <w:rFonts w:ascii="Garamond" w:hAnsi="Garamond"/>
          <w:bCs/>
          <w:iCs/>
          <w:noProof/>
          <w:sz w:val="20"/>
          <w:szCs w:val="20"/>
          <w:lang w:val="en-GB"/>
        </w:rPr>
        <mc:AlternateContent>
          <mc:Choice Requires="wps">
            <w:drawing>
              <wp:anchor distT="0" distB="0" distL="114299" distR="114299" simplePos="0" relativeHeight="251680768" behindDoc="0" locked="0" layoutInCell="1" allowOverlap="1" wp14:anchorId="1C0FBC4D" wp14:editId="22B78BA0">
                <wp:simplePos x="0" y="0"/>
                <wp:positionH relativeFrom="column">
                  <wp:posOffset>2642235</wp:posOffset>
                </wp:positionH>
                <wp:positionV relativeFrom="paragraph">
                  <wp:posOffset>132715</wp:posOffset>
                </wp:positionV>
                <wp:extent cx="0" cy="281305"/>
                <wp:effectExtent l="76200" t="0" r="57150" b="61595"/>
                <wp:wrapNone/>
                <wp:docPr id="1387441593"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13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E49E5E6" id="Straight Arrow Connector 10" o:spid="_x0000_s1026" type="#_x0000_t32" style="position:absolute;margin-left:208.05pt;margin-top:10.45pt;width:0;height:22.15pt;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" strokecolor="black [3213]" strokeweight=".5pt">
                <v:stroke endarrow="block" joinstyle="miter"/>
                <o:lock v:ext="edit" shapetype="f"/>
              </v:shape>
            </w:pict>
          </mc:Fallback>
        </mc:AlternateContent>
      </w:r>
    </w:p>
    <w:p w14:paraId="1A9BA40B" w14:textId="77777777" w:rsidR="008D0E7E" w:rsidRPr="008D0E7E" w:rsidRDefault="008D0E7E" w:rsidP="008D0E7E">
      <w:pPr>
        <w:jc w:val="both"/>
        <w:rPr>
          <w:rFonts w:ascii="Garamond" w:hAnsi="Garamond"/>
          <w:bCs/>
          <w:iCs/>
          <w:sz w:val="20"/>
          <w:szCs w:val="20"/>
          <w:lang w:val="en-GB"/>
        </w:rPr>
      </w:pPr>
    </w:p>
    <w:p w14:paraId="5FF0EC1F" w14:textId="77777777" w:rsidR="008D0E7E" w:rsidRPr="008D0E7E" w:rsidRDefault="008D0E7E" w:rsidP="008D0E7E">
      <w:pPr>
        <w:jc w:val="both"/>
        <w:rPr>
          <w:rFonts w:ascii="Garamond" w:hAnsi="Garamond"/>
          <w:bCs/>
          <w:iCs/>
          <w:sz w:val="20"/>
          <w:szCs w:val="20"/>
          <w:lang w:val="en-GB"/>
        </w:rPr>
      </w:pPr>
      <w:r w:rsidRPr="008D0E7E">
        <w:rPr>
          <w:rFonts w:ascii="Garamond" w:hAnsi="Garamond"/>
          <w:bCs/>
          <w:iCs/>
          <w:noProof/>
          <w:sz w:val="20"/>
          <w:szCs w:val="20"/>
          <w:lang w:val="en-GB"/>
        </w:rPr>
        <mc:AlternateContent>
          <mc:Choice Requires="wps">
            <w:drawing>
              <wp:anchor distT="0" distB="0" distL="114300" distR="114300" simplePos="0" relativeHeight="251671552" behindDoc="0" locked="0" layoutInCell="1" allowOverlap="1" wp14:anchorId="76742EB2" wp14:editId="62305DFF">
                <wp:simplePos x="0" y="0"/>
                <wp:positionH relativeFrom="column">
                  <wp:posOffset>1771650</wp:posOffset>
                </wp:positionH>
                <wp:positionV relativeFrom="paragraph">
                  <wp:posOffset>114301</wp:posOffset>
                </wp:positionV>
                <wp:extent cx="1887220" cy="450850"/>
                <wp:effectExtent l="0" t="0" r="17780" b="25400"/>
                <wp:wrapNone/>
                <wp:docPr id="387535839"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7220" cy="450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7DDA4E"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w:t>
                            </w:r>
                            <w:r>
                              <w:rPr>
                                <w:rFonts w:ascii="Arial" w:hAnsi="Arial" w:cs="Arial"/>
                                <w:color w:val="000000" w:themeColor="text1"/>
                                <w:sz w:val="18"/>
                                <w:szCs w:val="20"/>
                              </w:rPr>
                              <w:t>p</w:t>
                            </w:r>
                            <w:r w:rsidRPr="00560609">
                              <w:rPr>
                                <w:rFonts w:ascii="Arial" w:hAnsi="Arial" w:cs="Arial"/>
                                <w:color w:val="000000" w:themeColor="text1"/>
                                <w:sz w:val="18"/>
                                <w:szCs w:val="20"/>
                              </w:rPr>
                              <w:t>or</w:t>
                            </w:r>
                            <w:r>
                              <w:rPr>
                                <w:rFonts w:ascii="Arial" w:hAnsi="Arial" w:cs="Arial"/>
                                <w:color w:val="000000" w:themeColor="text1"/>
                                <w:sz w:val="18"/>
                                <w:szCs w:val="20"/>
                              </w:rPr>
                              <w:t>t</w:t>
                            </w:r>
                            <w:r w:rsidRPr="00560609">
                              <w:rPr>
                                <w:rFonts w:ascii="Arial" w:hAnsi="Arial" w:cs="Arial"/>
                                <w:color w:val="000000" w:themeColor="text1"/>
                                <w:sz w:val="18"/>
                                <w:szCs w:val="20"/>
                              </w:rPr>
                              <w:t>s</w:t>
                            </w:r>
                            <w:r>
                              <w:rPr>
                                <w:rFonts w:ascii="Arial" w:hAnsi="Arial" w:cs="Arial"/>
                                <w:color w:val="000000" w:themeColor="text1"/>
                                <w:sz w:val="18"/>
                                <w:szCs w:val="20"/>
                              </w:rPr>
                              <w:t xml:space="preserve"> assessed for eligibility</w:t>
                            </w:r>
                          </w:p>
                          <w:p w14:paraId="282CCB89" w14:textId="77777777" w:rsidR="008D0E7E" w:rsidRPr="00560609" w:rsidRDefault="008D0E7E" w:rsidP="008D0E7E">
                            <w:pPr>
                              <w:rPr>
                                <w:rFonts w:ascii="Arial" w:hAnsi="Arial" w:cs="Arial"/>
                                <w:color w:val="000000" w:themeColor="text1"/>
                                <w:sz w:val="18"/>
                                <w:szCs w:val="20"/>
                              </w:rPr>
                            </w:pPr>
                            <w:r>
                              <w:rPr>
                                <w:rFonts w:ascii="Arial" w:hAnsi="Arial" w:cs="Arial"/>
                                <w:color w:val="000000" w:themeColor="text1"/>
                                <w:sz w:val="18"/>
                                <w:szCs w:val="20"/>
                              </w:rPr>
                              <w:t>(n =11)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742EB2" id="Rectangle 26" o:spid="_x0000_s1036" style="position:absolute;left:0;text-align:left;margin-left:139.5pt;margin-top:9pt;width:148.6pt;height: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" filled="f" strokecolor="black [3213]" strokeweight="1pt">
                <v:path arrowok="t"/>
                <v:textbox>
                  <w:txbxContent>
                    <w:p w14:paraId="657DDA4E"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w:t>
                      </w:r>
                      <w:r>
                        <w:rPr>
                          <w:rFonts w:ascii="Arial" w:hAnsi="Arial" w:cs="Arial"/>
                          <w:color w:val="000000" w:themeColor="text1"/>
                          <w:sz w:val="18"/>
                          <w:szCs w:val="20"/>
                        </w:rPr>
                        <w:t>p</w:t>
                      </w:r>
                      <w:r w:rsidRPr="00560609">
                        <w:rPr>
                          <w:rFonts w:ascii="Arial" w:hAnsi="Arial" w:cs="Arial"/>
                          <w:color w:val="000000" w:themeColor="text1"/>
                          <w:sz w:val="18"/>
                          <w:szCs w:val="20"/>
                        </w:rPr>
                        <w:t>or</w:t>
                      </w:r>
                      <w:r>
                        <w:rPr>
                          <w:rFonts w:ascii="Arial" w:hAnsi="Arial" w:cs="Arial"/>
                          <w:color w:val="000000" w:themeColor="text1"/>
                          <w:sz w:val="18"/>
                          <w:szCs w:val="20"/>
                        </w:rPr>
                        <w:t>t</w:t>
                      </w:r>
                      <w:r w:rsidRPr="00560609">
                        <w:rPr>
                          <w:rFonts w:ascii="Arial" w:hAnsi="Arial" w:cs="Arial"/>
                          <w:color w:val="000000" w:themeColor="text1"/>
                          <w:sz w:val="18"/>
                          <w:szCs w:val="20"/>
                        </w:rPr>
                        <w:t>s</w:t>
                      </w:r>
                      <w:r>
                        <w:rPr>
                          <w:rFonts w:ascii="Arial" w:hAnsi="Arial" w:cs="Arial"/>
                          <w:color w:val="000000" w:themeColor="text1"/>
                          <w:sz w:val="18"/>
                          <w:szCs w:val="20"/>
                        </w:rPr>
                        <w:t xml:space="preserve"> assessed for eligibility</w:t>
                      </w:r>
                    </w:p>
                    <w:p w14:paraId="282CCB89" w14:textId="77777777" w:rsidR="008D0E7E" w:rsidRPr="00560609" w:rsidRDefault="008D0E7E" w:rsidP="008D0E7E">
                      <w:pPr>
                        <w:rPr>
                          <w:rFonts w:ascii="Arial" w:hAnsi="Arial" w:cs="Arial"/>
                          <w:color w:val="000000" w:themeColor="text1"/>
                          <w:sz w:val="18"/>
                          <w:szCs w:val="20"/>
                        </w:rPr>
                      </w:pPr>
                      <w:r>
                        <w:rPr>
                          <w:rFonts w:ascii="Arial" w:hAnsi="Arial" w:cs="Arial"/>
                          <w:color w:val="000000" w:themeColor="text1"/>
                          <w:sz w:val="18"/>
                          <w:szCs w:val="20"/>
                        </w:rPr>
                        <w:t>(n =11)</w:t>
                      </w:r>
                    </w:p>
                  </w:txbxContent>
                </v:textbox>
              </v:rect>
            </w:pict>
          </mc:Fallback>
        </mc:AlternateContent>
      </w:r>
      <w:r w:rsidRPr="008D0E7E">
        <w:rPr>
          <w:rFonts w:ascii="Garamond" w:hAnsi="Garamond"/>
          <w:bCs/>
          <w:iCs/>
          <w:noProof/>
          <w:sz w:val="20"/>
          <w:szCs w:val="20"/>
          <w:lang w:val="en-GB"/>
        </w:rPr>
        <mc:AlternateContent>
          <mc:Choice Requires="wps">
            <w:drawing>
              <wp:anchor distT="0" distB="0" distL="114300" distR="114300" simplePos="0" relativeHeight="251672576" behindDoc="0" locked="0" layoutInCell="1" allowOverlap="1" wp14:anchorId="7492D8E0" wp14:editId="4096F007">
                <wp:simplePos x="0" y="0"/>
                <wp:positionH relativeFrom="column">
                  <wp:posOffset>4235450</wp:posOffset>
                </wp:positionH>
                <wp:positionV relativeFrom="paragraph">
                  <wp:posOffset>10795</wp:posOffset>
                </wp:positionV>
                <wp:extent cx="1887220" cy="990600"/>
                <wp:effectExtent l="0" t="0" r="17780" b="19050"/>
                <wp:wrapNone/>
                <wp:docPr id="5127589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7220" cy="990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D750CA"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w:t>
                            </w:r>
                            <w:r>
                              <w:rPr>
                                <w:rFonts w:ascii="Arial" w:hAnsi="Arial" w:cs="Arial"/>
                                <w:color w:val="000000" w:themeColor="text1"/>
                                <w:sz w:val="18"/>
                                <w:szCs w:val="20"/>
                              </w:rPr>
                              <w:t>p</w:t>
                            </w:r>
                            <w:r w:rsidRPr="00560609">
                              <w:rPr>
                                <w:rFonts w:ascii="Arial" w:hAnsi="Arial" w:cs="Arial"/>
                                <w:color w:val="000000" w:themeColor="text1"/>
                                <w:sz w:val="18"/>
                                <w:szCs w:val="20"/>
                              </w:rPr>
                              <w:t>or</w:t>
                            </w:r>
                            <w:r>
                              <w:rPr>
                                <w:rFonts w:ascii="Arial" w:hAnsi="Arial" w:cs="Arial"/>
                                <w:color w:val="000000" w:themeColor="text1"/>
                                <w:sz w:val="18"/>
                                <w:szCs w:val="20"/>
                              </w:rPr>
                              <w:t>t</w:t>
                            </w:r>
                            <w:r w:rsidRPr="00560609">
                              <w:rPr>
                                <w:rFonts w:ascii="Arial" w:hAnsi="Arial" w:cs="Arial"/>
                                <w:color w:val="000000" w:themeColor="text1"/>
                                <w:sz w:val="18"/>
                                <w:szCs w:val="20"/>
                              </w:rPr>
                              <w:t>s</w:t>
                            </w:r>
                            <w:r>
                              <w:rPr>
                                <w:rFonts w:ascii="Arial" w:hAnsi="Arial" w:cs="Arial"/>
                                <w:color w:val="000000" w:themeColor="text1"/>
                                <w:sz w:val="18"/>
                                <w:szCs w:val="20"/>
                              </w:rPr>
                              <w:t xml:space="preserve"> excluded:</w:t>
                            </w:r>
                          </w:p>
                          <w:p w14:paraId="6B434A0B" w14:textId="77777777" w:rsidR="008D0E7E" w:rsidRDefault="008D0E7E" w:rsidP="008D0E7E">
                            <w:pPr>
                              <w:rPr>
                                <w:rFonts w:ascii="Arial" w:hAnsi="Arial" w:cs="Arial"/>
                                <w:color w:val="000000" w:themeColor="text1"/>
                                <w:sz w:val="18"/>
                                <w:szCs w:val="20"/>
                              </w:rPr>
                            </w:pPr>
                            <w:r>
                              <w:rPr>
                                <w:rFonts w:ascii="Arial" w:hAnsi="Arial" w:cs="Arial"/>
                                <w:color w:val="000000" w:themeColor="text1"/>
                                <w:sz w:val="18"/>
                                <w:szCs w:val="20"/>
                              </w:rPr>
                              <w:t>Full text unavailable (n =3)</w:t>
                            </w:r>
                          </w:p>
                          <w:p w14:paraId="0F7C8129" w14:textId="77777777" w:rsidR="008D0E7E" w:rsidRDefault="008D0E7E" w:rsidP="008D0E7E">
                            <w:pPr>
                              <w:rPr>
                                <w:rFonts w:ascii="Arial" w:hAnsi="Arial" w:cs="Arial"/>
                                <w:color w:val="000000" w:themeColor="text1"/>
                                <w:sz w:val="18"/>
                                <w:szCs w:val="20"/>
                              </w:rPr>
                            </w:pPr>
                            <w:r>
                              <w:rPr>
                                <w:rFonts w:ascii="Arial" w:hAnsi="Arial" w:cs="Arial"/>
                                <w:color w:val="000000" w:themeColor="text1"/>
                                <w:sz w:val="18"/>
                                <w:szCs w:val="20"/>
                              </w:rPr>
                              <w:t>Wrong publication type (n =2)</w:t>
                            </w:r>
                          </w:p>
                          <w:p w14:paraId="3673AA6F" w14:textId="77777777" w:rsidR="008D0E7E" w:rsidRPr="00560609" w:rsidRDefault="008D0E7E" w:rsidP="008D0E7E">
                            <w:pPr>
                              <w:ind w:left="284"/>
                              <w:rPr>
                                <w:rFonts w:ascii="Arial" w:hAnsi="Arial" w:cs="Arial"/>
                                <w:color w:val="000000" w:themeColor="text1"/>
                                <w:sz w:val="18"/>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92D8E0" id="Rectangle 8" o:spid="_x0000_s1037" style="position:absolute;left:0;text-align:left;margin-left:333.5pt;margin-top:.85pt;width:148.6pt;height:7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" filled="f" strokecolor="black [3213]" strokeweight="1pt">
                <v:path arrowok="t"/>
                <v:textbox>
                  <w:txbxContent>
                    <w:p w14:paraId="7CD750CA" w14:textId="77777777" w:rsidR="008D0E7E" w:rsidRDefault="008D0E7E" w:rsidP="008D0E7E">
                      <w:pPr>
                        <w:rPr>
                          <w:rFonts w:ascii="Arial" w:hAnsi="Arial" w:cs="Arial"/>
                          <w:color w:val="000000" w:themeColor="text1"/>
                          <w:sz w:val="18"/>
                          <w:szCs w:val="20"/>
                        </w:rPr>
                      </w:pPr>
                      <w:r w:rsidRPr="00560609">
                        <w:rPr>
                          <w:rFonts w:ascii="Arial" w:hAnsi="Arial" w:cs="Arial"/>
                          <w:color w:val="000000" w:themeColor="text1"/>
                          <w:sz w:val="18"/>
                          <w:szCs w:val="20"/>
                        </w:rPr>
                        <w:t>Re</w:t>
                      </w:r>
                      <w:r>
                        <w:rPr>
                          <w:rFonts w:ascii="Arial" w:hAnsi="Arial" w:cs="Arial"/>
                          <w:color w:val="000000" w:themeColor="text1"/>
                          <w:sz w:val="18"/>
                          <w:szCs w:val="20"/>
                        </w:rPr>
                        <w:t>p</w:t>
                      </w:r>
                      <w:r w:rsidRPr="00560609">
                        <w:rPr>
                          <w:rFonts w:ascii="Arial" w:hAnsi="Arial" w:cs="Arial"/>
                          <w:color w:val="000000" w:themeColor="text1"/>
                          <w:sz w:val="18"/>
                          <w:szCs w:val="20"/>
                        </w:rPr>
                        <w:t>or</w:t>
                      </w:r>
                      <w:r>
                        <w:rPr>
                          <w:rFonts w:ascii="Arial" w:hAnsi="Arial" w:cs="Arial"/>
                          <w:color w:val="000000" w:themeColor="text1"/>
                          <w:sz w:val="18"/>
                          <w:szCs w:val="20"/>
                        </w:rPr>
                        <w:t>t</w:t>
                      </w:r>
                      <w:r w:rsidRPr="00560609">
                        <w:rPr>
                          <w:rFonts w:ascii="Arial" w:hAnsi="Arial" w:cs="Arial"/>
                          <w:color w:val="000000" w:themeColor="text1"/>
                          <w:sz w:val="18"/>
                          <w:szCs w:val="20"/>
                        </w:rPr>
                        <w:t>s</w:t>
                      </w:r>
                      <w:r>
                        <w:rPr>
                          <w:rFonts w:ascii="Arial" w:hAnsi="Arial" w:cs="Arial"/>
                          <w:color w:val="000000" w:themeColor="text1"/>
                          <w:sz w:val="18"/>
                          <w:szCs w:val="20"/>
                        </w:rPr>
                        <w:t xml:space="preserve"> excluded:</w:t>
                      </w:r>
                    </w:p>
                    <w:p w14:paraId="6B434A0B" w14:textId="77777777" w:rsidR="008D0E7E" w:rsidRDefault="008D0E7E" w:rsidP="008D0E7E">
                      <w:pPr>
                        <w:rPr>
                          <w:rFonts w:ascii="Arial" w:hAnsi="Arial" w:cs="Arial"/>
                          <w:color w:val="000000" w:themeColor="text1"/>
                          <w:sz w:val="18"/>
                          <w:szCs w:val="20"/>
                        </w:rPr>
                      </w:pPr>
                      <w:r>
                        <w:rPr>
                          <w:rFonts w:ascii="Arial" w:hAnsi="Arial" w:cs="Arial"/>
                          <w:color w:val="000000" w:themeColor="text1"/>
                          <w:sz w:val="18"/>
                          <w:szCs w:val="20"/>
                        </w:rPr>
                        <w:t>Full text unavailable (n =3)</w:t>
                      </w:r>
                    </w:p>
                    <w:p w14:paraId="0F7C8129" w14:textId="77777777" w:rsidR="008D0E7E" w:rsidRDefault="008D0E7E" w:rsidP="008D0E7E">
                      <w:pPr>
                        <w:rPr>
                          <w:rFonts w:ascii="Arial" w:hAnsi="Arial" w:cs="Arial"/>
                          <w:color w:val="000000" w:themeColor="text1"/>
                          <w:sz w:val="18"/>
                          <w:szCs w:val="20"/>
                        </w:rPr>
                      </w:pPr>
                      <w:r>
                        <w:rPr>
                          <w:rFonts w:ascii="Arial" w:hAnsi="Arial" w:cs="Arial"/>
                          <w:color w:val="000000" w:themeColor="text1"/>
                          <w:sz w:val="18"/>
                          <w:szCs w:val="20"/>
                        </w:rPr>
                        <w:t>Wrong publication type (n =2)</w:t>
                      </w:r>
                    </w:p>
                    <w:p w14:paraId="3673AA6F" w14:textId="77777777" w:rsidR="008D0E7E" w:rsidRPr="00560609" w:rsidRDefault="008D0E7E" w:rsidP="008D0E7E">
                      <w:pPr>
                        <w:ind w:left="284"/>
                        <w:rPr>
                          <w:rFonts w:ascii="Arial" w:hAnsi="Arial" w:cs="Arial"/>
                          <w:color w:val="000000" w:themeColor="text1"/>
                          <w:sz w:val="18"/>
                          <w:szCs w:val="20"/>
                        </w:rPr>
                      </w:pPr>
                    </w:p>
                  </w:txbxContent>
                </v:textbox>
              </v:rect>
            </w:pict>
          </mc:Fallback>
        </mc:AlternateContent>
      </w:r>
    </w:p>
    <w:p w14:paraId="389F4EF5" w14:textId="77777777" w:rsidR="008D0E7E" w:rsidRPr="008D0E7E" w:rsidRDefault="008D0E7E" w:rsidP="008D0E7E">
      <w:pPr>
        <w:jc w:val="both"/>
        <w:rPr>
          <w:rFonts w:ascii="Garamond" w:hAnsi="Garamond"/>
          <w:bCs/>
          <w:iCs/>
          <w:sz w:val="20"/>
          <w:szCs w:val="20"/>
          <w:lang w:val="en-GB"/>
        </w:rPr>
      </w:pPr>
    </w:p>
    <w:p w14:paraId="52A4E3D8" w14:textId="77777777" w:rsidR="008D0E7E" w:rsidRPr="008D0E7E" w:rsidRDefault="008D0E7E" w:rsidP="008D0E7E">
      <w:pPr>
        <w:jc w:val="both"/>
        <w:rPr>
          <w:rFonts w:ascii="Garamond" w:hAnsi="Garamond"/>
          <w:bCs/>
          <w:iCs/>
          <w:sz w:val="20"/>
          <w:szCs w:val="20"/>
          <w:lang w:val="en-GB"/>
        </w:rPr>
      </w:pPr>
    </w:p>
    <w:p w14:paraId="1AC5C351" w14:textId="77777777" w:rsidR="008D0E7E" w:rsidRPr="008D0E7E" w:rsidRDefault="008D0E7E" w:rsidP="008D0E7E">
      <w:pPr>
        <w:jc w:val="both"/>
        <w:rPr>
          <w:rFonts w:ascii="Garamond" w:hAnsi="Garamond"/>
          <w:bCs/>
          <w:iCs/>
          <w:sz w:val="20"/>
          <w:szCs w:val="20"/>
          <w:lang w:val="en-GB"/>
        </w:rPr>
      </w:pPr>
      <w:r w:rsidRPr="008D0E7E">
        <w:rPr>
          <w:rFonts w:ascii="Garamond" w:hAnsi="Garamond"/>
          <w:bCs/>
          <w:iCs/>
          <w:noProof/>
          <w:sz w:val="20"/>
          <w:szCs w:val="20"/>
          <w:lang w:val="en-GB"/>
        </w:rPr>
        <mc:AlternateContent>
          <mc:Choice Requires="wps">
            <w:drawing>
              <wp:anchor distT="0" distB="0" distL="114300" distR="114300" simplePos="0" relativeHeight="251681792" behindDoc="0" locked="0" layoutInCell="1" allowOverlap="1" wp14:anchorId="798310AF" wp14:editId="3424091A">
                <wp:simplePos x="0" y="0"/>
                <wp:positionH relativeFrom="column">
                  <wp:posOffset>2590165</wp:posOffset>
                </wp:positionH>
                <wp:positionV relativeFrom="paragraph">
                  <wp:posOffset>37465</wp:posOffset>
                </wp:positionV>
                <wp:extent cx="45085" cy="1306830"/>
                <wp:effectExtent l="76200" t="0" r="50165" b="64770"/>
                <wp:wrapNone/>
                <wp:docPr id="2002694570"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085" cy="13068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597BDE" id="Straight Arrow Connector 6" o:spid="_x0000_s1026" type="#_x0000_t32" style="position:absolute;margin-left:203.95pt;margin-top:2.95pt;width:3.55pt;height:102.9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" strokecolor="black [3213]" strokeweight=".5pt">
                <v:stroke endarrow="block" joinstyle="miter"/>
                <o:lock v:ext="edit" shapetype="f"/>
              </v:shape>
            </w:pict>
          </mc:Fallback>
        </mc:AlternateContent>
      </w:r>
    </w:p>
    <w:p w14:paraId="2FE2B8D8" w14:textId="77777777" w:rsidR="008D0E7E" w:rsidRPr="008D0E7E" w:rsidRDefault="008D0E7E" w:rsidP="008D0E7E">
      <w:pPr>
        <w:jc w:val="both"/>
        <w:rPr>
          <w:rFonts w:ascii="Garamond" w:hAnsi="Garamond"/>
          <w:bCs/>
          <w:iCs/>
          <w:sz w:val="20"/>
          <w:szCs w:val="20"/>
          <w:lang w:val="en-GB"/>
        </w:rPr>
      </w:pPr>
    </w:p>
    <w:p w14:paraId="27D9F5B6" w14:textId="77777777" w:rsidR="008D0E7E" w:rsidRPr="008D0E7E" w:rsidRDefault="008D0E7E" w:rsidP="008D0E7E">
      <w:pPr>
        <w:jc w:val="both"/>
        <w:rPr>
          <w:rFonts w:ascii="Garamond" w:hAnsi="Garamond"/>
          <w:bCs/>
          <w:iCs/>
          <w:sz w:val="20"/>
          <w:szCs w:val="20"/>
          <w:lang w:val="en-GB"/>
        </w:rPr>
      </w:pPr>
    </w:p>
    <w:p w14:paraId="6FB40647" w14:textId="77777777" w:rsidR="008D0E7E" w:rsidRPr="008D0E7E" w:rsidRDefault="008D0E7E" w:rsidP="008D0E7E">
      <w:pPr>
        <w:jc w:val="both"/>
        <w:rPr>
          <w:rFonts w:ascii="Garamond" w:hAnsi="Garamond"/>
          <w:bCs/>
          <w:iCs/>
          <w:sz w:val="20"/>
          <w:szCs w:val="20"/>
          <w:lang w:val="en-GB"/>
        </w:rPr>
      </w:pPr>
    </w:p>
    <w:p w14:paraId="6861D6B7" w14:textId="77777777" w:rsidR="008D0E7E" w:rsidRPr="008D0E7E" w:rsidRDefault="008D0E7E" w:rsidP="008D0E7E">
      <w:pPr>
        <w:jc w:val="both"/>
        <w:rPr>
          <w:rFonts w:ascii="Garamond" w:hAnsi="Garamond"/>
          <w:bCs/>
          <w:iCs/>
          <w:sz w:val="20"/>
          <w:szCs w:val="20"/>
          <w:lang w:val="en-GB"/>
        </w:rPr>
      </w:pPr>
    </w:p>
    <w:p w14:paraId="0C770D50" w14:textId="77777777" w:rsidR="008D0E7E" w:rsidRPr="008D0E7E" w:rsidRDefault="008D0E7E" w:rsidP="008D0E7E">
      <w:pPr>
        <w:jc w:val="both"/>
        <w:rPr>
          <w:rFonts w:ascii="Garamond" w:hAnsi="Garamond"/>
          <w:bCs/>
          <w:iCs/>
          <w:sz w:val="20"/>
          <w:szCs w:val="20"/>
          <w:lang w:val="en-GB"/>
        </w:rPr>
      </w:pPr>
    </w:p>
    <w:p w14:paraId="4E467FF1" w14:textId="77777777" w:rsidR="008D0E7E" w:rsidRPr="008D0E7E" w:rsidRDefault="008D0E7E" w:rsidP="008D0E7E">
      <w:pPr>
        <w:jc w:val="both"/>
        <w:rPr>
          <w:rFonts w:ascii="Garamond" w:hAnsi="Garamond"/>
          <w:bCs/>
          <w:iCs/>
          <w:sz w:val="20"/>
          <w:szCs w:val="20"/>
          <w:lang w:val="en-GB"/>
        </w:rPr>
      </w:pPr>
    </w:p>
    <w:p w14:paraId="01A71E24" w14:textId="77777777" w:rsidR="008D0E7E" w:rsidRPr="008D0E7E" w:rsidRDefault="008D0E7E" w:rsidP="008D0E7E">
      <w:pPr>
        <w:jc w:val="both"/>
        <w:rPr>
          <w:rFonts w:ascii="Garamond" w:hAnsi="Garamond"/>
          <w:bCs/>
          <w:iCs/>
          <w:sz w:val="20"/>
          <w:szCs w:val="20"/>
          <w:lang w:val="en-GB"/>
        </w:rPr>
      </w:pPr>
      <w:r w:rsidRPr="008D0E7E">
        <w:rPr>
          <w:rFonts w:ascii="Garamond" w:hAnsi="Garamond"/>
          <w:bCs/>
          <w:iCs/>
          <w:noProof/>
          <w:sz w:val="20"/>
          <w:szCs w:val="20"/>
          <w:lang w:val="en-GB"/>
        </w:rPr>
        <mc:AlternateContent>
          <mc:Choice Requires="wps">
            <w:drawing>
              <wp:anchor distT="0" distB="0" distL="114300" distR="114300" simplePos="0" relativeHeight="251673600" behindDoc="0" locked="0" layoutInCell="1" allowOverlap="1" wp14:anchorId="657E0A47" wp14:editId="2F5D2BD9">
                <wp:simplePos x="0" y="0"/>
                <wp:positionH relativeFrom="column">
                  <wp:posOffset>1732915</wp:posOffset>
                </wp:positionH>
                <wp:positionV relativeFrom="paragraph">
                  <wp:posOffset>132715</wp:posOffset>
                </wp:positionV>
                <wp:extent cx="1887220" cy="963295"/>
                <wp:effectExtent l="0" t="0" r="17780" b="27305"/>
                <wp:wrapNone/>
                <wp:docPr id="66063245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7220" cy="96329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4DB36D" w14:textId="77777777" w:rsidR="008D0E7E" w:rsidRDefault="008D0E7E" w:rsidP="008D0E7E">
                            <w:pPr>
                              <w:rPr>
                                <w:rFonts w:ascii="Arial" w:hAnsi="Arial" w:cs="Arial"/>
                                <w:color w:val="000000" w:themeColor="text1"/>
                                <w:sz w:val="18"/>
                                <w:szCs w:val="20"/>
                              </w:rPr>
                            </w:pPr>
                            <w:r>
                              <w:rPr>
                                <w:rFonts w:ascii="Arial" w:hAnsi="Arial" w:cs="Arial"/>
                                <w:color w:val="000000" w:themeColor="text1"/>
                                <w:sz w:val="18"/>
                                <w:szCs w:val="20"/>
                              </w:rPr>
                              <w:t xml:space="preserve"> Studies included in review</w:t>
                            </w:r>
                          </w:p>
                          <w:p w14:paraId="5BE940DA" w14:textId="77777777" w:rsidR="008D0E7E" w:rsidRDefault="008D0E7E" w:rsidP="008D0E7E">
                            <w:pPr>
                              <w:rPr>
                                <w:rFonts w:ascii="Arial" w:hAnsi="Arial" w:cs="Arial"/>
                                <w:color w:val="000000" w:themeColor="text1"/>
                                <w:sz w:val="18"/>
                                <w:szCs w:val="20"/>
                              </w:rPr>
                            </w:pPr>
                            <w:r>
                              <w:rPr>
                                <w:rFonts w:ascii="Arial" w:hAnsi="Arial" w:cs="Arial"/>
                                <w:color w:val="000000" w:themeColor="text1"/>
                                <w:sz w:val="18"/>
                                <w:szCs w:val="20"/>
                              </w:rPr>
                              <w:t>(n = 6)</w:t>
                            </w:r>
                          </w:p>
                          <w:p w14:paraId="1E69C663" w14:textId="77777777" w:rsidR="008D0E7E" w:rsidRDefault="008D0E7E" w:rsidP="008D0E7E">
                            <w:pPr>
                              <w:rPr>
                                <w:rFonts w:ascii="Arial" w:hAnsi="Arial" w:cs="Arial"/>
                                <w:color w:val="000000" w:themeColor="text1"/>
                                <w:sz w:val="18"/>
                                <w:szCs w:val="20"/>
                              </w:rPr>
                            </w:pPr>
                            <w:r>
                              <w:rPr>
                                <w:rFonts w:ascii="Arial" w:hAnsi="Arial" w:cs="Arial"/>
                                <w:color w:val="000000" w:themeColor="text1"/>
                                <w:sz w:val="18"/>
                                <w:szCs w:val="20"/>
                              </w:rPr>
                              <w:t>Reports of included studies</w:t>
                            </w:r>
                          </w:p>
                          <w:p w14:paraId="5AEC799D" w14:textId="77777777" w:rsidR="008D0E7E" w:rsidRPr="00560609" w:rsidRDefault="008D0E7E" w:rsidP="008D0E7E">
                            <w:pPr>
                              <w:rPr>
                                <w:rFonts w:ascii="Arial" w:hAnsi="Arial" w:cs="Arial"/>
                                <w:color w:val="000000" w:themeColor="text1"/>
                                <w:sz w:val="18"/>
                                <w:szCs w:val="20"/>
                              </w:rPr>
                            </w:pPr>
                            <w:r>
                              <w:rPr>
                                <w:rFonts w:ascii="Arial" w:hAnsi="Arial" w:cs="Arial"/>
                                <w:color w:val="000000" w:themeColor="text1"/>
                                <w:sz w:val="18"/>
                                <w:szCs w:val="20"/>
                              </w:rPr>
                              <w:t>(n =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7E0A47" id="Rectangle 4" o:spid="_x0000_s1038" style="position:absolute;left:0;text-align:left;margin-left:136.45pt;margin-top:10.45pt;width:148.6pt;height:75.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" filled="f" strokecolor="black [3213]" strokeweight="1pt">
                <v:path arrowok="t"/>
                <v:textbox>
                  <w:txbxContent>
                    <w:p w14:paraId="4C4DB36D" w14:textId="77777777" w:rsidR="008D0E7E" w:rsidRDefault="008D0E7E" w:rsidP="008D0E7E">
                      <w:pPr>
                        <w:rPr>
                          <w:rFonts w:ascii="Arial" w:hAnsi="Arial" w:cs="Arial"/>
                          <w:color w:val="000000" w:themeColor="text1"/>
                          <w:sz w:val="18"/>
                          <w:szCs w:val="20"/>
                        </w:rPr>
                      </w:pPr>
                      <w:r>
                        <w:rPr>
                          <w:rFonts w:ascii="Arial" w:hAnsi="Arial" w:cs="Arial"/>
                          <w:color w:val="000000" w:themeColor="text1"/>
                          <w:sz w:val="18"/>
                          <w:szCs w:val="20"/>
                        </w:rPr>
                        <w:t xml:space="preserve"> Studies included in review</w:t>
                      </w:r>
                    </w:p>
                    <w:p w14:paraId="5BE940DA" w14:textId="77777777" w:rsidR="008D0E7E" w:rsidRDefault="008D0E7E" w:rsidP="008D0E7E">
                      <w:pPr>
                        <w:rPr>
                          <w:rFonts w:ascii="Arial" w:hAnsi="Arial" w:cs="Arial"/>
                          <w:color w:val="000000" w:themeColor="text1"/>
                          <w:sz w:val="18"/>
                          <w:szCs w:val="20"/>
                        </w:rPr>
                      </w:pPr>
                      <w:r>
                        <w:rPr>
                          <w:rFonts w:ascii="Arial" w:hAnsi="Arial" w:cs="Arial"/>
                          <w:color w:val="000000" w:themeColor="text1"/>
                          <w:sz w:val="18"/>
                          <w:szCs w:val="20"/>
                        </w:rPr>
                        <w:t>(n = 6)</w:t>
                      </w:r>
                    </w:p>
                    <w:p w14:paraId="1E69C663" w14:textId="77777777" w:rsidR="008D0E7E" w:rsidRDefault="008D0E7E" w:rsidP="008D0E7E">
                      <w:pPr>
                        <w:rPr>
                          <w:rFonts w:ascii="Arial" w:hAnsi="Arial" w:cs="Arial"/>
                          <w:color w:val="000000" w:themeColor="text1"/>
                          <w:sz w:val="18"/>
                          <w:szCs w:val="20"/>
                        </w:rPr>
                      </w:pPr>
                      <w:r>
                        <w:rPr>
                          <w:rFonts w:ascii="Arial" w:hAnsi="Arial" w:cs="Arial"/>
                          <w:color w:val="000000" w:themeColor="text1"/>
                          <w:sz w:val="18"/>
                          <w:szCs w:val="20"/>
                        </w:rPr>
                        <w:t>Reports of included studies</w:t>
                      </w:r>
                    </w:p>
                    <w:p w14:paraId="5AEC799D" w14:textId="77777777" w:rsidR="008D0E7E" w:rsidRPr="00560609" w:rsidRDefault="008D0E7E" w:rsidP="008D0E7E">
                      <w:pPr>
                        <w:rPr>
                          <w:rFonts w:ascii="Arial" w:hAnsi="Arial" w:cs="Arial"/>
                          <w:color w:val="000000" w:themeColor="text1"/>
                          <w:sz w:val="18"/>
                          <w:szCs w:val="20"/>
                        </w:rPr>
                      </w:pPr>
                      <w:r>
                        <w:rPr>
                          <w:rFonts w:ascii="Arial" w:hAnsi="Arial" w:cs="Arial"/>
                          <w:color w:val="000000" w:themeColor="text1"/>
                          <w:sz w:val="18"/>
                          <w:szCs w:val="20"/>
                        </w:rPr>
                        <w:t>(n = 6)</w:t>
                      </w:r>
                    </w:p>
                  </w:txbxContent>
                </v:textbox>
              </v:rect>
            </w:pict>
          </mc:Fallback>
        </mc:AlternateContent>
      </w:r>
      <w:r w:rsidRPr="008D0E7E">
        <w:rPr>
          <w:rFonts w:ascii="Garamond" w:hAnsi="Garamond"/>
          <w:bCs/>
          <w:iCs/>
          <w:noProof/>
          <w:sz w:val="20"/>
          <w:szCs w:val="20"/>
          <w:lang w:val="en-GB"/>
        </w:rPr>
        <mc:AlternateContent>
          <mc:Choice Requires="wps">
            <w:drawing>
              <wp:anchor distT="0" distB="0" distL="114300" distR="114300" simplePos="0" relativeHeight="251678720" behindDoc="0" locked="0" layoutInCell="1" allowOverlap="1" wp14:anchorId="2467E672" wp14:editId="4100693F">
                <wp:simplePos x="0" y="0"/>
                <wp:positionH relativeFrom="column">
                  <wp:posOffset>-225425</wp:posOffset>
                </wp:positionH>
                <wp:positionV relativeFrom="paragraph">
                  <wp:posOffset>208280</wp:posOffset>
                </wp:positionV>
                <wp:extent cx="1776095" cy="262890"/>
                <wp:effectExtent l="17145" t="13335" r="15240" b="20320"/>
                <wp:wrapNone/>
                <wp:docPr id="1337397334" name="Flowchart: Alternate Proces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776095" cy="262890"/>
                        </a:xfrm>
                        <a:prstGeom prst="flowChartAlternateProcess">
                          <a:avLst/>
                        </a:prstGeom>
                        <a:solidFill>
                          <a:schemeClr val="accent5">
                            <a:lumMod val="60000"/>
                            <a:lumOff val="40000"/>
                          </a:schemeClr>
                        </a:solidFill>
                        <a:ln w="25400">
                          <a:solidFill>
                            <a:schemeClr val="tx1">
                              <a:lumMod val="100000"/>
                              <a:lumOff val="0"/>
                            </a:schemeClr>
                          </a:solidFill>
                          <a:miter lim="800000"/>
                          <a:headEnd/>
                          <a:tailEnd/>
                        </a:ln>
                      </wps:spPr>
                      <wps:txbx>
                        <w:txbxContent>
                          <w:p w14:paraId="1DF5C06E" w14:textId="77777777" w:rsidR="008D0E7E" w:rsidRPr="001502CF" w:rsidRDefault="008D0E7E" w:rsidP="008D0E7E">
                            <w:pPr>
                              <w:jc w:val="center"/>
                              <w:rPr>
                                <w:rFonts w:ascii="Arial" w:hAnsi="Arial" w:cs="Arial"/>
                                <w:b/>
                                <w:color w:val="000000" w:themeColor="text1"/>
                                <w:sz w:val="18"/>
                                <w:szCs w:val="18"/>
                              </w:rPr>
                            </w:pPr>
                            <w:r>
                              <w:rPr>
                                <w:rFonts w:ascii="Arial" w:hAnsi="Arial" w:cs="Arial"/>
                                <w:b/>
                                <w:color w:val="000000" w:themeColor="text1"/>
                                <w:sz w:val="18"/>
                                <w:szCs w:val="18"/>
                              </w:rPr>
                              <w:t>Included</w:t>
                            </w:r>
                          </w:p>
                        </w:txbxContent>
                      </wps:txbx>
                      <wps:bodyPr rot="0" vert="vert270"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467E672" id="Flowchart: Alternate Process 3" o:spid="_x0000_s1039" type="#_x0000_t176" style="position:absolute;left:0;text-align:left;margin-left:-17.75pt;margin-top:16.4pt;width:139.85pt;height:20.7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" fillcolor="#8eaadb [1944]" strokecolor="black [3213]" strokeweight="2pt">
                <v:textbox style="layout-flow:vertical;mso-layout-flow-alt:bottom-to-top">
                  <w:txbxContent>
                    <w:p w14:paraId="1DF5C06E" w14:textId="77777777" w:rsidR="008D0E7E" w:rsidRPr="001502CF" w:rsidRDefault="008D0E7E" w:rsidP="008D0E7E">
                      <w:pPr>
                        <w:jc w:val="center"/>
                        <w:rPr>
                          <w:rFonts w:ascii="Arial" w:hAnsi="Arial" w:cs="Arial"/>
                          <w:b/>
                          <w:color w:val="000000" w:themeColor="text1"/>
                          <w:sz w:val="18"/>
                          <w:szCs w:val="18"/>
                        </w:rPr>
                      </w:pPr>
                      <w:r>
                        <w:rPr>
                          <w:rFonts w:ascii="Arial" w:hAnsi="Arial" w:cs="Arial"/>
                          <w:b/>
                          <w:color w:val="000000" w:themeColor="text1"/>
                          <w:sz w:val="18"/>
                          <w:szCs w:val="18"/>
                        </w:rPr>
                        <w:t>Included</w:t>
                      </w:r>
                    </w:p>
                  </w:txbxContent>
                </v:textbox>
              </v:shape>
            </w:pict>
          </mc:Fallback>
        </mc:AlternateContent>
      </w:r>
    </w:p>
    <w:p w14:paraId="033BF98A" w14:textId="77777777" w:rsidR="008D0E7E" w:rsidRPr="008D0E7E" w:rsidRDefault="008D0E7E" w:rsidP="008D0E7E">
      <w:pPr>
        <w:jc w:val="both"/>
        <w:rPr>
          <w:rFonts w:ascii="Garamond" w:hAnsi="Garamond"/>
          <w:bCs/>
          <w:iCs/>
          <w:sz w:val="20"/>
          <w:szCs w:val="20"/>
          <w:lang w:val="en-GB"/>
        </w:rPr>
      </w:pPr>
    </w:p>
    <w:p w14:paraId="2EE0C7ED" w14:textId="77777777" w:rsidR="008D0E7E" w:rsidRPr="008D0E7E" w:rsidRDefault="008D0E7E" w:rsidP="008D0E7E">
      <w:pPr>
        <w:jc w:val="both"/>
        <w:rPr>
          <w:rFonts w:ascii="Garamond" w:hAnsi="Garamond"/>
          <w:bCs/>
          <w:iCs/>
          <w:sz w:val="20"/>
          <w:szCs w:val="20"/>
          <w:lang w:val="en-GB"/>
        </w:rPr>
      </w:pPr>
    </w:p>
    <w:p w14:paraId="00629532" w14:textId="77777777" w:rsidR="008D0E7E" w:rsidRPr="008D0E7E" w:rsidRDefault="008D0E7E" w:rsidP="008D0E7E">
      <w:pPr>
        <w:jc w:val="both"/>
        <w:rPr>
          <w:rFonts w:ascii="Garamond" w:hAnsi="Garamond"/>
          <w:bCs/>
          <w:iCs/>
          <w:sz w:val="20"/>
          <w:szCs w:val="20"/>
          <w:lang w:val="en-GB"/>
        </w:rPr>
      </w:pPr>
    </w:p>
    <w:p w14:paraId="61024BEF" w14:textId="77777777" w:rsidR="008D0E7E" w:rsidRPr="008D0E7E" w:rsidRDefault="008D0E7E" w:rsidP="008D0E7E">
      <w:pPr>
        <w:jc w:val="both"/>
        <w:rPr>
          <w:rFonts w:ascii="Garamond" w:hAnsi="Garamond"/>
          <w:bCs/>
          <w:iCs/>
          <w:sz w:val="20"/>
          <w:szCs w:val="20"/>
          <w:lang w:val="en-GB"/>
        </w:rPr>
      </w:pPr>
    </w:p>
    <w:p w14:paraId="3027EAD4" w14:textId="77777777" w:rsidR="008D0E7E" w:rsidRPr="008D0E7E" w:rsidRDefault="008D0E7E" w:rsidP="008D0E7E">
      <w:pPr>
        <w:jc w:val="both"/>
        <w:rPr>
          <w:rFonts w:ascii="Garamond" w:hAnsi="Garamond"/>
          <w:bCs/>
          <w:iCs/>
          <w:sz w:val="20"/>
          <w:szCs w:val="20"/>
          <w:lang w:val="en-GB"/>
        </w:rPr>
      </w:pPr>
    </w:p>
    <w:p w14:paraId="06688CC7" w14:textId="77777777" w:rsidR="008D0E7E" w:rsidRPr="008D0E7E" w:rsidRDefault="008D0E7E" w:rsidP="008D0E7E">
      <w:pPr>
        <w:jc w:val="both"/>
        <w:rPr>
          <w:rFonts w:ascii="Garamond" w:hAnsi="Garamond"/>
          <w:b/>
          <w:bCs/>
          <w:iCs/>
          <w:sz w:val="20"/>
          <w:szCs w:val="20"/>
          <w:lang w:val="en-GB"/>
        </w:rPr>
      </w:pPr>
      <w:bookmarkStart w:id="13" w:name="_Toc283357183"/>
    </w:p>
    <w:p w14:paraId="03B40161" w14:textId="77777777" w:rsidR="008D0E7E" w:rsidRDefault="008D0E7E" w:rsidP="008D0E7E">
      <w:pPr>
        <w:jc w:val="both"/>
        <w:rPr>
          <w:rFonts w:ascii="Garamond" w:hAnsi="Garamond"/>
          <w:b/>
          <w:bCs/>
          <w:iCs/>
          <w:sz w:val="20"/>
          <w:szCs w:val="20"/>
          <w:lang w:val="en-GB"/>
        </w:rPr>
      </w:pPr>
    </w:p>
    <w:p w14:paraId="09A54310" w14:textId="77777777" w:rsidR="008D0E7E" w:rsidRDefault="008D0E7E" w:rsidP="008D0E7E">
      <w:pPr>
        <w:spacing w:line="259" w:lineRule="auto"/>
        <w:jc w:val="both"/>
        <w:rPr>
          <w:rFonts w:ascii="Garamond" w:hAnsi="Garamond"/>
          <w:b/>
          <w:bCs/>
          <w:iCs/>
          <w:sz w:val="20"/>
          <w:szCs w:val="20"/>
          <w:lang w:val="en-GB"/>
        </w:rPr>
      </w:pPr>
    </w:p>
    <w:p w14:paraId="73ED65E3" w14:textId="0ACD81EF"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b/>
          <w:bCs/>
          <w:iCs/>
          <w:sz w:val="20"/>
          <w:szCs w:val="20"/>
          <w:lang w:val="en-GB"/>
        </w:rPr>
        <w:t>Fig</w:t>
      </w:r>
      <w:r>
        <w:rPr>
          <w:rFonts w:ascii="Garamond" w:hAnsi="Garamond"/>
          <w:b/>
          <w:bCs/>
          <w:iCs/>
          <w:sz w:val="20"/>
          <w:szCs w:val="20"/>
          <w:lang w:val="en-GB"/>
        </w:rPr>
        <w:t>ure</w:t>
      </w:r>
      <w:r w:rsidRPr="008D0E7E">
        <w:rPr>
          <w:rFonts w:ascii="Garamond" w:hAnsi="Garamond"/>
          <w:b/>
          <w:bCs/>
          <w:iCs/>
          <w:sz w:val="20"/>
          <w:szCs w:val="20"/>
          <w:lang w:val="en-GB"/>
        </w:rPr>
        <w:t xml:space="preserve"> 4.1: </w:t>
      </w:r>
      <w:r w:rsidRPr="008D0E7E">
        <w:rPr>
          <w:rFonts w:ascii="Garamond" w:hAnsi="Garamond"/>
          <w:iCs/>
          <w:sz w:val="20"/>
          <w:szCs w:val="20"/>
          <w:lang w:val="en-GB"/>
        </w:rPr>
        <w:t>PRISMA-</w:t>
      </w:r>
      <w:proofErr w:type="spellStart"/>
      <w:r w:rsidRPr="008D0E7E">
        <w:rPr>
          <w:rFonts w:ascii="Garamond" w:hAnsi="Garamond"/>
          <w:iCs/>
          <w:sz w:val="20"/>
          <w:szCs w:val="20"/>
          <w:lang w:val="en-GB"/>
        </w:rPr>
        <w:t>ScR</w:t>
      </w:r>
      <w:proofErr w:type="spellEnd"/>
      <w:r w:rsidRPr="008D0E7E">
        <w:rPr>
          <w:rFonts w:ascii="Garamond" w:hAnsi="Garamond"/>
          <w:iCs/>
          <w:sz w:val="20"/>
          <w:szCs w:val="20"/>
          <w:lang w:val="en-GB"/>
        </w:rPr>
        <w:t xml:space="preserve"> flow diagram.</w:t>
      </w:r>
      <w:bookmarkEnd w:id="13"/>
    </w:p>
    <w:p w14:paraId="756AAD1F" w14:textId="77777777" w:rsidR="008D0E7E" w:rsidRPr="008D0E7E" w:rsidRDefault="008D0E7E" w:rsidP="008D0E7E">
      <w:pPr>
        <w:spacing w:line="259" w:lineRule="auto"/>
        <w:jc w:val="both"/>
        <w:rPr>
          <w:rFonts w:ascii="Garamond" w:hAnsi="Garamond"/>
          <w:b/>
          <w:bCs/>
          <w:iCs/>
          <w:sz w:val="20"/>
          <w:szCs w:val="20"/>
          <w:lang w:val="en-GB"/>
        </w:rPr>
      </w:pPr>
    </w:p>
    <w:p w14:paraId="1993D3E1" w14:textId="3F7331E7" w:rsidR="008D0E7E" w:rsidRPr="0040264D" w:rsidRDefault="008D0E7E" w:rsidP="008D0E7E">
      <w:pPr>
        <w:spacing w:line="259" w:lineRule="auto"/>
        <w:jc w:val="both"/>
        <w:rPr>
          <w:rFonts w:ascii="Garamond" w:hAnsi="Garamond"/>
          <w:b/>
          <w:bCs/>
          <w:iCs/>
          <w:sz w:val="20"/>
          <w:szCs w:val="20"/>
          <w:lang w:val="en-GB"/>
        </w:rPr>
      </w:pPr>
      <w:r w:rsidRPr="0040264D">
        <w:rPr>
          <w:rFonts w:ascii="Garamond" w:hAnsi="Garamond"/>
          <w:b/>
          <w:bCs/>
          <w:i/>
          <w:sz w:val="20"/>
          <w:szCs w:val="20"/>
          <w:lang w:val="en-GB"/>
        </w:rPr>
        <w:t>Study Characteristics</w:t>
      </w:r>
      <w:r w:rsidR="0040264D" w:rsidRPr="0040264D">
        <w:rPr>
          <w:rFonts w:ascii="Garamond" w:hAnsi="Garamond"/>
          <w:b/>
          <w:bCs/>
          <w:i/>
          <w:sz w:val="20"/>
          <w:szCs w:val="20"/>
          <w:lang w:val="en-GB"/>
        </w:rPr>
        <w:t xml:space="preserve">: </w:t>
      </w:r>
      <w:r w:rsidRPr="008D0E7E">
        <w:rPr>
          <w:rFonts w:ascii="Garamond" w:hAnsi="Garamond"/>
          <w:iCs/>
          <w:sz w:val="20"/>
          <w:szCs w:val="20"/>
          <w:lang w:val="en-GB"/>
        </w:rPr>
        <w:t xml:space="preserve">The six studies included in this scoping review were all cross-sectional in design and conducted across four countries: Nigeria, Pakistan, Turkey, and Bangladesh. Sample sizes ranged from 69 to 400 participants, with all studies focusing on actively employed male butchers working in abattoirs, butcher shops, or meat markets. Participant ages varied, though most were between 20 and 40 years old with several years of work experience. The primary data collection tools used were the Standardized Nordic Musculoskeletal Questionnaire, Boston Carpal Tunnel Syndrome (CTS) Questionnaire, and custom structured interviews or checklists. The studies primarily assessed the prevalence, distribution, and severity of musculoskeletal disorders (MSDs), with particular focus on the lower back, shoulders, wrists, and neck. Findings showed consistently high MSD prevalence, ranging from 10.3% to 88.2%, highlighting significant occupational strain. Some studies also explored injury patterns, such as hand and finger injuries from sharp tools, and poor working conditions including lack of personal protective equipment. Overall, the studies provide a comprehensive regional insight into the burden and risk factors associated with MSDs among butchers. </w:t>
      </w:r>
    </w:p>
    <w:p w14:paraId="57341CB4" w14:textId="77777777" w:rsidR="008D0E7E" w:rsidRPr="008D0E7E" w:rsidRDefault="008D0E7E" w:rsidP="008D0E7E">
      <w:pPr>
        <w:spacing w:line="259" w:lineRule="auto"/>
        <w:jc w:val="both"/>
        <w:rPr>
          <w:rFonts w:ascii="Garamond" w:hAnsi="Garamond"/>
          <w:b/>
          <w:bCs/>
          <w:iCs/>
          <w:sz w:val="20"/>
          <w:szCs w:val="20"/>
          <w:lang w:val="en-GB"/>
        </w:rPr>
      </w:pPr>
    </w:p>
    <w:p w14:paraId="053E078D" w14:textId="77777777" w:rsidR="008D0E7E" w:rsidRPr="008D0E7E" w:rsidRDefault="008D0E7E" w:rsidP="008D0E7E">
      <w:pPr>
        <w:spacing w:line="259" w:lineRule="auto"/>
        <w:jc w:val="both"/>
        <w:rPr>
          <w:rFonts w:ascii="Garamond" w:hAnsi="Garamond"/>
          <w:b/>
          <w:bCs/>
          <w:iCs/>
          <w:sz w:val="20"/>
          <w:szCs w:val="20"/>
          <w:lang w:val="en-GB"/>
        </w:rPr>
      </w:pPr>
    </w:p>
    <w:p w14:paraId="6654BB75" w14:textId="77777777" w:rsidR="008D0E7E" w:rsidRPr="008D0E7E" w:rsidRDefault="008D0E7E" w:rsidP="008D0E7E">
      <w:pPr>
        <w:spacing w:line="259" w:lineRule="auto"/>
        <w:jc w:val="both"/>
        <w:rPr>
          <w:rFonts w:ascii="Garamond" w:hAnsi="Garamond"/>
          <w:b/>
          <w:bCs/>
          <w:iCs/>
          <w:sz w:val="20"/>
          <w:szCs w:val="20"/>
          <w:lang w:val="en-GB"/>
        </w:rPr>
        <w:sectPr w:rsidR="008D0E7E" w:rsidRPr="008D0E7E" w:rsidSect="000B3409">
          <w:footerReference w:type="first" r:id="rId26"/>
          <w:pgSz w:w="12240" w:h="15840" w:code="1"/>
          <w:pgMar w:top="1440" w:right="1440" w:bottom="1440" w:left="1440" w:header="720" w:footer="720" w:gutter="0"/>
          <w:pgNumType w:chapStyle="1"/>
          <w:cols w:space="720"/>
          <w:titlePg/>
          <w:docGrid w:linePitch="360"/>
        </w:sectPr>
      </w:pPr>
    </w:p>
    <w:p w14:paraId="5BA85307" w14:textId="77777777" w:rsidR="008D0E7E" w:rsidRPr="008D0E7E" w:rsidRDefault="008D0E7E" w:rsidP="008D0E7E">
      <w:pPr>
        <w:spacing w:line="259" w:lineRule="auto"/>
        <w:jc w:val="both"/>
        <w:rPr>
          <w:rFonts w:ascii="Garamond" w:hAnsi="Garamond"/>
          <w:b/>
          <w:bCs/>
          <w:iCs/>
          <w:sz w:val="20"/>
          <w:szCs w:val="20"/>
          <w:lang w:val="en-GB"/>
        </w:rPr>
      </w:pPr>
      <w:r w:rsidRPr="008D0E7E">
        <w:rPr>
          <w:rFonts w:ascii="Garamond" w:hAnsi="Garamond"/>
          <w:b/>
          <w:bCs/>
          <w:iCs/>
          <w:sz w:val="20"/>
          <w:szCs w:val="20"/>
          <w:lang w:val="en-GB"/>
        </w:rPr>
        <w:lastRenderedPageBreak/>
        <w:t xml:space="preserve">Table 1: Characteristics of included articles </w:t>
      </w:r>
    </w:p>
    <w:tbl>
      <w:tblPr>
        <w:tblStyle w:val="TableGrid"/>
        <w:tblW w:w="1379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0"/>
        <w:gridCol w:w="606"/>
        <w:gridCol w:w="1490"/>
        <w:gridCol w:w="1674"/>
        <w:gridCol w:w="1236"/>
        <w:gridCol w:w="2289"/>
        <w:gridCol w:w="1605"/>
        <w:gridCol w:w="1917"/>
        <w:gridCol w:w="1442"/>
      </w:tblGrid>
      <w:tr w:rsidR="008D0E7E" w:rsidRPr="008D0E7E" w14:paraId="0E389C56" w14:textId="77777777" w:rsidTr="00644A43">
        <w:trPr>
          <w:trHeight w:val="274"/>
        </w:trPr>
        <w:tc>
          <w:tcPr>
            <w:tcW w:w="1540" w:type="dxa"/>
            <w:tcBorders>
              <w:top w:val="single" w:sz="2" w:space="0" w:color="auto"/>
              <w:bottom w:val="single" w:sz="2" w:space="0" w:color="auto"/>
            </w:tcBorders>
          </w:tcPr>
          <w:p w14:paraId="63861BB1" w14:textId="77777777" w:rsidR="008D0E7E" w:rsidRPr="008D0E7E" w:rsidRDefault="008D0E7E" w:rsidP="008D0E7E">
            <w:pPr>
              <w:spacing w:line="259" w:lineRule="auto"/>
              <w:jc w:val="both"/>
              <w:rPr>
                <w:rFonts w:ascii="Garamond" w:hAnsi="Garamond"/>
                <w:b/>
                <w:bCs/>
                <w:iCs/>
                <w:sz w:val="20"/>
                <w:szCs w:val="20"/>
                <w:lang w:val="en-GB"/>
              </w:rPr>
            </w:pPr>
            <w:r w:rsidRPr="008D0E7E">
              <w:rPr>
                <w:rFonts w:ascii="Garamond" w:hAnsi="Garamond"/>
                <w:b/>
                <w:bCs/>
                <w:iCs/>
                <w:sz w:val="20"/>
                <w:szCs w:val="20"/>
                <w:lang w:val="en-GB"/>
              </w:rPr>
              <w:t>Authors</w:t>
            </w:r>
          </w:p>
        </w:tc>
        <w:tc>
          <w:tcPr>
            <w:tcW w:w="0" w:type="auto"/>
            <w:tcBorders>
              <w:top w:val="single" w:sz="2" w:space="0" w:color="auto"/>
              <w:bottom w:val="single" w:sz="2" w:space="0" w:color="auto"/>
            </w:tcBorders>
          </w:tcPr>
          <w:p w14:paraId="2AE14193" w14:textId="77777777" w:rsidR="008D0E7E" w:rsidRPr="008D0E7E" w:rsidRDefault="008D0E7E" w:rsidP="008D0E7E">
            <w:pPr>
              <w:spacing w:line="259" w:lineRule="auto"/>
              <w:jc w:val="both"/>
              <w:rPr>
                <w:rFonts w:ascii="Garamond" w:hAnsi="Garamond"/>
                <w:b/>
                <w:bCs/>
                <w:iCs/>
                <w:sz w:val="20"/>
                <w:szCs w:val="20"/>
                <w:lang w:val="en-GB"/>
              </w:rPr>
            </w:pPr>
            <w:r w:rsidRPr="008D0E7E">
              <w:rPr>
                <w:rFonts w:ascii="Garamond" w:hAnsi="Garamond"/>
                <w:b/>
                <w:bCs/>
                <w:iCs/>
                <w:sz w:val="20"/>
                <w:szCs w:val="20"/>
                <w:lang w:val="en-GB"/>
              </w:rPr>
              <w:t>Year</w:t>
            </w:r>
          </w:p>
        </w:tc>
        <w:tc>
          <w:tcPr>
            <w:tcW w:w="0" w:type="auto"/>
            <w:tcBorders>
              <w:top w:val="single" w:sz="2" w:space="0" w:color="auto"/>
              <w:bottom w:val="single" w:sz="2" w:space="0" w:color="auto"/>
            </w:tcBorders>
          </w:tcPr>
          <w:p w14:paraId="1E9D69F0" w14:textId="77777777" w:rsidR="008D0E7E" w:rsidRPr="008D0E7E" w:rsidRDefault="008D0E7E" w:rsidP="008D0E7E">
            <w:pPr>
              <w:spacing w:line="259" w:lineRule="auto"/>
              <w:jc w:val="both"/>
              <w:rPr>
                <w:rFonts w:ascii="Garamond" w:hAnsi="Garamond"/>
                <w:b/>
                <w:bCs/>
                <w:iCs/>
                <w:sz w:val="20"/>
                <w:szCs w:val="20"/>
                <w:lang w:val="en-GB"/>
              </w:rPr>
            </w:pPr>
            <w:r w:rsidRPr="008D0E7E">
              <w:rPr>
                <w:rFonts w:ascii="Garamond" w:hAnsi="Garamond"/>
                <w:b/>
                <w:bCs/>
                <w:iCs/>
                <w:sz w:val="20"/>
                <w:szCs w:val="20"/>
                <w:lang w:val="en-GB"/>
              </w:rPr>
              <w:t>Country (City)</w:t>
            </w:r>
          </w:p>
        </w:tc>
        <w:tc>
          <w:tcPr>
            <w:tcW w:w="1674" w:type="dxa"/>
            <w:tcBorders>
              <w:top w:val="single" w:sz="2" w:space="0" w:color="auto"/>
              <w:bottom w:val="single" w:sz="2" w:space="0" w:color="auto"/>
            </w:tcBorders>
          </w:tcPr>
          <w:p w14:paraId="17F5E53F" w14:textId="77777777" w:rsidR="008D0E7E" w:rsidRPr="008D0E7E" w:rsidRDefault="008D0E7E" w:rsidP="008D0E7E">
            <w:pPr>
              <w:spacing w:line="259" w:lineRule="auto"/>
              <w:jc w:val="both"/>
              <w:rPr>
                <w:rFonts w:ascii="Garamond" w:hAnsi="Garamond"/>
                <w:b/>
                <w:bCs/>
                <w:iCs/>
                <w:sz w:val="20"/>
                <w:szCs w:val="20"/>
                <w:lang w:val="en-GB"/>
              </w:rPr>
            </w:pPr>
            <w:r w:rsidRPr="008D0E7E">
              <w:rPr>
                <w:rFonts w:ascii="Garamond" w:hAnsi="Garamond"/>
                <w:b/>
                <w:bCs/>
                <w:iCs/>
                <w:sz w:val="20"/>
                <w:szCs w:val="20"/>
                <w:lang w:val="en-GB"/>
              </w:rPr>
              <w:t>Study Design</w:t>
            </w:r>
          </w:p>
        </w:tc>
        <w:tc>
          <w:tcPr>
            <w:tcW w:w="1236" w:type="dxa"/>
            <w:tcBorders>
              <w:top w:val="single" w:sz="2" w:space="0" w:color="auto"/>
              <w:bottom w:val="single" w:sz="2" w:space="0" w:color="auto"/>
            </w:tcBorders>
          </w:tcPr>
          <w:p w14:paraId="4F68592F" w14:textId="77777777" w:rsidR="008D0E7E" w:rsidRPr="008D0E7E" w:rsidRDefault="008D0E7E" w:rsidP="008D0E7E">
            <w:pPr>
              <w:spacing w:line="259" w:lineRule="auto"/>
              <w:jc w:val="both"/>
              <w:rPr>
                <w:rFonts w:ascii="Garamond" w:hAnsi="Garamond"/>
                <w:b/>
                <w:bCs/>
                <w:iCs/>
                <w:sz w:val="20"/>
                <w:szCs w:val="20"/>
                <w:lang w:val="en-GB"/>
              </w:rPr>
            </w:pPr>
            <w:r w:rsidRPr="008D0E7E">
              <w:rPr>
                <w:rFonts w:ascii="Garamond" w:hAnsi="Garamond"/>
                <w:b/>
                <w:bCs/>
                <w:iCs/>
                <w:sz w:val="20"/>
                <w:szCs w:val="20"/>
                <w:lang w:val="en-GB"/>
              </w:rPr>
              <w:t>Sample Size</w:t>
            </w:r>
          </w:p>
        </w:tc>
        <w:tc>
          <w:tcPr>
            <w:tcW w:w="2289" w:type="dxa"/>
            <w:tcBorders>
              <w:top w:val="single" w:sz="2" w:space="0" w:color="auto"/>
              <w:bottom w:val="single" w:sz="2" w:space="0" w:color="auto"/>
            </w:tcBorders>
          </w:tcPr>
          <w:p w14:paraId="71323BDC" w14:textId="77777777" w:rsidR="008D0E7E" w:rsidRPr="008D0E7E" w:rsidRDefault="008D0E7E" w:rsidP="008D0E7E">
            <w:pPr>
              <w:spacing w:line="259" w:lineRule="auto"/>
              <w:jc w:val="both"/>
              <w:rPr>
                <w:rFonts w:ascii="Garamond" w:hAnsi="Garamond"/>
                <w:b/>
                <w:bCs/>
                <w:iCs/>
                <w:sz w:val="20"/>
                <w:szCs w:val="20"/>
                <w:lang w:val="en-GB"/>
              </w:rPr>
            </w:pPr>
            <w:r w:rsidRPr="008D0E7E">
              <w:rPr>
                <w:rFonts w:ascii="Garamond" w:hAnsi="Garamond"/>
                <w:b/>
                <w:bCs/>
                <w:iCs/>
                <w:sz w:val="20"/>
                <w:szCs w:val="20"/>
                <w:lang w:val="en-GB"/>
              </w:rPr>
              <w:t>Data Collection Instrument</w:t>
            </w:r>
          </w:p>
        </w:tc>
        <w:tc>
          <w:tcPr>
            <w:tcW w:w="1605" w:type="dxa"/>
            <w:tcBorders>
              <w:top w:val="single" w:sz="2" w:space="0" w:color="auto"/>
              <w:bottom w:val="single" w:sz="2" w:space="0" w:color="auto"/>
            </w:tcBorders>
          </w:tcPr>
          <w:p w14:paraId="2F2F5452" w14:textId="77777777" w:rsidR="008D0E7E" w:rsidRPr="008D0E7E" w:rsidRDefault="008D0E7E" w:rsidP="008D0E7E">
            <w:pPr>
              <w:spacing w:line="259" w:lineRule="auto"/>
              <w:jc w:val="both"/>
              <w:rPr>
                <w:rFonts w:ascii="Garamond" w:hAnsi="Garamond"/>
                <w:b/>
                <w:bCs/>
                <w:iCs/>
                <w:sz w:val="20"/>
                <w:szCs w:val="20"/>
                <w:lang w:val="en-GB"/>
              </w:rPr>
            </w:pPr>
            <w:r w:rsidRPr="008D0E7E">
              <w:rPr>
                <w:rFonts w:ascii="Garamond" w:hAnsi="Garamond"/>
                <w:b/>
                <w:bCs/>
                <w:iCs/>
                <w:sz w:val="20"/>
                <w:szCs w:val="20"/>
                <w:lang w:val="en-GB"/>
              </w:rPr>
              <w:t>Prevalence of MSD</w:t>
            </w:r>
          </w:p>
        </w:tc>
        <w:tc>
          <w:tcPr>
            <w:tcW w:w="1917" w:type="dxa"/>
            <w:tcBorders>
              <w:top w:val="single" w:sz="2" w:space="0" w:color="auto"/>
              <w:bottom w:val="single" w:sz="2" w:space="0" w:color="auto"/>
            </w:tcBorders>
          </w:tcPr>
          <w:p w14:paraId="45C288C2" w14:textId="77777777" w:rsidR="008D0E7E" w:rsidRPr="008D0E7E" w:rsidRDefault="008D0E7E" w:rsidP="008D0E7E">
            <w:pPr>
              <w:spacing w:line="259" w:lineRule="auto"/>
              <w:jc w:val="both"/>
              <w:rPr>
                <w:rFonts w:ascii="Garamond" w:hAnsi="Garamond"/>
                <w:b/>
                <w:bCs/>
                <w:iCs/>
                <w:sz w:val="20"/>
                <w:szCs w:val="20"/>
                <w:lang w:val="en-GB"/>
              </w:rPr>
            </w:pPr>
            <w:r w:rsidRPr="008D0E7E">
              <w:rPr>
                <w:rFonts w:ascii="Garamond" w:hAnsi="Garamond"/>
                <w:b/>
                <w:bCs/>
                <w:iCs/>
                <w:sz w:val="20"/>
                <w:szCs w:val="20"/>
                <w:lang w:val="en-GB"/>
              </w:rPr>
              <w:t>Diagnostic criteria for MSD</w:t>
            </w:r>
          </w:p>
        </w:tc>
        <w:tc>
          <w:tcPr>
            <w:tcW w:w="1442" w:type="dxa"/>
            <w:tcBorders>
              <w:top w:val="single" w:sz="2" w:space="0" w:color="auto"/>
              <w:bottom w:val="single" w:sz="2" w:space="0" w:color="auto"/>
            </w:tcBorders>
          </w:tcPr>
          <w:p w14:paraId="53055271" w14:textId="77777777" w:rsidR="008D0E7E" w:rsidRPr="008D0E7E" w:rsidRDefault="008D0E7E" w:rsidP="008D0E7E">
            <w:pPr>
              <w:spacing w:line="259" w:lineRule="auto"/>
              <w:jc w:val="both"/>
              <w:rPr>
                <w:rFonts w:ascii="Garamond" w:hAnsi="Garamond"/>
                <w:b/>
                <w:bCs/>
                <w:iCs/>
                <w:sz w:val="20"/>
                <w:szCs w:val="20"/>
                <w:lang w:val="en-GB"/>
              </w:rPr>
            </w:pPr>
            <w:r w:rsidRPr="008D0E7E">
              <w:rPr>
                <w:rFonts w:ascii="Garamond" w:hAnsi="Garamond"/>
                <w:b/>
                <w:bCs/>
                <w:iCs/>
                <w:sz w:val="20"/>
                <w:szCs w:val="20"/>
                <w:lang w:val="en-GB"/>
              </w:rPr>
              <w:t>MSD Types</w:t>
            </w:r>
          </w:p>
        </w:tc>
      </w:tr>
      <w:tr w:rsidR="008D0E7E" w:rsidRPr="008D0E7E" w14:paraId="67381554" w14:textId="77777777" w:rsidTr="00644A43">
        <w:trPr>
          <w:trHeight w:val="283"/>
        </w:trPr>
        <w:tc>
          <w:tcPr>
            <w:tcW w:w="1540" w:type="dxa"/>
            <w:tcBorders>
              <w:top w:val="single" w:sz="2" w:space="0" w:color="auto"/>
            </w:tcBorders>
          </w:tcPr>
          <w:p w14:paraId="2CD23635"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Kaka B et al.</w:t>
            </w:r>
          </w:p>
        </w:tc>
        <w:tc>
          <w:tcPr>
            <w:tcW w:w="0" w:type="auto"/>
            <w:tcBorders>
              <w:top w:val="single" w:sz="2" w:space="0" w:color="auto"/>
            </w:tcBorders>
          </w:tcPr>
          <w:p w14:paraId="1776541E"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2016</w:t>
            </w:r>
          </w:p>
        </w:tc>
        <w:tc>
          <w:tcPr>
            <w:tcW w:w="0" w:type="auto"/>
            <w:tcBorders>
              <w:top w:val="single" w:sz="2" w:space="0" w:color="auto"/>
            </w:tcBorders>
          </w:tcPr>
          <w:p w14:paraId="3185B39A"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Nigeria (Kano)</w:t>
            </w:r>
          </w:p>
        </w:tc>
        <w:tc>
          <w:tcPr>
            <w:tcW w:w="1674" w:type="dxa"/>
            <w:tcBorders>
              <w:top w:val="single" w:sz="2" w:space="0" w:color="auto"/>
            </w:tcBorders>
          </w:tcPr>
          <w:p w14:paraId="7147F754"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Cross-sectional</w:t>
            </w:r>
          </w:p>
        </w:tc>
        <w:tc>
          <w:tcPr>
            <w:tcW w:w="1236" w:type="dxa"/>
            <w:tcBorders>
              <w:top w:val="single" w:sz="2" w:space="0" w:color="auto"/>
            </w:tcBorders>
          </w:tcPr>
          <w:p w14:paraId="70E8504B"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102</w:t>
            </w:r>
          </w:p>
        </w:tc>
        <w:tc>
          <w:tcPr>
            <w:tcW w:w="2289" w:type="dxa"/>
            <w:tcBorders>
              <w:top w:val="single" w:sz="2" w:space="0" w:color="auto"/>
            </w:tcBorders>
          </w:tcPr>
          <w:p w14:paraId="1B5D33FA"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Structured questionnaire (Nordic)</w:t>
            </w:r>
          </w:p>
        </w:tc>
        <w:tc>
          <w:tcPr>
            <w:tcW w:w="1605" w:type="dxa"/>
            <w:tcBorders>
              <w:top w:val="single" w:sz="2" w:space="0" w:color="auto"/>
            </w:tcBorders>
          </w:tcPr>
          <w:p w14:paraId="619FB27E"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12-month: 88.2%; Point: 74.5%; Lower back: 66.7%</w:t>
            </w:r>
          </w:p>
        </w:tc>
        <w:tc>
          <w:tcPr>
            <w:tcW w:w="1917" w:type="dxa"/>
            <w:tcBorders>
              <w:top w:val="single" w:sz="2" w:space="0" w:color="auto"/>
            </w:tcBorders>
          </w:tcPr>
          <w:p w14:paraId="468F8036"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Standardized Nordic Musculoskeletal Questionnaire</w:t>
            </w:r>
          </w:p>
        </w:tc>
        <w:tc>
          <w:tcPr>
            <w:tcW w:w="1442" w:type="dxa"/>
            <w:tcBorders>
              <w:top w:val="single" w:sz="2" w:space="0" w:color="auto"/>
            </w:tcBorders>
          </w:tcPr>
          <w:p w14:paraId="0A367BCD"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Lower back, wrist/hand, hip/thigh, knee, ankle/foot</w:t>
            </w:r>
          </w:p>
        </w:tc>
      </w:tr>
      <w:tr w:rsidR="008D0E7E" w:rsidRPr="008D0E7E" w14:paraId="31DDB1C8" w14:textId="77777777" w:rsidTr="00644A43">
        <w:trPr>
          <w:trHeight w:val="274"/>
        </w:trPr>
        <w:tc>
          <w:tcPr>
            <w:tcW w:w="1540" w:type="dxa"/>
          </w:tcPr>
          <w:p w14:paraId="6D9717A5"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Öz F et al.</w:t>
            </w:r>
          </w:p>
        </w:tc>
        <w:tc>
          <w:tcPr>
            <w:tcW w:w="0" w:type="auto"/>
          </w:tcPr>
          <w:p w14:paraId="587316DE"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2021</w:t>
            </w:r>
          </w:p>
        </w:tc>
        <w:tc>
          <w:tcPr>
            <w:tcW w:w="0" w:type="auto"/>
          </w:tcPr>
          <w:p w14:paraId="52411B4A"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Turkey (Hatay)</w:t>
            </w:r>
          </w:p>
        </w:tc>
        <w:tc>
          <w:tcPr>
            <w:tcW w:w="1674" w:type="dxa"/>
          </w:tcPr>
          <w:p w14:paraId="26C0BB27"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Cross-sectional</w:t>
            </w:r>
          </w:p>
        </w:tc>
        <w:tc>
          <w:tcPr>
            <w:tcW w:w="1236" w:type="dxa"/>
          </w:tcPr>
          <w:p w14:paraId="4AD895C4"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69</w:t>
            </w:r>
          </w:p>
        </w:tc>
        <w:tc>
          <w:tcPr>
            <w:tcW w:w="2289" w:type="dxa"/>
          </w:tcPr>
          <w:p w14:paraId="71F66ECB"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Face-to-face 32-item questionnaire</w:t>
            </w:r>
          </w:p>
        </w:tc>
        <w:tc>
          <w:tcPr>
            <w:tcW w:w="1605" w:type="dxa"/>
          </w:tcPr>
          <w:p w14:paraId="160565D9"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Hand/finger: 60.9%; Back pain: frequent (no %)</w:t>
            </w:r>
          </w:p>
        </w:tc>
        <w:tc>
          <w:tcPr>
            <w:tcW w:w="1917" w:type="dxa"/>
          </w:tcPr>
          <w:p w14:paraId="6820F24C"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Self-reported injuries</w:t>
            </w:r>
          </w:p>
        </w:tc>
        <w:tc>
          <w:tcPr>
            <w:tcW w:w="1442" w:type="dxa"/>
          </w:tcPr>
          <w:p w14:paraId="52FC3DDA"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Hand/finger injuries, back pain</w:t>
            </w:r>
          </w:p>
        </w:tc>
      </w:tr>
      <w:tr w:rsidR="008D0E7E" w:rsidRPr="008D0E7E" w14:paraId="22A7975C" w14:textId="77777777" w:rsidTr="00644A43">
        <w:trPr>
          <w:trHeight w:val="274"/>
        </w:trPr>
        <w:tc>
          <w:tcPr>
            <w:tcW w:w="1540" w:type="dxa"/>
          </w:tcPr>
          <w:p w14:paraId="20FA1A7A"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Saleem Z et al.</w:t>
            </w:r>
          </w:p>
        </w:tc>
        <w:tc>
          <w:tcPr>
            <w:tcW w:w="0" w:type="auto"/>
          </w:tcPr>
          <w:p w14:paraId="35D68579"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2020</w:t>
            </w:r>
          </w:p>
        </w:tc>
        <w:tc>
          <w:tcPr>
            <w:tcW w:w="0" w:type="auto"/>
          </w:tcPr>
          <w:p w14:paraId="01CB53EB"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Pakistan (Lahore)</w:t>
            </w:r>
          </w:p>
        </w:tc>
        <w:tc>
          <w:tcPr>
            <w:tcW w:w="1674" w:type="dxa"/>
          </w:tcPr>
          <w:p w14:paraId="705F137E"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Cross-sectional</w:t>
            </w:r>
          </w:p>
        </w:tc>
        <w:tc>
          <w:tcPr>
            <w:tcW w:w="1236" w:type="dxa"/>
          </w:tcPr>
          <w:p w14:paraId="0A7BC0AA"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150</w:t>
            </w:r>
          </w:p>
        </w:tc>
        <w:tc>
          <w:tcPr>
            <w:tcW w:w="2289" w:type="dxa"/>
          </w:tcPr>
          <w:p w14:paraId="489AF5ED"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Standardized Nordic Musculoskeletal Questionnaire</w:t>
            </w:r>
          </w:p>
        </w:tc>
        <w:tc>
          <w:tcPr>
            <w:tcW w:w="1605" w:type="dxa"/>
          </w:tcPr>
          <w:p w14:paraId="7BD95977"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Shoulder: 44.0%, Lower back: 42.0%, others 10–30%</w:t>
            </w:r>
          </w:p>
        </w:tc>
        <w:tc>
          <w:tcPr>
            <w:tcW w:w="1917" w:type="dxa"/>
          </w:tcPr>
          <w:p w14:paraId="5C4A184C"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Standardized Nordic questionnaire (self-report)</w:t>
            </w:r>
          </w:p>
        </w:tc>
        <w:tc>
          <w:tcPr>
            <w:tcW w:w="1442" w:type="dxa"/>
          </w:tcPr>
          <w:p w14:paraId="2193155F"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Neck, shoulder, elbow, wrist/hand, back, hip, knee, ankle</w:t>
            </w:r>
          </w:p>
        </w:tc>
      </w:tr>
      <w:tr w:rsidR="008D0E7E" w:rsidRPr="008D0E7E" w14:paraId="6EE40B10" w14:textId="77777777" w:rsidTr="00644A43">
        <w:trPr>
          <w:trHeight w:val="274"/>
        </w:trPr>
        <w:tc>
          <w:tcPr>
            <w:tcW w:w="1540" w:type="dxa"/>
          </w:tcPr>
          <w:p w14:paraId="12666098"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 xml:space="preserve">Johnson OE, </w:t>
            </w:r>
            <w:proofErr w:type="spellStart"/>
            <w:r w:rsidRPr="008D0E7E">
              <w:rPr>
                <w:rFonts w:ascii="Garamond" w:hAnsi="Garamond"/>
                <w:iCs/>
                <w:sz w:val="20"/>
                <w:szCs w:val="20"/>
                <w:lang w:val="en-GB"/>
              </w:rPr>
              <w:t>Etokidem</w:t>
            </w:r>
            <w:proofErr w:type="spellEnd"/>
            <w:r w:rsidRPr="008D0E7E">
              <w:rPr>
                <w:rFonts w:ascii="Garamond" w:hAnsi="Garamond"/>
                <w:iCs/>
                <w:sz w:val="20"/>
                <w:szCs w:val="20"/>
                <w:lang w:val="en-GB"/>
              </w:rPr>
              <w:t xml:space="preserve"> AJ</w:t>
            </w:r>
          </w:p>
        </w:tc>
        <w:tc>
          <w:tcPr>
            <w:tcW w:w="0" w:type="auto"/>
          </w:tcPr>
          <w:p w14:paraId="7C945539"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2019</w:t>
            </w:r>
          </w:p>
        </w:tc>
        <w:tc>
          <w:tcPr>
            <w:tcW w:w="0" w:type="auto"/>
          </w:tcPr>
          <w:p w14:paraId="619659C6"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Nigeria (</w:t>
            </w:r>
            <w:proofErr w:type="spellStart"/>
            <w:r w:rsidRPr="008D0E7E">
              <w:rPr>
                <w:rFonts w:ascii="Garamond" w:hAnsi="Garamond"/>
                <w:iCs/>
                <w:sz w:val="20"/>
                <w:szCs w:val="20"/>
                <w:lang w:val="en-GB"/>
              </w:rPr>
              <w:t>Uyo</w:t>
            </w:r>
            <w:proofErr w:type="spellEnd"/>
            <w:r w:rsidRPr="008D0E7E">
              <w:rPr>
                <w:rFonts w:ascii="Garamond" w:hAnsi="Garamond"/>
                <w:iCs/>
                <w:sz w:val="20"/>
                <w:szCs w:val="20"/>
                <w:lang w:val="en-GB"/>
              </w:rPr>
              <w:t>)</w:t>
            </w:r>
          </w:p>
        </w:tc>
        <w:tc>
          <w:tcPr>
            <w:tcW w:w="1674" w:type="dxa"/>
          </w:tcPr>
          <w:p w14:paraId="5FFEFAB0"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Cross-sectional</w:t>
            </w:r>
          </w:p>
        </w:tc>
        <w:tc>
          <w:tcPr>
            <w:tcW w:w="1236" w:type="dxa"/>
          </w:tcPr>
          <w:p w14:paraId="53E41225"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157</w:t>
            </w:r>
          </w:p>
        </w:tc>
        <w:tc>
          <w:tcPr>
            <w:tcW w:w="2289" w:type="dxa"/>
          </w:tcPr>
          <w:p w14:paraId="6F98F7F8"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Semi-structured questionnaire</w:t>
            </w:r>
          </w:p>
        </w:tc>
        <w:tc>
          <w:tcPr>
            <w:tcW w:w="1605" w:type="dxa"/>
          </w:tcPr>
          <w:p w14:paraId="5A6DDFD3"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Neck pain: 36.9%, Back pain: linked to cow handling</w:t>
            </w:r>
          </w:p>
        </w:tc>
        <w:tc>
          <w:tcPr>
            <w:tcW w:w="1917" w:type="dxa"/>
          </w:tcPr>
          <w:p w14:paraId="44308FDF"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Self-reported pain and injuries</w:t>
            </w:r>
          </w:p>
        </w:tc>
        <w:tc>
          <w:tcPr>
            <w:tcW w:w="1442" w:type="dxa"/>
          </w:tcPr>
          <w:p w14:paraId="160C3F46"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Neck pain, back pain</w:t>
            </w:r>
          </w:p>
        </w:tc>
      </w:tr>
      <w:tr w:rsidR="008D0E7E" w:rsidRPr="008D0E7E" w14:paraId="378FE92D" w14:textId="77777777" w:rsidTr="00644A43">
        <w:trPr>
          <w:trHeight w:val="283"/>
        </w:trPr>
        <w:tc>
          <w:tcPr>
            <w:tcW w:w="1540" w:type="dxa"/>
          </w:tcPr>
          <w:p w14:paraId="3D894C37"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Shamsi T et al.</w:t>
            </w:r>
          </w:p>
        </w:tc>
        <w:tc>
          <w:tcPr>
            <w:tcW w:w="0" w:type="auto"/>
          </w:tcPr>
          <w:p w14:paraId="573DA6EE"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2022</w:t>
            </w:r>
          </w:p>
        </w:tc>
        <w:tc>
          <w:tcPr>
            <w:tcW w:w="0" w:type="auto"/>
          </w:tcPr>
          <w:p w14:paraId="7339E734"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Bangladesh (Dhaka)</w:t>
            </w:r>
          </w:p>
        </w:tc>
        <w:tc>
          <w:tcPr>
            <w:tcW w:w="1674" w:type="dxa"/>
          </w:tcPr>
          <w:p w14:paraId="0F67A191"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Cross-sectional</w:t>
            </w:r>
          </w:p>
        </w:tc>
        <w:tc>
          <w:tcPr>
            <w:tcW w:w="1236" w:type="dxa"/>
          </w:tcPr>
          <w:p w14:paraId="15ADEBE7"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124</w:t>
            </w:r>
          </w:p>
        </w:tc>
        <w:tc>
          <w:tcPr>
            <w:tcW w:w="2289" w:type="dxa"/>
          </w:tcPr>
          <w:p w14:paraId="4C3FC78C"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Nordic Questionnaire + Job Content Questionnaire</w:t>
            </w:r>
          </w:p>
        </w:tc>
        <w:tc>
          <w:tcPr>
            <w:tcW w:w="1605" w:type="dxa"/>
          </w:tcPr>
          <w:p w14:paraId="45D71C67"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Wrist: 60%, Back: 61%, Shoulder: 62%, Neck: 51%</w:t>
            </w:r>
          </w:p>
        </w:tc>
        <w:tc>
          <w:tcPr>
            <w:tcW w:w="1917" w:type="dxa"/>
          </w:tcPr>
          <w:p w14:paraId="68696D63"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Self-reported symptoms (Nordic)</w:t>
            </w:r>
          </w:p>
        </w:tc>
        <w:tc>
          <w:tcPr>
            <w:tcW w:w="1442" w:type="dxa"/>
          </w:tcPr>
          <w:p w14:paraId="2F96643B"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Wrist, back, shoulder, neck pain</w:t>
            </w:r>
          </w:p>
        </w:tc>
      </w:tr>
      <w:tr w:rsidR="008D0E7E" w:rsidRPr="008D0E7E" w14:paraId="1B0F8540" w14:textId="77777777" w:rsidTr="00644A43">
        <w:trPr>
          <w:trHeight w:val="274"/>
        </w:trPr>
        <w:tc>
          <w:tcPr>
            <w:tcW w:w="1540" w:type="dxa"/>
            <w:tcBorders>
              <w:bottom w:val="single" w:sz="2" w:space="0" w:color="auto"/>
            </w:tcBorders>
          </w:tcPr>
          <w:p w14:paraId="26F1309A"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Hayder A et al.</w:t>
            </w:r>
          </w:p>
        </w:tc>
        <w:tc>
          <w:tcPr>
            <w:tcW w:w="0" w:type="auto"/>
            <w:tcBorders>
              <w:bottom w:val="single" w:sz="2" w:space="0" w:color="auto"/>
            </w:tcBorders>
          </w:tcPr>
          <w:p w14:paraId="0DE241D7"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2022</w:t>
            </w:r>
          </w:p>
        </w:tc>
        <w:tc>
          <w:tcPr>
            <w:tcW w:w="0" w:type="auto"/>
            <w:tcBorders>
              <w:bottom w:val="single" w:sz="2" w:space="0" w:color="auto"/>
            </w:tcBorders>
          </w:tcPr>
          <w:p w14:paraId="3C0489EE"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Pakistan</w:t>
            </w:r>
          </w:p>
        </w:tc>
        <w:tc>
          <w:tcPr>
            <w:tcW w:w="1674" w:type="dxa"/>
            <w:tcBorders>
              <w:bottom w:val="single" w:sz="2" w:space="0" w:color="auto"/>
            </w:tcBorders>
          </w:tcPr>
          <w:p w14:paraId="152C4B7A"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 xml:space="preserve">Cross-sectional </w:t>
            </w:r>
          </w:p>
        </w:tc>
        <w:tc>
          <w:tcPr>
            <w:tcW w:w="1236" w:type="dxa"/>
            <w:tcBorders>
              <w:bottom w:val="single" w:sz="2" w:space="0" w:color="auto"/>
            </w:tcBorders>
          </w:tcPr>
          <w:p w14:paraId="5F583CE4"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400</w:t>
            </w:r>
          </w:p>
        </w:tc>
        <w:tc>
          <w:tcPr>
            <w:tcW w:w="2289" w:type="dxa"/>
            <w:tcBorders>
              <w:bottom w:val="single" w:sz="2" w:space="0" w:color="auto"/>
            </w:tcBorders>
          </w:tcPr>
          <w:p w14:paraId="5724F229"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CTS questionnaire, VAS, Boston CTS Questionnaire</w:t>
            </w:r>
          </w:p>
        </w:tc>
        <w:tc>
          <w:tcPr>
            <w:tcW w:w="1605" w:type="dxa"/>
            <w:tcBorders>
              <w:bottom w:val="single" w:sz="2" w:space="0" w:color="auto"/>
            </w:tcBorders>
          </w:tcPr>
          <w:p w14:paraId="3F6AE7FC"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CTS: 10.3%</w:t>
            </w:r>
          </w:p>
        </w:tc>
        <w:tc>
          <w:tcPr>
            <w:tcW w:w="1917" w:type="dxa"/>
            <w:tcBorders>
              <w:bottom w:val="single" w:sz="2" w:space="0" w:color="auto"/>
            </w:tcBorders>
          </w:tcPr>
          <w:p w14:paraId="03528744"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Tinel’s, Phalen’s tests, nerve conduction studies</w:t>
            </w:r>
          </w:p>
        </w:tc>
        <w:tc>
          <w:tcPr>
            <w:tcW w:w="1442" w:type="dxa"/>
            <w:tcBorders>
              <w:bottom w:val="single" w:sz="2" w:space="0" w:color="auto"/>
            </w:tcBorders>
          </w:tcPr>
          <w:p w14:paraId="101BF194" w14:textId="77777777" w:rsidR="008D0E7E" w:rsidRPr="008D0E7E" w:rsidRDefault="008D0E7E" w:rsidP="008D0E7E">
            <w:pPr>
              <w:spacing w:line="259" w:lineRule="auto"/>
              <w:jc w:val="both"/>
              <w:rPr>
                <w:rFonts w:ascii="Garamond" w:hAnsi="Garamond"/>
                <w:iCs/>
                <w:sz w:val="20"/>
                <w:szCs w:val="20"/>
                <w:lang w:val="en-GB"/>
              </w:rPr>
            </w:pPr>
            <w:r w:rsidRPr="008D0E7E">
              <w:rPr>
                <w:rFonts w:ascii="Garamond" w:hAnsi="Garamond"/>
                <w:iCs/>
                <w:sz w:val="20"/>
                <w:szCs w:val="20"/>
                <w:lang w:val="en-GB"/>
              </w:rPr>
              <w:t>Carpal Tunnel Syndrome (CTS)</w:t>
            </w:r>
          </w:p>
        </w:tc>
      </w:tr>
    </w:tbl>
    <w:p w14:paraId="3D77A17F" w14:textId="053C2C4A" w:rsidR="008D0E7E" w:rsidRPr="008D0E7E" w:rsidRDefault="008D0E7E" w:rsidP="008D0E7E">
      <w:pPr>
        <w:spacing w:line="259" w:lineRule="auto"/>
        <w:jc w:val="both"/>
        <w:rPr>
          <w:rFonts w:ascii="Garamond" w:hAnsi="Garamond"/>
          <w:b/>
          <w:bCs/>
          <w:iCs/>
          <w:sz w:val="20"/>
          <w:szCs w:val="20"/>
          <w:lang w:val="en-GB"/>
        </w:rPr>
        <w:sectPr w:rsidR="008D0E7E" w:rsidRPr="008D0E7E" w:rsidSect="000B3409">
          <w:pgSz w:w="15840" w:h="12240" w:orient="landscape" w:code="1"/>
          <w:pgMar w:top="1440" w:right="1440" w:bottom="1440" w:left="1440" w:header="720" w:footer="720" w:gutter="0"/>
          <w:pgNumType w:chapStyle="1"/>
          <w:cols w:space="720"/>
          <w:titlePg/>
          <w:docGrid w:linePitch="360"/>
        </w:sectPr>
      </w:pPr>
    </w:p>
    <w:p w14:paraId="707BC874" w14:textId="77777777" w:rsidR="008D0E7E" w:rsidRPr="008D0E7E" w:rsidRDefault="008D0E7E" w:rsidP="008D0E7E">
      <w:pPr>
        <w:spacing w:line="259" w:lineRule="auto"/>
        <w:jc w:val="both"/>
        <w:rPr>
          <w:rFonts w:ascii="Garamond" w:hAnsi="Garamond"/>
          <w:b/>
          <w:bCs/>
          <w:iCs/>
          <w:sz w:val="20"/>
          <w:szCs w:val="20"/>
          <w:lang w:val="en-GB"/>
        </w:rPr>
      </w:pPr>
      <w:r w:rsidRPr="008D0E7E">
        <w:rPr>
          <w:rFonts w:ascii="Garamond" w:hAnsi="Garamond"/>
          <w:b/>
          <w:bCs/>
          <w:iCs/>
          <w:sz w:val="20"/>
          <w:szCs w:val="20"/>
          <w:lang w:val="en-GB"/>
        </w:rPr>
        <w:lastRenderedPageBreak/>
        <w:t xml:space="preserve">Table 2: </w:t>
      </w:r>
      <w:r w:rsidRPr="008D0E7E">
        <w:rPr>
          <w:rFonts w:ascii="Garamond" w:hAnsi="Garamond"/>
          <w:iCs/>
          <w:sz w:val="20"/>
          <w:szCs w:val="20"/>
          <w:lang w:val="en-GB"/>
        </w:rPr>
        <w:t>Key findings (summary)</w:t>
      </w:r>
    </w:p>
    <w:tbl>
      <w:tblPr>
        <w:tblStyle w:val="TableGrid"/>
        <w:tblW w:w="10490" w:type="dxa"/>
        <w:tblInd w:w="-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606"/>
        <w:gridCol w:w="1098"/>
        <w:gridCol w:w="2407"/>
        <w:gridCol w:w="2835"/>
        <w:gridCol w:w="2268"/>
      </w:tblGrid>
      <w:tr w:rsidR="008D0E7E" w:rsidRPr="008D0E7E" w14:paraId="76D1469C" w14:textId="77777777" w:rsidTr="00644A43">
        <w:trPr>
          <w:trHeight w:val="370"/>
        </w:trPr>
        <w:tc>
          <w:tcPr>
            <w:tcW w:w="1276" w:type="dxa"/>
            <w:tcBorders>
              <w:top w:val="single" w:sz="4" w:space="0" w:color="auto"/>
              <w:bottom w:val="single" w:sz="4" w:space="0" w:color="auto"/>
            </w:tcBorders>
          </w:tcPr>
          <w:p w14:paraId="57C60579" w14:textId="77777777" w:rsidR="008D0E7E" w:rsidRPr="008D0E7E" w:rsidRDefault="008D0E7E" w:rsidP="00644A43">
            <w:pPr>
              <w:spacing w:line="259" w:lineRule="auto"/>
              <w:jc w:val="both"/>
              <w:rPr>
                <w:rFonts w:ascii="Garamond" w:hAnsi="Garamond"/>
                <w:b/>
                <w:bCs/>
                <w:iCs/>
                <w:sz w:val="20"/>
                <w:szCs w:val="20"/>
                <w:lang w:val="en-GB"/>
              </w:rPr>
            </w:pPr>
            <w:r w:rsidRPr="008D0E7E">
              <w:rPr>
                <w:rFonts w:ascii="Garamond" w:hAnsi="Garamond"/>
                <w:b/>
                <w:bCs/>
                <w:iCs/>
                <w:sz w:val="20"/>
                <w:szCs w:val="20"/>
                <w:lang w:val="en-GB"/>
              </w:rPr>
              <w:t>Authors</w:t>
            </w:r>
          </w:p>
        </w:tc>
        <w:tc>
          <w:tcPr>
            <w:tcW w:w="606" w:type="dxa"/>
            <w:tcBorders>
              <w:top w:val="single" w:sz="4" w:space="0" w:color="auto"/>
              <w:bottom w:val="single" w:sz="4" w:space="0" w:color="auto"/>
            </w:tcBorders>
          </w:tcPr>
          <w:p w14:paraId="62CCCC32" w14:textId="77777777" w:rsidR="008D0E7E" w:rsidRPr="008D0E7E" w:rsidRDefault="008D0E7E" w:rsidP="00644A43">
            <w:pPr>
              <w:spacing w:line="259" w:lineRule="auto"/>
              <w:jc w:val="both"/>
              <w:rPr>
                <w:rFonts w:ascii="Garamond" w:hAnsi="Garamond"/>
                <w:b/>
                <w:bCs/>
                <w:iCs/>
                <w:sz w:val="20"/>
                <w:szCs w:val="20"/>
                <w:lang w:val="en-GB"/>
              </w:rPr>
            </w:pPr>
            <w:r w:rsidRPr="008D0E7E">
              <w:rPr>
                <w:rFonts w:ascii="Garamond" w:hAnsi="Garamond"/>
                <w:b/>
                <w:bCs/>
                <w:iCs/>
                <w:sz w:val="20"/>
                <w:szCs w:val="20"/>
                <w:lang w:val="en-GB"/>
              </w:rPr>
              <w:t>Year</w:t>
            </w:r>
          </w:p>
        </w:tc>
        <w:tc>
          <w:tcPr>
            <w:tcW w:w="1098" w:type="dxa"/>
            <w:tcBorders>
              <w:top w:val="single" w:sz="4" w:space="0" w:color="auto"/>
              <w:bottom w:val="single" w:sz="4" w:space="0" w:color="auto"/>
            </w:tcBorders>
          </w:tcPr>
          <w:p w14:paraId="65C280D0" w14:textId="77777777" w:rsidR="008D0E7E" w:rsidRPr="008D0E7E" w:rsidRDefault="008D0E7E" w:rsidP="00644A43">
            <w:pPr>
              <w:spacing w:line="259" w:lineRule="auto"/>
              <w:jc w:val="both"/>
              <w:rPr>
                <w:rFonts w:ascii="Garamond" w:hAnsi="Garamond"/>
                <w:b/>
                <w:bCs/>
                <w:iCs/>
                <w:sz w:val="20"/>
                <w:szCs w:val="20"/>
                <w:lang w:val="en-GB"/>
              </w:rPr>
            </w:pPr>
            <w:r w:rsidRPr="008D0E7E">
              <w:rPr>
                <w:rFonts w:ascii="Garamond" w:hAnsi="Garamond"/>
                <w:b/>
                <w:bCs/>
                <w:iCs/>
                <w:sz w:val="20"/>
                <w:szCs w:val="20"/>
                <w:lang w:val="en-GB"/>
              </w:rPr>
              <w:t>Country</w:t>
            </w:r>
          </w:p>
        </w:tc>
        <w:tc>
          <w:tcPr>
            <w:tcW w:w="2407" w:type="dxa"/>
            <w:tcBorders>
              <w:top w:val="single" w:sz="4" w:space="0" w:color="auto"/>
              <w:bottom w:val="single" w:sz="4" w:space="0" w:color="auto"/>
            </w:tcBorders>
          </w:tcPr>
          <w:p w14:paraId="71D4A5EB" w14:textId="77777777" w:rsidR="008D0E7E" w:rsidRPr="008D0E7E" w:rsidRDefault="008D0E7E" w:rsidP="00644A43">
            <w:pPr>
              <w:spacing w:line="259" w:lineRule="auto"/>
              <w:jc w:val="both"/>
              <w:rPr>
                <w:rFonts w:ascii="Garamond" w:hAnsi="Garamond"/>
                <w:b/>
                <w:bCs/>
                <w:iCs/>
                <w:sz w:val="20"/>
                <w:szCs w:val="20"/>
                <w:lang w:val="en-GB"/>
              </w:rPr>
            </w:pPr>
            <w:r w:rsidRPr="008D0E7E">
              <w:rPr>
                <w:rFonts w:ascii="Garamond" w:hAnsi="Garamond"/>
                <w:b/>
                <w:bCs/>
                <w:iCs/>
                <w:sz w:val="20"/>
                <w:szCs w:val="20"/>
                <w:lang w:val="en-GB"/>
              </w:rPr>
              <w:t>Prevalence Rates</w:t>
            </w:r>
          </w:p>
        </w:tc>
        <w:tc>
          <w:tcPr>
            <w:tcW w:w="2835" w:type="dxa"/>
            <w:tcBorders>
              <w:top w:val="single" w:sz="4" w:space="0" w:color="auto"/>
              <w:bottom w:val="single" w:sz="4" w:space="0" w:color="auto"/>
            </w:tcBorders>
          </w:tcPr>
          <w:p w14:paraId="05EE19F7" w14:textId="77777777" w:rsidR="008D0E7E" w:rsidRPr="008D0E7E" w:rsidRDefault="008D0E7E" w:rsidP="00644A43">
            <w:pPr>
              <w:spacing w:line="259" w:lineRule="auto"/>
              <w:jc w:val="both"/>
              <w:rPr>
                <w:rFonts w:ascii="Garamond" w:hAnsi="Garamond"/>
                <w:b/>
                <w:bCs/>
                <w:iCs/>
                <w:sz w:val="20"/>
                <w:szCs w:val="20"/>
                <w:lang w:val="en-GB"/>
              </w:rPr>
            </w:pPr>
            <w:r w:rsidRPr="008D0E7E">
              <w:rPr>
                <w:rFonts w:ascii="Garamond" w:hAnsi="Garamond"/>
                <w:b/>
                <w:bCs/>
                <w:iCs/>
                <w:sz w:val="20"/>
                <w:szCs w:val="20"/>
                <w:lang w:val="en-GB"/>
              </w:rPr>
              <w:t>Key Findings</w:t>
            </w:r>
          </w:p>
        </w:tc>
        <w:tc>
          <w:tcPr>
            <w:tcW w:w="2268" w:type="dxa"/>
            <w:tcBorders>
              <w:top w:val="single" w:sz="4" w:space="0" w:color="auto"/>
              <w:bottom w:val="single" w:sz="4" w:space="0" w:color="auto"/>
            </w:tcBorders>
          </w:tcPr>
          <w:p w14:paraId="1A66DA4C" w14:textId="77777777" w:rsidR="008D0E7E" w:rsidRPr="008D0E7E" w:rsidRDefault="008D0E7E" w:rsidP="00644A43">
            <w:pPr>
              <w:spacing w:line="259" w:lineRule="auto"/>
              <w:jc w:val="both"/>
              <w:rPr>
                <w:rFonts w:ascii="Garamond" w:hAnsi="Garamond"/>
                <w:b/>
                <w:bCs/>
                <w:iCs/>
                <w:sz w:val="20"/>
                <w:szCs w:val="20"/>
                <w:lang w:val="en-GB"/>
              </w:rPr>
            </w:pPr>
            <w:r w:rsidRPr="008D0E7E">
              <w:rPr>
                <w:rFonts w:ascii="Garamond" w:hAnsi="Garamond"/>
                <w:b/>
                <w:bCs/>
                <w:iCs/>
                <w:sz w:val="20"/>
                <w:szCs w:val="20"/>
                <w:lang w:val="en-GB"/>
              </w:rPr>
              <w:t>Limitations Noted by Authors</w:t>
            </w:r>
          </w:p>
        </w:tc>
      </w:tr>
      <w:tr w:rsidR="008D0E7E" w:rsidRPr="008D0E7E" w14:paraId="5E7C66F3" w14:textId="77777777" w:rsidTr="00644A43">
        <w:trPr>
          <w:trHeight w:val="383"/>
        </w:trPr>
        <w:tc>
          <w:tcPr>
            <w:tcW w:w="1276" w:type="dxa"/>
            <w:tcBorders>
              <w:top w:val="single" w:sz="4" w:space="0" w:color="auto"/>
            </w:tcBorders>
          </w:tcPr>
          <w:p w14:paraId="558EC6EE"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Kaka B et al.</w:t>
            </w:r>
          </w:p>
        </w:tc>
        <w:tc>
          <w:tcPr>
            <w:tcW w:w="606" w:type="dxa"/>
            <w:tcBorders>
              <w:top w:val="single" w:sz="4" w:space="0" w:color="auto"/>
            </w:tcBorders>
          </w:tcPr>
          <w:p w14:paraId="617286D4"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2016</w:t>
            </w:r>
          </w:p>
        </w:tc>
        <w:tc>
          <w:tcPr>
            <w:tcW w:w="1098" w:type="dxa"/>
            <w:tcBorders>
              <w:top w:val="single" w:sz="4" w:space="0" w:color="auto"/>
            </w:tcBorders>
          </w:tcPr>
          <w:p w14:paraId="01AB6237"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Nigeria (Kano)</w:t>
            </w:r>
          </w:p>
        </w:tc>
        <w:tc>
          <w:tcPr>
            <w:tcW w:w="2407" w:type="dxa"/>
            <w:tcBorders>
              <w:top w:val="single" w:sz="4" w:space="0" w:color="auto"/>
            </w:tcBorders>
          </w:tcPr>
          <w:p w14:paraId="26E37A60"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12-month: 88.2%; Point: 74.5%; Lower back: 66.7%</w:t>
            </w:r>
          </w:p>
        </w:tc>
        <w:tc>
          <w:tcPr>
            <w:tcW w:w="2835" w:type="dxa"/>
            <w:tcBorders>
              <w:top w:val="single" w:sz="4" w:space="0" w:color="auto"/>
            </w:tcBorders>
          </w:tcPr>
          <w:p w14:paraId="7FDA76A9"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Very high prevalence of MSDs; lower back most common (66.7%)</w:t>
            </w:r>
          </w:p>
        </w:tc>
        <w:tc>
          <w:tcPr>
            <w:tcW w:w="2268" w:type="dxa"/>
            <w:tcBorders>
              <w:top w:val="single" w:sz="4" w:space="0" w:color="auto"/>
            </w:tcBorders>
          </w:tcPr>
          <w:p w14:paraId="7B0734AA"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Limited to Hausa-speaking butchers</w:t>
            </w:r>
          </w:p>
        </w:tc>
      </w:tr>
      <w:tr w:rsidR="008D0E7E" w:rsidRPr="008D0E7E" w14:paraId="09DCEBCB" w14:textId="77777777" w:rsidTr="00644A43">
        <w:trPr>
          <w:trHeight w:val="370"/>
        </w:trPr>
        <w:tc>
          <w:tcPr>
            <w:tcW w:w="1276" w:type="dxa"/>
          </w:tcPr>
          <w:p w14:paraId="65866898"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Öz F et al.</w:t>
            </w:r>
          </w:p>
        </w:tc>
        <w:tc>
          <w:tcPr>
            <w:tcW w:w="606" w:type="dxa"/>
          </w:tcPr>
          <w:p w14:paraId="706773C5"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2021</w:t>
            </w:r>
          </w:p>
        </w:tc>
        <w:tc>
          <w:tcPr>
            <w:tcW w:w="1098" w:type="dxa"/>
          </w:tcPr>
          <w:p w14:paraId="4BD143A1"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Turkey (Hatay)</w:t>
            </w:r>
          </w:p>
        </w:tc>
        <w:tc>
          <w:tcPr>
            <w:tcW w:w="2407" w:type="dxa"/>
          </w:tcPr>
          <w:p w14:paraId="361C4318"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Hand/finger injuries: 60.9%; Back pain: frequent</w:t>
            </w:r>
          </w:p>
        </w:tc>
        <w:tc>
          <w:tcPr>
            <w:tcW w:w="2835" w:type="dxa"/>
          </w:tcPr>
          <w:p w14:paraId="7546ADC2"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High rate of hand/finger injuries (61%); back pain also common</w:t>
            </w:r>
          </w:p>
        </w:tc>
        <w:tc>
          <w:tcPr>
            <w:tcW w:w="2268" w:type="dxa"/>
          </w:tcPr>
          <w:p w14:paraId="3384D49A"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Small sample; self-reported data</w:t>
            </w:r>
          </w:p>
        </w:tc>
      </w:tr>
      <w:tr w:rsidR="008D0E7E" w:rsidRPr="008D0E7E" w14:paraId="7EEAB75B" w14:textId="77777777" w:rsidTr="00644A43">
        <w:trPr>
          <w:trHeight w:val="370"/>
        </w:trPr>
        <w:tc>
          <w:tcPr>
            <w:tcW w:w="1276" w:type="dxa"/>
          </w:tcPr>
          <w:p w14:paraId="7B4E8809"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Saleem Z et al.</w:t>
            </w:r>
          </w:p>
        </w:tc>
        <w:tc>
          <w:tcPr>
            <w:tcW w:w="606" w:type="dxa"/>
          </w:tcPr>
          <w:p w14:paraId="0EC5B171"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2020</w:t>
            </w:r>
          </w:p>
        </w:tc>
        <w:tc>
          <w:tcPr>
            <w:tcW w:w="1098" w:type="dxa"/>
          </w:tcPr>
          <w:p w14:paraId="5134EC61"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Pakistan (Lahore)</w:t>
            </w:r>
          </w:p>
        </w:tc>
        <w:tc>
          <w:tcPr>
            <w:tcW w:w="2407" w:type="dxa"/>
          </w:tcPr>
          <w:p w14:paraId="765D2525"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Shoulder: 44.0%, Lower back: 42.0%</w:t>
            </w:r>
          </w:p>
        </w:tc>
        <w:tc>
          <w:tcPr>
            <w:tcW w:w="2835" w:type="dxa"/>
          </w:tcPr>
          <w:p w14:paraId="6E66E976"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High frequency of WRMSDs; poor posture habits noted</w:t>
            </w:r>
          </w:p>
        </w:tc>
        <w:tc>
          <w:tcPr>
            <w:tcW w:w="2268" w:type="dxa"/>
          </w:tcPr>
          <w:p w14:paraId="7D1738CB"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None explicitly reported</w:t>
            </w:r>
          </w:p>
        </w:tc>
      </w:tr>
      <w:tr w:rsidR="008D0E7E" w:rsidRPr="008D0E7E" w14:paraId="1B5BC552" w14:textId="77777777" w:rsidTr="00644A43">
        <w:trPr>
          <w:trHeight w:val="370"/>
        </w:trPr>
        <w:tc>
          <w:tcPr>
            <w:tcW w:w="1276" w:type="dxa"/>
          </w:tcPr>
          <w:p w14:paraId="0D8928C1"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 xml:space="preserve">Johnson OE, </w:t>
            </w:r>
            <w:proofErr w:type="spellStart"/>
            <w:r w:rsidRPr="008D0E7E">
              <w:rPr>
                <w:rFonts w:ascii="Garamond" w:hAnsi="Garamond"/>
                <w:iCs/>
                <w:sz w:val="20"/>
                <w:szCs w:val="20"/>
                <w:lang w:val="en-GB"/>
              </w:rPr>
              <w:t>Etokidem</w:t>
            </w:r>
            <w:proofErr w:type="spellEnd"/>
            <w:r w:rsidRPr="008D0E7E">
              <w:rPr>
                <w:rFonts w:ascii="Garamond" w:hAnsi="Garamond"/>
                <w:iCs/>
                <w:sz w:val="20"/>
                <w:szCs w:val="20"/>
                <w:lang w:val="en-GB"/>
              </w:rPr>
              <w:t xml:space="preserve"> AJ</w:t>
            </w:r>
          </w:p>
        </w:tc>
        <w:tc>
          <w:tcPr>
            <w:tcW w:w="606" w:type="dxa"/>
          </w:tcPr>
          <w:p w14:paraId="61ED2FFB"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2019</w:t>
            </w:r>
          </w:p>
        </w:tc>
        <w:tc>
          <w:tcPr>
            <w:tcW w:w="1098" w:type="dxa"/>
          </w:tcPr>
          <w:p w14:paraId="63568F0A"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Nigeria (</w:t>
            </w:r>
            <w:proofErr w:type="spellStart"/>
            <w:r w:rsidRPr="008D0E7E">
              <w:rPr>
                <w:rFonts w:ascii="Garamond" w:hAnsi="Garamond"/>
                <w:iCs/>
                <w:sz w:val="20"/>
                <w:szCs w:val="20"/>
                <w:lang w:val="en-GB"/>
              </w:rPr>
              <w:t>Uyo</w:t>
            </w:r>
            <w:proofErr w:type="spellEnd"/>
            <w:r w:rsidRPr="008D0E7E">
              <w:rPr>
                <w:rFonts w:ascii="Garamond" w:hAnsi="Garamond"/>
                <w:iCs/>
                <w:sz w:val="20"/>
                <w:szCs w:val="20"/>
                <w:lang w:val="en-GB"/>
              </w:rPr>
              <w:t>)</w:t>
            </w:r>
          </w:p>
        </w:tc>
        <w:tc>
          <w:tcPr>
            <w:tcW w:w="2407" w:type="dxa"/>
          </w:tcPr>
          <w:p w14:paraId="0ABA7131"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Neck pain: 36.9%; Back pain: linked to cow handling</w:t>
            </w:r>
          </w:p>
        </w:tc>
        <w:tc>
          <w:tcPr>
            <w:tcW w:w="2835" w:type="dxa"/>
          </w:tcPr>
          <w:p w14:paraId="2D951043"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Common hazards/injuries; poor slaughterhouse conditions</w:t>
            </w:r>
          </w:p>
        </w:tc>
        <w:tc>
          <w:tcPr>
            <w:tcW w:w="2268" w:type="dxa"/>
          </w:tcPr>
          <w:p w14:paraId="4A9D9B4D"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No explicit limitations section</w:t>
            </w:r>
          </w:p>
        </w:tc>
      </w:tr>
      <w:tr w:rsidR="008D0E7E" w:rsidRPr="008D0E7E" w14:paraId="08C3F77B" w14:textId="77777777" w:rsidTr="00644A43">
        <w:trPr>
          <w:trHeight w:val="383"/>
        </w:trPr>
        <w:tc>
          <w:tcPr>
            <w:tcW w:w="1276" w:type="dxa"/>
          </w:tcPr>
          <w:p w14:paraId="2AADA74B"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Shamsi T et al.</w:t>
            </w:r>
          </w:p>
        </w:tc>
        <w:tc>
          <w:tcPr>
            <w:tcW w:w="606" w:type="dxa"/>
          </w:tcPr>
          <w:p w14:paraId="62F7AD2E"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2022</w:t>
            </w:r>
          </w:p>
        </w:tc>
        <w:tc>
          <w:tcPr>
            <w:tcW w:w="1098" w:type="dxa"/>
          </w:tcPr>
          <w:p w14:paraId="52BB9BBF"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Bangladesh (Dhaka)</w:t>
            </w:r>
          </w:p>
        </w:tc>
        <w:tc>
          <w:tcPr>
            <w:tcW w:w="2407" w:type="dxa"/>
          </w:tcPr>
          <w:p w14:paraId="0252C6A8"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Wrist: 60%, Back: 61%, Shoulder: 62%, Neck: 51%</w:t>
            </w:r>
          </w:p>
        </w:tc>
        <w:tc>
          <w:tcPr>
            <w:tcW w:w="2835" w:type="dxa"/>
          </w:tcPr>
          <w:p w14:paraId="3C9BCD75"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Upper-body MSDs common; moderate job satisfaction</w:t>
            </w:r>
          </w:p>
        </w:tc>
        <w:tc>
          <w:tcPr>
            <w:tcW w:w="2268" w:type="dxa"/>
          </w:tcPr>
          <w:p w14:paraId="4025E4B6"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Single-city sample; cross-sectional</w:t>
            </w:r>
          </w:p>
        </w:tc>
      </w:tr>
      <w:tr w:rsidR="008D0E7E" w:rsidRPr="008D0E7E" w14:paraId="0CF8DB18" w14:textId="77777777" w:rsidTr="00644A43">
        <w:trPr>
          <w:trHeight w:val="370"/>
        </w:trPr>
        <w:tc>
          <w:tcPr>
            <w:tcW w:w="1276" w:type="dxa"/>
            <w:tcBorders>
              <w:bottom w:val="single" w:sz="4" w:space="0" w:color="auto"/>
            </w:tcBorders>
          </w:tcPr>
          <w:p w14:paraId="60F9E999"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Hayder A et al.</w:t>
            </w:r>
          </w:p>
        </w:tc>
        <w:tc>
          <w:tcPr>
            <w:tcW w:w="606" w:type="dxa"/>
            <w:tcBorders>
              <w:bottom w:val="single" w:sz="4" w:space="0" w:color="auto"/>
            </w:tcBorders>
          </w:tcPr>
          <w:p w14:paraId="6E836A19"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2022</w:t>
            </w:r>
          </w:p>
        </w:tc>
        <w:tc>
          <w:tcPr>
            <w:tcW w:w="1098" w:type="dxa"/>
            <w:tcBorders>
              <w:bottom w:val="single" w:sz="4" w:space="0" w:color="auto"/>
            </w:tcBorders>
          </w:tcPr>
          <w:p w14:paraId="428A20EA"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Pakistan</w:t>
            </w:r>
          </w:p>
        </w:tc>
        <w:tc>
          <w:tcPr>
            <w:tcW w:w="2407" w:type="dxa"/>
            <w:tcBorders>
              <w:bottom w:val="single" w:sz="4" w:space="0" w:color="auto"/>
            </w:tcBorders>
          </w:tcPr>
          <w:p w14:paraId="481D9723"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CTS: 10.3%</w:t>
            </w:r>
          </w:p>
        </w:tc>
        <w:tc>
          <w:tcPr>
            <w:tcW w:w="2835" w:type="dxa"/>
            <w:tcBorders>
              <w:bottom w:val="single" w:sz="4" w:space="0" w:color="auto"/>
            </w:tcBorders>
          </w:tcPr>
          <w:p w14:paraId="323BE34C"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Moderate CTS burden; middle-aged butchers most affected</w:t>
            </w:r>
          </w:p>
        </w:tc>
        <w:tc>
          <w:tcPr>
            <w:tcW w:w="2268" w:type="dxa"/>
            <w:tcBorders>
              <w:bottom w:val="single" w:sz="4" w:space="0" w:color="auto"/>
            </w:tcBorders>
          </w:tcPr>
          <w:p w14:paraId="3E8B9C52" w14:textId="77777777" w:rsidR="008D0E7E" w:rsidRPr="008D0E7E" w:rsidRDefault="008D0E7E" w:rsidP="00644A43">
            <w:pPr>
              <w:spacing w:line="259" w:lineRule="auto"/>
              <w:jc w:val="both"/>
              <w:rPr>
                <w:rFonts w:ascii="Garamond" w:hAnsi="Garamond"/>
                <w:iCs/>
                <w:sz w:val="20"/>
                <w:szCs w:val="20"/>
                <w:lang w:val="en-GB"/>
              </w:rPr>
            </w:pPr>
            <w:r w:rsidRPr="008D0E7E">
              <w:rPr>
                <w:rFonts w:ascii="Garamond" w:hAnsi="Garamond"/>
                <w:iCs/>
                <w:sz w:val="20"/>
                <w:szCs w:val="20"/>
                <w:lang w:val="en-GB"/>
              </w:rPr>
              <w:t>Convenience sampling; no control group</w:t>
            </w:r>
          </w:p>
        </w:tc>
      </w:tr>
    </w:tbl>
    <w:p w14:paraId="3E08CB64" w14:textId="77777777" w:rsidR="00733F61" w:rsidRPr="0040264D" w:rsidRDefault="00733F61" w:rsidP="007A1526">
      <w:pPr>
        <w:spacing w:line="259" w:lineRule="auto"/>
        <w:jc w:val="both"/>
        <w:rPr>
          <w:rFonts w:ascii="Garamond" w:hAnsi="Garamond"/>
          <w:bCs/>
          <w:i/>
          <w:sz w:val="20"/>
          <w:szCs w:val="20"/>
        </w:rPr>
        <w:sectPr w:rsidR="00733F61" w:rsidRPr="0040264D" w:rsidSect="008D0E7E">
          <w:pgSz w:w="12240" w:h="15840"/>
          <w:pgMar w:top="1440" w:right="1440" w:bottom="1440" w:left="1440" w:header="720" w:footer="720" w:gutter="0"/>
          <w:cols w:space="720"/>
          <w:titlePg/>
          <w:docGrid w:linePitch="360"/>
        </w:sectPr>
      </w:pPr>
    </w:p>
    <w:p w14:paraId="47B400E2" w14:textId="77777777" w:rsidR="00733F61" w:rsidRPr="0040264D" w:rsidRDefault="00733F61" w:rsidP="00733F61">
      <w:pPr>
        <w:spacing w:line="259" w:lineRule="auto"/>
        <w:jc w:val="both"/>
        <w:rPr>
          <w:rFonts w:ascii="Garamond" w:hAnsi="Garamond"/>
          <w:b/>
          <w:bCs/>
          <w:i/>
          <w:sz w:val="20"/>
          <w:szCs w:val="20"/>
          <w:lang w:val="en-GB"/>
        </w:rPr>
      </w:pPr>
      <w:r w:rsidRPr="0040264D">
        <w:rPr>
          <w:rFonts w:ascii="Garamond" w:hAnsi="Garamond"/>
          <w:b/>
          <w:bCs/>
          <w:i/>
          <w:sz w:val="20"/>
          <w:szCs w:val="20"/>
          <w:lang w:val="en-GB"/>
        </w:rPr>
        <w:t>Narrative Synthesis of Included Studies</w:t>
      </w:r>
    </w:p>
    <w:p w14:paraId="1B4862FC" w14:textId="414E30AD" w:rsidR="00733F61" w:rsidRPr="0040264D"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The six studies included in this review provide comprehensive insights into the prevalence, patterns, and occupational determinants of work-related musculoskeletal disorders (WRMSDs) among butchers in various regions including Nigeria, Pakistan, Bangladesh, and Turkey. The findings have been synthesized thematically to reflect commonalities and differences across geographic and occupational contexts.</w:t>
      </w:r>
      <w:bookmarkStart w:id="14" w:name="_Toc283357187"/>
    </w:p>
    <w:p w14:paraId="430A0FF9" w14:textId="77777777" w:rsidR="00733F61" w:rsidRPr="0040264D" w:rsidRDefault="00733F61" w:rsidP="00733F61">
      <w:pPr>
        <w:spacing w:line="259" w:lineRule="auto"/>
        <w:jc w:val="both"/>
        <w:rPr>
          <w:rFonts w:ascii="Garamond" w:hAnsi="Garamond"/>
          <w:bCs/>
          <w:i/>
          <w:sz w:val="20"/>
          <w:szCs w:val="20"/>
          <w:lang w:val="en-GB"/>
        </w:rPr>
      </w:pPr>
      <w:r w:rsidRPr="0040264D">
        <w:rPr>
          <w:rFonts w:ascii="Garamond" w:hAnsi="Garamond"/>
          <w:b/>
          <w:bCs/>
          <w:i/>
          <w:sz w:val="20"/>
          <w:szCs w:val="20"/>
          <w:lang w:val="en-GB"/>
        </w:rPr>
        <w:t>Prevalence of Musculoskeletal Disorders</w:t>
      </w:r>
      <w:bookmarkEnd w:id="14"/>
    </w:p>
    <w:p w14:paraId="30ED8E1E" w14:textId="0879C201" w:rsidR="00733F61" w:rsidRPr="0040264D"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Across all studies, WRMSDs were found to be highly prevalent among butchers, often affecting multiple body regions. The study by Kaka et al.</w:t>
      </w:r>
      <w:r w:rsidRPr="00733F61">
        <w:rPr>
          <w:rFonts w:ascii="Garamond" w:hAnsi="Garamond"/>
          <w:bCs/>
          <w:iCs/>
          <w:sz w:val="20"/>
          <w:szCs w:val="20"/>
          <w:vertAlign w:val="superscript"/>
          <w:lang w:val="en-GB"/>
        </w:rPr>
        <w:t xml:space="preserve">7 </w:t>
      </w:r>
      <w:r w:rsidRPr="00733F61">
        <w:rPr>
          <w:rFonts w:ascii="Garamond" w:hAnsi="Garamond"/>
          <w:bCs/>
          <w:iCs/>
          <w:sz w:val="20"/>
          <w:szCs w:val="20"/>
          <w:lang w:val="en-GB"/>
        </w:rPr>
        <w:t>in Kano, Nigeria, reported a remarkably high 12-month prevalence rate of 88.2%, with a point prevalence of 74.5%. Similarly, Saleem et al.</w:t>
      </w:r>
      <w:r w:rsidRPr="00733F61">
        <w:rPr>
          <w:rFonts w:ascii="Garamond" w:hAnsi="Garamond"/>
          <w:bCs/>
          <w:iCs/>
          <w:sz w:val="20"/>
          <w:szCs w:val="20"/>
          <w:vertAlign w:val="superscript"/>
          <w:lang w:val="en-GB"/>
        </w:rPr>
        <w:t xml:space="preserve">17 </w:t>
      </w:r>
      <w:r w:rsidRPr="00733F61">
        <w:rPr>
          <w:rFonts w:ascii="Garamond" w:hAnsi="Garamond"/>
          <w:bCs/>
          <w:iCs/>
          <w:sz w:val="20"/>
          <w:szCs w:val="20"/>
          <w:lang w:val="en-GB"/>
        </w:rPr>
        <w:t>reported that more than 40% of butchers in Lahore, Pakistan, experienced shoulder and lower back pain over the past year. Shamsi et al.</w:t>
      </w:r>
      <w:r w:rsidRPr="00733F61">
        <w:rPr>
          <w:rFonts w:ascii="Garamond" w:hAnsi="Garamond"/>
          <w:bCs/>
          <w:iCs/>
          <w:sz w:val="20"/>
          <w:szCs w:val="20"/>
          <w:vertAlign w:val="superscript"/>
          <w:lang w:val="en-GB"/>
        </w:rPr>
        <w:t>18</w:t>
      </w:r>
      <w:r w:rsidRPr="00733F61">
        <w:rPr>
          <w:rFonts w:ascii="Garamond" w:hAnsi="Garamond"/>
          <w:bCs/>
          <w:iCs/>
          <w:sz w:val="20"/>
          <w:szCs w:val="20"/>
          <w:lang w:val="en-GB"/>
        </w:rPr>
        <w:t>, in a study conducted in Dhaka, Bangladesh, noted that 60% of butchers reported wrist problems, while 62% and 61% reported shoulder and back pain respectively. This suggests that MSDs are not only common but also widely distributed across different anatomical sites, reinforcing the physical burden of butchering work.</w:t>
      </w:r>
      <w:bookmarkStart w:id="15" w:name="_Toc283357188"/>
    </w:p>
    <w:p w14:paraId="2471DDF5" w14:textId="77777777" w:rsidR="00733F61" w:rsidRPr="0040264D" w:rsidRDefault="00733F61" w:rsidP="00733F61">
      <w:pPr>
        <w:spacing w:line="259" w:lineRule="auto"/>
        <w:jc w:val="both"/>
        <w:rPr>
          <w:rFonts w:ascii="Garamond" w:hAnsi="Garamond"/>
          <w:b/>
          <w:bCs/>
          <w:i/>
          <w:sz w:val="20"/>
          <w:szCs w:val="20"/>
          <w:lang w:val="en-GB"/>
        </w:rPr>
      </w:pPr>
      <w:r w:rsidRPr="0040264D">
        <w:rPr>
          <w:rFonts w:ascii="Garamond" w:hAnsi="Garamond"/>
          <w:b/>
          <w:bCs/>
          <w:i/>
          <w:sz w:val="20"/>
          <w:szCs w:val="20"/>
          <w:lang w:val="en-GB"/>
        </w:rPr>
        <w:t>Commonly Affected Body Regions</w:t>
      </w:r>
      <w:bookmarkEnd w:id="15"/>
    </w:p>
    <w:p w14:paraId="62F0E0C2" w14:textId="42145424" w:rsidR="00733F61" w:rsidRP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A consistent pattern emerged across all studies regarding the most affected body regions. The lower back was frequently identified as the primary site of discomfort. For instance, Kaka et al.</w:t>
      </w:r>
      <w:r w:rsidRPr="00733F61">
        <w:rPr>
          <w:rFonts w:ascii="Garamond" w:hAnsi="Garamond"/>
          <w:bCs/>
          <w:iCs/>
          <w:sz w:val="20"/>
          <w:szCs w:val="20"/>
          <w:vertAlign w:val="superscript"/>
          <w:lang w:val="en-GB"/>
        </w:rPr>
        <w:t>7</w:t>
      </w:r>
      <w:r w:rsidRPr="00733F61">
        <w:rPr>
          <w:rFonts w:ascii="Garamond" w:hAnsi="Garamond"/>
          <w:bCs/>
          <w:iCs/>
          <w:sz w:val="20"/>
          <w:szCs w:val="20"/>
          <w:lang w:val="en-GB"/>
        </w:rPr>
        <w:t xml:space="preserve"> found that 66.7% of butchers reported low back pain. In the study by Saleem et al.</w:t>
      </w:r>
      <w:r w:rsidRPr="00733F61">
        <w:rPr>
          <w:rFonts w:ascii="Garamond" w:hAnsi="Garamond"/>
          <w:bCs/>
          <w:iCs/>
          <w:sz w:val="20"/>
          <w:szCs w:val="20"/>
          <w:vertAlign w:val="superscript"/>
          <w:lang w:val="en-GB"/>
        </w:rPr>
        <w:t>17</w:t>
      </w:r>
      <w:r w:rsidRPr="00733F61">
        <w:rPr>
          <w:rFonts w:ascii="Garamond" w:hAnsi="Garamond"/>
          <w:bCs/>
          <w:iCs/>
          <w:sz w:val="20"/>
          <w:szCs w:val="20"/>
          <w:lang w:val="en-GB"/>
        </w:rPr>
        <w:t xml:space="preserve">, 42.0% of respondents identified lower back pain as a primary complaint, followed closely by shoulder pain (44.0%). The shoulder, neck, and upper limbs, particularly the wrist and hand, were also frequently </w:t>
      </w:r>
      <w:r w:rsidRPr="00733F61">
        <w:rPr>
          <w:rFonts w:ascii="Garamond" w:hAnsi="Garamond"/>
          <w:bCs/>
          <w:iCs/>
          <w:sz w:val="20"/>
          <w:szCs w:val="20"/>
          <w:lang w:val="en-GB"/>
        </w:rPr>
        <w:t>cited. Shamsi et al.</w:t>
      </w:r>
      <w:r w:rsidRPr="00733F61">
        <w:rPr>
          <w:rFonts w:ascii="Garamond" w:hAnsi="Garamond"/>
          <w:bCs/>
          <w:iCs/>
          <w:sz w:val="20"/>
          <w:szCs w:val="20"/>
          <w:vertAlign w:val="superscript"/>
          <w:lang w:val="en-GB"/>
        </w:rPr>
        <w:t>18</w:t>
      </w:r>
      <w:r w:rsidRPr="00733F61">
        <w:rPr>
          <w:rFonts w:ascii="Garamond" w:hAnsi="Garamond"/>
          <w:bCs/>
          <w:iCs/>
          <w:sz w:val="20"/>
          <w:szCs w:val="20"/>
          <w:lang w:val="en-GB"/>
        </w:rPr>
        <w:t xml:space="preserve"> observed that over half of the participants had sought medical attention for pain in the wrist, shoulder, and neck. These findings are reinforced by Öz et al.</w:t>
      </w:r>
      <w:r w:rsidRPr="00733F61">
        <w:rPr>
          <w:rFonts w:ascii="Garamond" w:hAnsi="Garamond"/>
          <w:bCs/>
          <w:iCs/>
          <w:sz w:val="20"/>
          <w:szCs w:val="20"/>
          <w:vertAlign w:val="superscript"/>
          <w:lang w:val="en-GB"/>
        </w:rPr>
        <w:t>19</w:t>
      </w:r>
      <w:r w:rsidRPr="00733F61">
        <w:rPr>
          <w:rFonts w:ascii="Garamond" w:hAnsi="Garamond"/>
          <w:bCs/>
          <w:iCs/>
          <w:sz w:val="20"/>
          <w:szCs w:val="20"/>
          <w:lang w:val="en-GB"/>
        </w:rPr>
        <w:t xml:space="preserve"> in Turkey, where 60.9% of butchers reported hand and finger injuries, and back pain was also common.</w:t>
      </w:r>
    </w:p>
    <w:p w14:paraId="59C9CF58" w14:textId="20ECB043" w:rsidR="00733F61" w:rsidRPr="0040264D"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The carpal tunnel syndrome (CTS) study conducted by Hayder et al.</w:t>
      </w:r>
      <w:r w:rsidRPr="00733F61">
        <w:rPr>
          <w:rFonts w:ascii="Garamond" w:hAnsi="Garamond"/>
          <w:bCs/>
          <w:iCs/>
          <w:sz w:val="20"/>
          <w:szCs w:val="20"/>
          <w:vertAlign w:val="superscript"/>
          <w:lang w:val="en-GB"/>
        </w:rPr>
        <w:t>20</w:t>
      </w:r>
      <w:r w:rsidRPr="00733F61">
        <w:rPr>
          <w:rFonts w:ascii="Garamond" w:hAnsi="Garamond"/>
          <w:bCs/>
          <w:iCs/>
          <w:sz w:val="20"/>
          <w:szCs w:val="20"/>
          <w:lang w:val="en-GB"/>
        </w:rPr>
        <w:t xml:space="preserve"> offers further insight into upper limb conditions, showing a 10.3% prevalence of CTS among butchers in Pakistan. The study also highlighted that individuals with 3–5 years of work experience, particularly those aged 26–30, were most affected by CTS symptoms, including tingling and functional limitations in the wrist and hand.</w:t>
      </w:r>
      <w:bookmarkStart w:id="16" w:name="_Toc283357189"/>
    </w:p>
    <w:p w14:paraId="2E243AF0" w14:textId="77777777" w:rsidR="00733F61" w:rsidRPr="0040264D" w:rsidRDefault="00733F61" w:rsidP="00733F61">
      <w:pPr>
        <w:spacing w:line="259" w:lineRule="auto"/>
        <w:jc w:val="both"/>
        <w:rPr>
          <w:rFonts w:ascii="Garamond" w:hAnsi="Garamond"/>
          <w:b/>
          <w:bCs/>
          <w:i/>
          <w:sz w:val="20"/>
          <w:szCs w:val="20"/>
          <w:lang w:val="en-GB"/>
        </w:rPr>
      </w:pPr>
      <w:r w:rsidRPr="0040264D">
        <w:rPr>
          <w:rFonts w:ascii="Garamond" w:hAnsi="Garamond"/>
          <w:b/>
          <w:bCs/>
          <w:i/>
          <w:sz w:val="20"/>
          <w:szCs w:val="20"/>
          <w:lang w:val="en-GB"/>
        </w:rPr>
        <w:t>Occupational Risk Factors</w:t>
      </w:r>
      <w:bookmarkEnd w:id="16"/>
    </w:p>
    <w:p w14:paraId="75BDC722" w14:textId="3332C33F" w:rsidR="00733F61" w:rsidRPr="0040264D"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Occupational exposure emerged as a major contributing factor to WRMSDs. All studies reported repetitive cutting motions, prolonged standing, poor ergonomic conditions, and heavy lifting as primary contributors. Kaka et al.</w:t>
      </w:r>
      <w:r w:rsidRPr="00733F61">
        <w:rPr>
          <w:rFonts w:ascii="Garamond" w:hAnsi="Garamond"/>
          <w:bCs/>
          <w:iCs/>
          <w:sz w:val="20"/>
          <w:szCs w:val="20"/>
          <w:vertAlign w:val="superscript"/>
          <w:lang w:val="en-GB"/>
        </w:rPr>
        <w:t xml:space="preserve">7 </w:t>
      </w:r>
      <w:r w:rsidRPr="00733F61">
        <w:rPr>
          <w:rFonts w:ascii="Garamond" w:hAnsi="Garamond"/>
          <w:bCs/>
          <w:iCs/>
          <w:sz w:val="20"/>
          <w:szCs w:val="20"/>
          <w:lang w:val="en-GB"/>
        </w:rPr>
        <w:t>emphasized that butchers working with large carcasses under poor ergonomic setups were particularly susceptible to low back disorders. Similarly, Saleem et al.</w:t>
      </w:r>
      <w:r w:rsidRPr="00733F61">
        <w:rPr>
          <w:rFonts w:ascii="Garamond" w:hAnsi="Garamond"/>
          <w:bCs/>
          <w:iCs/>
          <w:sz w:val="20"/>
          <w:szCs w:val="20"/>
          <w:vertAlign w:val="superscript"/>
          <w:lang w:val="en-GB"/>
        </w:rPr>
        <w:t>17</w:t>
      </w:r>
      <w:r w:rsidRPr="00733F61">
        <w:rPr>
          <w:rFonts w:ascii="Garamond" w:hAnsi="Garamond"/>
          <w:bCs/>
          <w:iCs/>
          <w:sz w:val="20"/>
          <w:szCs w:val="20"/>
          <w:lang w:val="en-GB"/>
        </w:rPr>
        <w:t xml:space="preserve"> linked shoulder and wrist pain to repetitive use of knives and long working hours. Öz et al.</w:t>
      </w:r>
      <w:r w:rsidRPr="00733F61">
        <w:rPr>
          <w:rFonts w:ascii="Garamond" w:hAnsi="Garamond"/>
          <w:bCs/>
          <w:iCs/>
          <w:sz w:val="20"/>
          <w:szCs w:val="20"/>
          <w:vertAlign w:val="superscript"/>
          <w:lang w:val="en-GB"/>
        </w:rPr>
        <w:t>19</w:t>
      </w:r>
      <w:r w:rsidRPr="00733F61">
        <w:rPr>
          <w:rFonts w:ascii="Garamond" w:hAnsi="Garamond"/>
          <w:bCs/>
          <w:iCs/>
          <w:sz w:val="20"/>
          <w:szCs w:val="20"/>
          <w:lang w:val="en-GB"/>
        </w:rPr>
        <w:t xml:space="preserve"> detailed that 97.1% of injuries among Turkish butchers were caused by sharp tools, often due to lack of proper protective equipment such as gloves. The study also found that many butchers did not use any safety measures while working. In the </w:t>
      </w:r>
      <w:proofErr w:type="spellStart"/>
      <w:r w:rsidRPr="00733F61">
        <w:rPr>
          <w:rFonts w:ascii="Garamond" w:hAnsi="Garamond"/>
          <w:bCs/>
          <w:iCs/>
          <w:sz w:val="20"/>
          <w:szCs w:val="20"/>
          <w:lang w:val="en-GB"/>
        </w:rPr>
        <w:t>Uyo</w:t>
      </w:r>
      <w:proofErr w:type="spellEnd"/>
      <w:r w:rsidRPr="00733F61">
        <w:rPr>
          <w:rFonts w:ascii="Garamond" w:hAnsi="Garamond"/>
          <w:bCs/>
          <w:iCs/>
          <w:sz w:val="20"/>
          <w:szCs w:val="20"/>
          <w:lang w:val="en-GB"/>
        </w:rPr>
        <w:t xml:space="preserve"> study by Johnson and Etokidem</w:t>
      </w:r>
      <w:r w:rsidRPr="00733F61">
        <w:rPr>
          <w:rFonts w:ascii="Garamond" w:hAnsi="Garamond"/>
          <w:bCs/>
          <w:iCs/>
          <w:sz w:val="20"/>
          <w:szCs w:val="20"/>
          <w:vertAlign w:val="superscript"/>
          <w:lang w:val="en-GB"/>
        </w:rPr>
        <w:t>6</w:t>
      </w:r>
      <w:r w:rsidRPr="00733F61">
        <w:rPr>
          <w:rFonts w:ascii="Garamond" w:hAnsi="Garamond"/>
          <w:bCs/>
          <w:iCs/>
          <w:sz w:val="20"/>
          <w:szCs w:val="20"/>
          <w:lang w:val="en-GB"/>
        </w:rPr>
        <w:t>, additional hazards like slippery floors and contact with live animals were identified as contributing to workplace injuries, including neck pain (36.9%).</w:t>
      </w:r>
      <w:bookmarkStart w:id="17" w:name="_Toc283357190"/>
    </w:p>
    <w:p w14:paraId="0C8D4E94" w14:textId="77777777" w:rsidR="00733F61" w:rsidRPr="0040264D" w:rsidRDefault="00733F61" w:rsidP="00733F61">
      <w:pPr>
        <w:spacing w:line="259" w:lineRule="auto"/>
        <w:jc w:val="both"/>
        <w:rPr>
          <w:rFonts w:ascii="Garamond" w:hAnsi="Garamond"/>
          <w:b/>
          <w:bCs/>
          <w:i/>
          <w:sz w:val="20"/>
          <w:szCs w:val="20"/>
          <w:lang w:val="en-GB"/>
        </w:rPr>
      </w:pPr>
      <w:r w:rsidRPr="0040264D">
        <w:rPr>
          <w:rFonts w:ascii="Garamond" w:hAnsi="Garamond"/>
          <w:b/>
          <w:bCs/>
          <w:i/>
          <w:sz w:val="20"/>
          <w:szCs w:val="20"/>
          <w:lang w:val="en-GB"/>
        </w:rPr>
        <w:t>Healthcare Utilization and Coping</w:t>
      </w:r>
      <w:bookmarkEnd w:id="17"/>
    </w:p>
    <w:p w14:paraId="03489BDB" w14:textId="3D79179C" w:rsidR="00733F61" w:rsidRPr="0040264D"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 xml:space="preserve">Despite the high burden of symptoms, few butchers actively sought treatment. Kaka et al. </w:t>
      </w:r>
      <w:r w:rsidRPr="00733F61">
        <w:rPr>
          <w:rFonts w:ascii="Garamond" w:hAnsi="Garamond"/>
          <w:bCs/>
          <w:iCs/>
          <w:sz w:val="20"/>
          <w:szCs w:val="20"/>
          <w:vertAlign w:val="superscript"/>
          <w:lang w:val="en-GB"/>
        </w:rPr>
        <w:t>7</w:t>
      </w:r>
      <w:r w:rsidRPr="00733F61">
        <w:rPr>
          <w:rFonts w:ascii="Garamond" w:hAnsi="Garamond"/>
          <w:bCs/>
          <w:iCs/>
          <w:sz w:val="20"/>
          <w:szCs w:val="20"/>
          <w:lang w:val="en-GB"/>
        </w:rPr>
        <w:t xml:space="preserve"> noted that only </w:t>
      </w:r>
      <w:r w:rsidRPr="00733F61">
        <w:rPr>
          <w:rFonts w:ascii="Garamond" w:hAnsi="Garamond"/>
          <w:bCs/>
          <w:iCs/>
          <w:sz w:val="20"/>
          <w:szCs w:val="20"/>
          <w:lang w:val="en-GB"/>
        </w:rPr>
        <w:lastRenderedPageBreak/>
        <w:t xml:space="preserve">23.3% of butchers who reported symptoms had ever visited a health facility. This suggests underreporting or normalization of chronic pain among butchers. By contrast, Shamsi et al. </w:t>
      </w:r>
      <w:r w:rsidRPr="00733F61">
        <w:rPr>
          <w:rFonts w:ascii="Garamond" w:hAnsi="Garamond"/>
          <w:bCs/>
          <w:iCs/>
          <w:sz w:val="20"/>
          <w:szCs w:val="20"/>
          <w:vertAlign w:val="superscript"/>
          <w:lang w:val="en-GB"/>
        </w:rPr>
        <w:t>18</w:t>
      </w:r>
      <w:r w:rsidRPr="00733F61">
        <w:rPr>
          <w:rFonts w:ascii="Garamond" w:hAnsi="Garamond"/>
          <w:bCs/>
          <w:iCs/>
          <w:sz w:val="20"/>
          <w:szCs w:val="20"/>
          <w:lang w:val="en-GB"/>
        </w:rPr>
        <w:t xml:space="preserve"> observed relatively higher rates of health-seeking, though they also highlighted limited access to primary healthcare and low levels of job satisfaction due to the physical toll of the work.</w:t>
      </w:r>
      <w:bookmarkStart w:id="18" w:name="_Toc283357191"/>
    </w:p>
    <w:p w14:paraId="138FCE7E" w14:textId="77777777" w:rsidR="00733F61" w:rsidRPr="0040264D" w:rsidRDefault="00733F61" w:rsidP="00733F61">
      <w:pPr>
        <w:spacing w:line="259" w:lineRule="auto"/>
        <w:jc w:val="both"/>
        <w:rPr>
          <w:rFonts w:ascii="Garamond" w:hAnsi="Garamond"/>
          <w:b/>
          <w:bCs/>
          <w:i/>
          <w:sz w:val="20"/>
          <w:szCs w:val="20"/>
          <w:lang w:val="en-GB"/>
        </w:rPr>
      </w:pPr>
      <w:r w:rsidRPr="0040264D">
        <w:rPr>
          <w:rFonts w:ascii="Garamond" w:hAnsi="Garamond"/>
          <w:b/>
          <w:bCs/>
          <w:i/>
          <w:sz w:val="20"/>
          <w:szCs w:val="20"/>
          <w:lang w:val="en-GB"/>
        </w:rPr>
        <w:t>Regional Variations</w:t>
      </w:r>
      <w:bookmarkEnd w:id="18"/>
    </w:p>
    <w:p w14:paraId="60A92808" w14:textId="698B9FB3" w:rsidR="00733F61" w:rsidRPr="0040264D"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There were some regional differences in reported prevalence and injury types, possibly due to variations in slaughtering techniques, infrastructure, and safety enforcement. The highest prevalence of WRMSDs was found in Nigeria</w:t>
      </w:r>
      <w:r w:rsidRPr="00733F61">
        <w:rPr>
          <w:rFonts w:ascii="Garamond" w:hAnsi="Garamond"/>
          <w:bCs/>
          <w:iCs/>
          <w:sz w:val="20"/>
          <w:szCs w:val="20"/>
          <w:vertAlign w:val="superscript"/>
          <w:lang w:val="en-GB"/>
        </w:rPr>
        <w:t>7</w:t>
      </w:r>
      <w:r w:rsidRPr="00733F61">
        <w:rPr>
          <w:rFonts w:ascii="Garamond" w:hAnsi="Garamond"/>
          <w:bCs/>
          <w:iCs/>
          <w:sz w:val="20"/>
          <w:szCs w:val="20"/>
          <w:lang w:val="en-GB"/>
        </w:rPr>
        <w:t>, which may reflect the more labour-intensive nature of butchering in that region. In contrast, the CTS-focused study in Pakistan</w:t>
      </w:r>
      <w:r w:rsidRPr="00733F61">
        <w:rPr>
          <w:rFonts w:ascii="Garamond" w:hAnsi="Garamond"/>
          <w:bCs/>
          <w:iCs/>
          <w:sz w:val="20"/>
          <w:szCs w:val="20"/>
          <w:vertAlign w:val="superscript"/>
          <w:lang w:val="en-GB"/>
        </w:rPr>
        <w:t>20</w:t>
      </w:r>
      <w:r w:rsidRPr="00733F61">
        <w:rPr>
          <w:rFonts w:ascii="Garamond" w:hAnsi="Garamond"/>
          <w:bCs/>
          <w:iCs/>
          <w:sz w:val="20"/>
          <w:szCs w:val="20"/>
          <w:lang w:val="en-GB"/>
        </w:rPr>
        <w:t xml:space="preserve"> reported a lower, though still significant, prevalence of a specific upper limb disorder, possibly due to differences in job roles, workload, or the narrower focus of that study.</w:t>
      </w:r>
      <w:bookmarkStart w:id="19" w:name="_Toc283357192"/>
    </w:p>
    <w:p w14:paraId="5471B111" w14:textId="77777777" w:rsidR="00733F61" w:rsidRPr="0040264D" w:rsidRDefault="00733F61" w:rsidP="00733F61">
      <w:pPr>
        <w:spacing w:line="259" w:lineRule="auto"/>
        <w:jc w:val="both"/>
        <w:rPr>
          <w:rFonts w:ascii="Garamond" w:hAnsi="Garamond"/>
          <w:b/>
          <w:bCs/>
          <w:i/>
          <w:sz w:val="20"/>
          <w:szCs w:val="20"/>
          <w:lang w:val="en-GB"/>
        </w:rPr>
      </w:pPr>
      <w:r w:rsidRPr="0040264D">
        <w:rPr>
          <w:rFonts w:ascii="Garamond" w:hAnsi="Garamond"/>
          <w:b/>
          <w:bCs/>
          <w:i/>
          <w:sz w:val="20"/>
          <w:szCs w:val="20"/>
          <w:lang w:val="en-GB"/>
        </w:rPr>
        <w:t>Outcome Measures</w:t>
      </w:r>
      <w:bookmarkEnd w:id="19"/>
    </w:p>
    <w:p w14:paraId="074CB483" w14:textId="2C7A82AD" w:rsidR="00733F61" w:rsidRP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Across the six included studies, several consistent outcome measures were observed, forming the basis for understanding the burden of work-related musculoskeletal disorders (WRMSDs) among butchers. The most reported outcome was the 12-month prevalence of WRMSDs, which ranged as high as 88.2% in the Nigerian study by Kaka et al.</w:t>
      </w:r>
      <w:r w:rsidRPr="00733F61">
        <w:rPr>
          <w:rFonts w:ascii="Garamond" w:hAnsi="Garamond"/>
          <w:bCs/>
          <w:iCs/>
          <w:sz w:val="20"/>
          <w:szCs w:val="20"/>
          <w:vertAlign w:val="superscript"/>
          <w:lang w:val="en-GB"/>
        </w:rPr>
        <w:t>7</w:t>
      </w:r>
      <w:r w:rsidRPr="00733F61">
        <w:rPr>
          <w:rFonts w:ascii="Garamond" w:hAnsi="Garamond"/>
          <w:bCs/>
          <w:iCs/>
          <w:sz w:val="20"/>
          <w:szCs w:val="20"/>
          <w:lang w:val="en-GB"/>
        </w:rPr>
        <w:t>, indicating that nearly nine out of ten butchers experienced at least one musculoskeletal complaint over the course of a year. While not all studies reported a unified prevalence figure, many broke down data by anatomical region, offering a region-specific distribution of symptoms. The most affected body regions were the lower back, shoulders, wrists/hands, and neck, with some variation across countries. For instance, lower back pain was reported in 66.7% of butchers in Kano</w:t>
      </w:r>
      <w:r w:rsidRPr="00733F61">
        <w:rPr>
          <w:rFonts w:ascii="Garamond" w:hAnsi="Garamond"/>
          <w:bCs/>
          <w:iCs/>
          <w:sz w:val="20"/>
          <w:szCs w:val="20"/>
          <w:vertAlign w:val="superscript"/>
          <w:lang w:val="en-GB"/>
        </w:rPr>
        <w:t>7</w:t>
      </w:r>
      <w:r w:rsidRPr="00733F61">
        <w:rPr>
          <w:rFonts w:ascii="Garamond" w:hAnsi="Garamond"/>
          <w:bCs/>
          <w:iCs/>
          <w:sz w:val="20"/>
          <w:szCs w:val="20"/>
          <w:lang w:val="en-GB"/>
        </w:rPr>
        <w:t>, while shoulder and wrist issues were dominant in Dhaka and Lahore, with over 60% seeking treatment for upper-body pain.</w:t>
      </w:r>
      <w:r w:rsidRPr="00733F61">
        <w:rPr>
          <w:rFonts w:ascii="Garamond" w:hAnsi="Garamond"/>
          <w:bCs/>
          <w:iCs/>
          <w:sz w:val="20"/>
          <w:szCs w:val="20"/>
          <w:vertAlign w:val="superscript"/>
          <w:lang w:val="en-GB"/>
        </w:rPr>
        <w:t>17,18</w:t>
      </w:r>
    </w:p>
    <w:p w14:paraId="6CC5991C" w14:textId="72F3E8DB" w:rsidR="00733F61" w:rsidRP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 xml:space="preserve">Injury-specific outcomes such as knife cuts and carpal tunnel syndrome were also reported. Öz et al. </w:t>
      </w:r>
      <w:r w:rsidRPr="00733F61">
        <w:rPr>
          <w:rFonts w:ascii="Garamond" w:hAnsi="Garamond"/>
          <w:bCs/>
          <w:iCs/>
          <w:sz w:val="20"/>
          <w:szCs w:val="20"/>
          <w:vertAlign w:val="superscript"/>
          <w:lang w:val="en-GB"/>
        </w:rPr>
        <w:t>19</w:t>
      </w:r>
      <w:r w:rsidRPr="00733F61">
        <w:rPr>
          <w:rFonts w:ascii="Garamond" w:hAnsi="Garamond"/>
          <w:bCs/>
          <w:iCs/>
          <w:sz w:val="20"/>
          <w:szCs w:val="20"/>
          <w:lang w:val="en-GB"/>
        </w:rPr>
        <w:t xml:space="preserve"> found that 60.9% of Turkish butchers had sustained hand/finger injuries, primarily due to unsafe handling of sharp tools, while Hayder et al.</w:t>
      </w:r>
      <w:r w:rsidRPr="00733F61">
        <w:rPr>
          <w:rFonts w:ascii="Garamond" w:hAnsi="Garamond"/>
          <w:bCs/>
          <w:iCs/>
          <w:sz w:val="20"/>
          <w:szCs w:val="20"/>
          <w:vertAlign w:val="superscript"/>
          <w:lang w:val="en-GB"/>
        </w:rPr>
        <w:t>20</w:t>
      </w:r>
      <w:r w:rsidRPr="00733F61">
        <w:rPr>
          <w:rFonts w:ascii="Garamond" w:hAnsi="Garamond"/>
          <w:bCs/>
          <w:iCs/>
          <w:sz w:val="20"/>
          <w:szCs w:val="20"/>
          <w:lang w:val="en-GB"/>
        </w:rPr>
        <w:t xml:space="preserve"> clinically diagnosed carpal tunnel syndrome (CTS) in 10.3% of Pakistani butchers using nerve conduction studies and physical tests (Tinel’s and Phalen’s). These outcomes extend beyond self-reported symptoms and highlight objective physical dysfunctions in this population. Another critical outcome was the frequency of healthcare utilization. </w:t>
      </w:r>
      <w:r w:rsidRPr="00733F61">
        <w:rPr>
          <w:rFonts w:ascii="Garamond" w:hAnsi="Garamond"/>
          <w:bCs/>
          <w:iCs/>
          <w:sz w:val="20"/>
          <w:szCs w:val="20"/>
          <w:lang w:val="en-GB"/>
        </w:rPr>
        <w:t xml:space="preserve">Despite the high prevalence of symptoms, low rates of medical care-seeking behaviour were observed across the studies. For example, Kaka et al. </w:t>
      </w:r>
      <w:r w:rsidRPr="00733F61">
        <w:rPr>
          <w:rFonts w:ascii="Garamond" w:hAnsi="Garamond"/>
          <w:bCs/>
          <w:iCs/>
          <w:sz w:val="20"/>
          <w:szCs w:val="20"/>
          <w:vertAlign w:val="superscript"/>
          <w:lang w:val="en-GB"/>
        </w:rPr>
        <w:t>7</w:t>
      </w:r>
      <w:r w:rsidRPr="00733F61">
        <w:rPr>
          <w:rFonts w:ascii="Garamond" w:hAnsi="Garamond"/>
          <w:bCs/>
          <w:iCs/>
          <w:sz w:val="20"/>
          <w:szCs w:val="20"/>
          <w:lang w:val="en-GB"/>
        </w:rPr>
        <w:t xml:space="preserve"> noted that only 23.3% of butchers sought hospital care for their symptoms, while most others either endured the pain or used self-remedies. In contrast, Shamsi et al.</w:t>
      </w:r>
      <w:r w:rsidRPr="00733F61">
        <w:rPr>
          <w:rFonts w:ascii="Garamond" w:hAnsi="Garamond"/>
          <w:bCs/>
          <w:iCs/>
          <w:sz w:val="20"/>
          <w:szCs w:val="20"/>
          <w:vertAlign w:val="superscript"/>
          <w:lang w:val="en-GB"/>
        </w:rPr>
        <w:t>18</w:t>
      </w:r>
      <w:r w:rsidRPr="00733F61">
        <w:rPr>
          <w:rFonts w:ascii="Garamond" w:hAnsi="Garamond"/>
          <w:bCs/>
          <w:iCs/>
          <w:sz w:val="20"/>
          <w:szCs w:val="20"/>
          <w:lang w:val="en-GB"/>
        </w:rPr>
        <w:t xml:space="preserve"> found slightly higher utilization in Bangladesh, where over 50% visited doctors for wrist, back, and shoulder pain. This disparity reflects variability in healthcare access, awareness, and health-seeking behaviour across regions.</w:t>
      </w:r>
    </w:p>
    <w:p w14:paraId="738FB876" w14:textId="77777777" w:rsidR="00733F61" w:rsidRP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 xml:space="preserve">Finally, some studies assessed the impact of WRMSDs on daily function. Kaka et al. </w:t>
      </w:r>
      <w:r w:rsidRPr="00733F61">
        <w:rPr>
          <w:rFonts w:ascii="Garamond" w:hAnsi="Garamond"/>
          <w:bCs/>
          <w:iCs/>
          <w:sz w:val="20"/>
          <w:szCs w:val="20"/>
          <w:vertAlign w:val="superscript"/>
          <w:lang w:val="en-GB"/>
        </w:rPr>
        <w:t>7</w:t>
      </w:r>
      <w:r w:rsidRPr="00733F61">
        <w:rPr>
          <w:rFonts w:ascii="Garamond" w:hAnsi="Garamond"/>
          <w:bCs/>
          <w:iCs/>
          <w:sz w:val="20"/>
          <w:szCs w:val="20"/>
          <w:lang w:val="en-GB"/>
        </w:rPr>
        <w:t xml:space="preserve"> reported that 26.7% of affected butchers experienced activity limitations, affecting their ability to perform routine work-related or personal tasks. However, standardized disability scores (e.g., DASH or Oswestry) were not used in any of the included studies, highlighting a methodological limitation.</w:t>
      </w:r>
    </w:p>
    <w:p w14:paraId="2EF70045" w14:textId="77777777" w:rsidR="00733F61" w:rsidRDefault="00733F61" w:rsidP="00733F61">
      <w:pPr>
        <w:spacing w:line="259" w:lineRule="auto"/>
        <w:jc w:val="both"/>
        <w:rPr>
          <w:rFonts w:ascii="Garamond" w:hAnsi="Garamond"/>
          <w:b/>
          <w:bCs/>
          <w:iCs/>
          <w:sz w:val="20"/>
          <w:szCs w:val="20"/>
          <w:lang w:val="en-GB"/>
        </w:rPr>
      </w:pPr>
    </w:p>
    <w:p w14:paraId="6BA47948" w14:textId="33C37DD5" w:rsidR="00733F61" w:rsidRPr="00733F61" w:rsidRDefault="0040264D" w:rsidP="00733F61">
      <w:pPr>
        <w:spacing w:line="259" w:lineRule="auto"/>
        <w:jc w:val="both"/>
        <w:rPr>
          <w:rFonts w:ascii="Garamond" w:hAnsi="Garamond"/>
          <w:b/>
          <w:bCs/>
          <w:iCs/>
          <w:sz w:val="22"/>
          <w:szCs w:val="22"/>
          <w:lang w:val="en-GB"/>
        </w:rPr>
      </w:pPr>
      <w:r w:rsidRPr="00733F61">
        <w:rPr>
          <w:rFonts w:ascii="Garamond" w:hAnsi="Garamond"/>
          <w:b/>
          <w:bCs/>
          <w:iCs/>
          <w:sz w:val="22"/>
          <w:szCs w:val="22"/>
          <w:lang w:val="en-GB"/>
        </w:rPr>
        <w:t>DISCUSSION</w:t>
      </w:r>
    </w:p>
    <w:p w14:paraId="1B7AAAAF" w14:textId="6DBF1E8E" w:rsid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This scoping review synthesized evidence on WRMSD prevalence, patterns, risk factors, impacts, and potential interventions among butchers, a group exposed to intensive manual tasks and ergonomically challenging postures. Six observational studies from diverse geographic settings consistently indicate a high burden of WRMSDs, especially lower back, shoulder, wrist/hand, and neck complaints. In addition, this study highlights CTS prevalence reflecting neuropathic risk in repetitive tasks associated with the use of the wrist.</w:t>
      </w:r>
      <w:r w:rsidRPr="00733F61">
        <w:rPr>
          <w:rFonts w:ascii="Garamond" w:hAnsi="Garamond"/>
          <w:bCs/>
          <w:iCs/>
          <w:sz w:val="20"/>
          <w:szCs w:val="20"/>
          <w:vertAlign w:val="superscript"/>
          <w:lang w:val="en-GB"/>
        </w:rPr>
        <w:t>6,7,17,18,19,20</w:t>
      </w:r>
    </w:p>
    <w:p w14:paraId="02E1F248" w14:textId="5804270B" w:rsid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 xml:space="preserve">The high prevalence rate of WRMSDs among butchers in this study highlights it as a significant occupational health concern. Kaka et al. </w:t>
      </w:r>
      <w:r w:rsidRPr="00733F61">
        <w:rPr>
          <w:rFonts w:ascii="Garamond" w:hAnsi="Garamond"/>
          <w:bCs/>
          <w:iCs/>
          <w:sz w:val="20"/>
          <w:szCs w:val="20"/>
          <w:vertAlign w:val="superscript"/>
          <w:lang w:val="en-GB"/>
        </w:rPr>
        <w:t>7</w:t>
      </w:r>
      <w:r w:rsidRPr="00733F61">
        <w:rPr>
          <w:rFonts w:ascii="Garamond" w:hAnsi="Garamond"/>
          <w:bCs/>
          <w:iCs/>
          <w:sz w:val="20"/>
          <w:szCs w:val="20"/>
          <w:lang w:val="en-GB"/>
        </w:rPr>
        <w:t xml:space="preserve"> reported an 88.2% 12-month prevalence in Kano, Nigeria which were among the highest documented rates with age as a significant risk factor. Shamsi et al. </w:t>
      </w:r>
      <w:r w:rsidRPr="00733F61">
        <w:rPr>
          <w:rFonts w:ascii="Garamond" w:hAnsi="Garamond"/>
          <w:bCs/>
          <w:iCs/>
          <w:sz w:val="20"/>
          <w:szCs w:val="20"/>
          <w:vertAlign w:val="superscript"/>
          <w:lang w:val="en-GB"/>
        </w:rPr>
        <w:t>18</w:t>
      </w:r>
      <w:r w:rsidRPr="00733F61">
        <w:rPr>
          <w:rFonts w:ascii="Garamond" w:hAnsi="Garamond"/>
          <w:bCs/>
          <w:iCs/>
          <w:sz w:val="20"/>
          <w:szCs w:val="20"/>
          <w:lang w:val="en-GB"/>
        </w:rPr>
        <w:t xml:space="preserve"> found similarly elevated rates (&gt;60%) in Dhaka, Bangladesh, while Hayder et al. </w:t>
      </w:r>
      <w:r w:rsidRPr="00733F61">
        <w:rPr>
          <w:rFonts w:ascii="Garamond" w:hAnsi="Garamond"/>
          <w:bCs/>
          <w:iCs/>
          <w:sz w:val="20"/>
          <w:szCs w:val="20"/>
          <w:vertAlign w:val="superscript"/>
          <w:lang w:val="en-GB"/>
        </w:rPr>
        <w:t>20</w:t>
      </w:r>
      <w:r w:rsidRPr="00733F61">
        <w:rPr>
          <w:rFonts w:ascii="Garamond" w:hAnsi="Garamond"/>
          <w:bCs/>
          <w:iCs/>
          <w:sz w:val="20"/>
          <w:szCs w:val="20"/>
          <w:lang w:val="en-GB"/>
        </w:rPr>
        <w:t xml:space="preserve"> noted a 10.3% prevalence for clinically confirmed carpal tunnel syndrome. These findings align with broader occupational health data, which demonstrate that manual labourers including butchers, routinely face WRMSDs prevalence rates exceeding 70–90% for general symptoms and 10–20% for specific conditions like carpal tunnel syndrome.</w:t>
      </w:r>
      <w:r w:rsidRPr="00733F61">
        <w:rPr>
          <w:rFonts w:ascii="Garamond" w:hAnsi="Garamond"/>
          <w:bCs/>
          <w:iCs/>
          <w:sz w:val="20"/>
          <w:szCs w:val="20"/>
          <w:vertAlign w:val="superscript"/>
          <w:lang w:val="en-GB"/>
        </w:rPr>
        <w:t xml:space="preserve">20,21 </w:t>
      </w:r>
      <w:r w:rsidRPr="00733F61">
        <w:rPr>
          <w:rFonts w:ascii="Garamond" w:hAnsi="Garamond"/>
          <w:bCs/>
          <w:iCs/>
          <w:sz w:val="20"/>
          <w:szCs w:val="20"/>
          <w:lang w:val="en-GB"/>
        </w:rPr>
        <w:t xml:space="preserve">This consistency underscores the pervasive burden of WRMSDs among butchers globally attributable to a combination of factors such as poor ergonomic workplace design, lack or inadequate workplace regulation, and largely informal, </w:t>
      </w:r>
      <w:r w:rsidRPr="00733F61">
        <w:rPr>
          <w:rFonts w:ascii="Garamond" w:hAnsi="Garamond"/>
          <w:bCs/>
          <w:iCs/>
          <w:sz w:val="20"/>
          <w:szCs w:val="20"/>
          <w:lang w:val="en-GB"/>
        </w:rPr>
        <w:lastRenderedPageBreak/>
        <w:t>low-technology nature of the work environment particularly in developing nations.</w:t>
      </w:r>
    </w:p>
    <w:p w14:paraId="0DEB1EF2" w14:textId="325ABBC5" w:rsid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 xml:space="preserve">Studies uniformly showed that butchers experienced the highest prevalence of lower back pain, followed by shoulder, neck, and upper limb discomfort. Kaka et al. </w:t>
      </w:r>
      <w:r w:rsidRPr="00733F61">
        <w:rPr>
          <w:rFonts w:ascii="Garamond" w:hAnsi="Garamond"/>
          <w:bCs/>
          <w:iCs/>
          <w:sz w:val="20"/>
          <w:szCs w:val="20"/>
          <w:vertAlign w:val="superscript"/>
          <w:lang w:val="en-GB"/>
        </w:rPr>
        <w:t>7</w:t>
      </w:r>
      <w:r w:rsidRPr="00733F61">
        <w:rPr>
          <w:rFonts w:ascii="Garamond" w:hAnsi="Garamond"/>
          <w:bCs/>
          <w:iCs/>
          <w:sz w:val="20"/>
          <w:szCs w:val="20"/>
          <w:lang w:val="en-GB"/>
        </w:rPr>
        <w:t xml:space="preserve"> reported that 66.7% of respondents experienced low back pain, and Saleem et al.</w:t>
      </w:r>
      <w:r w:rsidRPr="00733F61">
        <w:rPr>
          <w:rFonts w:ascii="Garamond" w:hAnsi="Garamond"/>
          <w:bCs/>
          <w:iCs/>
          <w:sz w:val="20"/>
          <w:szCs w:val="20"/>
          <w:vertAlign w:val="superscript"/>
          <w:lang w:val="en-GB"/>
        </w:rPr>
        <w:t>17</w:t>
      </w:r>
      <w:r w:rsidRPr="00733F61">
        <w:rPr>
          <w:rFonts w:ascii="Garamond" w:hAnsi="Garamond"/>
          <w:bCs/>
          <w:iCs/>
          <w:sz w:val="20"/>
          <w:szCs w:val="20"/>
          <w:lang w:val="en-GB"/>
        </w:rPr>
        <w:t xml:space="preserve"> similarly observed 42% prevalence in Lahore. The CTS-focused study by Hayder et al.</w:t>
      </w:r>
      <w:r w:rsidRPr="00733F61">
        <w:rPr>
          <w:rFonts w:ascii="Garamond" w:hAnsi="Garamond"/>
          <w:bCs/>
          <w:iCs/>
          <w:sz w:val="20"/>
          <w:szCs w:val="20"/>
          <w:vertAlign w:val="superscript"/>
          <w:lang w:val="en-GB"/>
        </w:rPr>
        <w:t>20</w:t>
      </w:r>
      <w:r w:rsidRPr="00733F61">
        <w:rPr>
          <w:rFonts w:ascii="Garamond" w:hAnsi="Garamond"/>
          <w:bCs/>
          <w:iCs/>
          <w:sz w:val="20"/>
          <w:szCs w:val="20"/>
          <w:lang w:val="en-GB"/>
        </w:rPr>
        <w:t xml:space="preserve"> further highlighted upper limb impacts, emphasising hand–wrist strain. These patterns are supported by ergonomic assessments in manual meat-cutting occupations, which frequently report high REBA/RULA scores for the spine, shoulders, and arms, indicating increased risk for musculoskeletal injury.</w:t>
      </w:r>
      <w:r w:rsidRPr="00733F61">
        <w:rPr>
          <w:rFonts w:ascii="Garamond" w:hAnsi="Garamond"/>
          <w:bCs/>
          <w:iCs/>
          <w:sz w:val="20"/>
          <w:szCs w:val="20"/>
          <w:vertAlign w:val="superscript"/>
          <w:lang w:val="en-GB"/>
        </w:rPr>
        <w:t>22</w:t>
      </w:r>
      <w:r w:rsidRPr="00733F61">
        <w:rPr>
          <w:rFonts w:ascii="Garamond" w:hAnsi="Garamond"/>
          <w:bCs/>
          <w:iCs/>
          <w:sz w:val="20"/>
          <w:szCs w:val="20"/>
          <w:lang w:val="en-GB"/>
        </w:rPr>
        <w:t xml:space="preserve"> This distribution solidifies the link between repetitive, forceful tasks and specific anatomical strain.</w:t>
      </w:r>
    </w:p>
    <w:p w14:paraId="4EFFA411" w14:textId="4CF82830" w:rsidR="00733F61" w:rsidRP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The evidence identified repetitive cutting, sustained awkward postures, heavy lifting of carcasses, and inadequate ergonomic design as primary risk factors. Öz et al.</w:t>
      </w:r>
      <w:r w:rsidRPr="00733F61">
        <w:rPr>
          <w:rFonts w:ascii="Garamond" w:hAnsi="Garamond"/>
          <w:bCs/>
          <w:iCs/>
          <w:sz w:val="20"/>
          <w:szCs w:val="20"/>
          <w:vertAlign w:val="superscript"/>
          <w:lang w:val="en-GB"/>
        </w:rPr>
        <w:t>19</w:t>
      </w:r>
      <w:r w:rsidRPr="00733F61">
        <w:rPr>
          <w:rFonts w:ascii="Garamond" w:hAnsi="Garamond"/>
          <w:bCs/>
          <w:iCs/>
          <w:sz w:val="20"/>
          <w:szCs w:val="20"/>
          <w:lang w:val="en-GB"/>
        </w:rPr>
        <w:t xml:space="preserve"> reported that 97% of hand injuries were due to knife use without adequate protective equipment, and Johnson and Etokidem</w:t>
      </w:r>
      <w:r w:rsidRPr="00733F61">
        <w:rPr>
          <w:rFonts w:ascii="Garamond" w:hAnsi="Garamond"/>
          <w:bCs/>
          <w:iCs/>
          <w:sz w:val="20"/>
          <w:szCs w:val="20"/>
          <w:vertAlign w:val="superscript"/>
          <w:lang w:val="en-GB"/>
        </w:rPr>
        <w:t>6</w:t>
      </w:r>
      <w:r w:rsidRPr="00733F61">
        <w:rPr>
          <w:rFonts w:ascii="Garamond" w:hAnsi="Garamond"/>
          <w:bCs/>
          <w:iCs/>
          <w:sz w:val="20"/>
          <w:szCs w:val="20"/>
          <w:lang w:val="en-GB"/>
        </w:rPr>
        <w:t xml:space="preserve"> noted the impact of slippery surfaces and animal handling. These findings are reinforced by ergonomic studies demonstrating that repetitive upper limb motion, awkward trunk flexion, and insufficient rest are significant predictors of WRMSDs in meat-processing tasks.</w:t>
      </w:r>
      <w:r w:rsidRPr="00733F61">
        <w:rPr>
          <w:rFonts w:ascii="Garamond" w:hAnsi="Garamond"/>
          <w:bCs/>
          <w:iCs/>
          <w:sz w:val="20"/>
          <w:szCs w:val="20"/>
          <w:vertAlign w:val="superscript"/>
          <w:lang w:val="en-GB"/>
        </w:rPr>
        <w:t>22,23</w:t>
      </w:r>
      <w:r w:rsidRPr="00733F61">
        <w:rPr>
          <w:rFonts w:ascii="Garamond" w:hAnsi="Garamond"/>
          <w:bCs/>
          <w:iCs/>
          <w:sz w:val="20"/>
          <w:szCs w:val="20"/>
          <w:lang w:val="en-GB"/>
        </w:rPr>
        <w:t xml:space="preserve"> The correlation between biomechanical load and MSDs is well-established in occupational health literature.</w:t>
      </w:r>
    </w:p>
    <w:p w14:paraId="3B0C768C" w14:textId="672A8F9A" w:rsid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WRMSDs among butchers were shown to negatively affect health-seeking behaviour, daily function, and work capacity. For instance, only 23.3% of affected workers in Kano sought medical care,</w:t>
      </w:r>
      <w:r w:rsidRPr="00733F61">
        <w:rPr>
          <w:rFonts w:ascii="Garamond" w:hAnsi="Garamond"/>
          <w:bCs/>
          <w:iCs/>
          <w:sz w:val="20"/>
          <w:szCs w:val="20"/>
          <w:vertAlign w:val="superscript"/>
          <w:lang w:val="en-GB"/>
        </w:rPr>
        <w:t xml:space="preserve">7 </w:t>
      </w:r>
      <w:r w:rsidRPr="00733F61">
        <w:rPr>
          <w:rFonts w:ascii="Garamond" w:hAnsi="Garamond"/>
          <w:bCs/>
          <w:iCs/>
          <w:sz w:val="20"/>
          <w:szCs w:val="20"/>
          <w:lang w:val="en-GB"/>
        </w:rPr>
        <w:t>while Shamsi et al.</w:t>
      </w:r>
      <w:r w:rsidRPr="00733F61">
        <w:rPr>
          <w:rFonts w:ascii="Garamond" w:hAnsi="Garamond"/>
          <w:bCs/>
          <w:iCs/>
          <w:sz w:val="20"/>
          <w:szCs w:val="20"/>
          <w:vertAlign w:val="superscript"/>
          <w:lang w:val="en-GB"/>
        </w:rPr>
        <w:t>18</w:t>
      </w:r>
      <w:r w:rsidRPr="00733F61">
        <w:rPr>
          <w:rFonts w:ascii="Garamond" w:hAnsi="Garamond"/>
          <w:bCs/>
          <w:iCs/>
          <w:sz w:val="20"/>
          <w:szCs w:val="20"/>
          <w:lang w:val="en-GB"/>
        </w:rPr>
        <w:t xml:space="preserve"> observed widespread continuation of work despite persistent pain. Hayder et al.</w:t>
      </w:r>
      <w:r w:rsidRPr="00733F61">
        <w:rPr>
          <w:rFonts w:ascii="Garamond" w:hAnsi="Garamond"/>
          <w:bCs/>
          <w:iCs/>
          <w:sz w:val="20"/>
          <w:szCs w:val="20"/>
          <w:vertAlign w:val="superscript"/>
          <w:lang w:val="en-GB"/>
        </w:rPr>
        <w:t>20</w:t>
      </w:r>
      <w:r w:rsidRPr="00733F61">
        <w:rPr>
          <w:rFonts w:ascii="Garamond" w:hAnsi="Garamond"/>
          <w:bCs/>
          <w:iCs/>
          <w:sz w:val="20"/>
          <w:szCs w:val="20"/>
          <w:lang w:val="en-GB"/>
        </w:rPr>
        <w:t xml:space="preserve"> reported that CTS symptoms, such as tingling and reduced grip, directly impaired manual ability. These experiences align with international findings in other manual occupations, where musculoskeletal pain has been linked to functional limitations, reduced productivity, and impaired quality of life.</w:t>
      </w:r>
      <w:r w:rsidRPr="00733F61">
        <w:rPr>
          <w:rFonts w:ascii="Garamond" w:hAnsi="Garamond"/>
          <w:bCs/>
          <w:iCs/>
          <w:sz w:val="20"/>
          <w:szCs w:val="20"/>
          <w:vertAlign w:val="superscript"/>
          <w:lang w:val="en-GB"/>
        </w:rPr>
        <w:t>24,25,26</w:t>
      </w:r>
      <w:r w:rsidRPr="00733F61">
        <w:rPr>
          <w:rFonts w:ascii="Garamond" w:hAnsi="Garamond"/>
          <w:bCs/>
          <w:iCs/>
          <w:sz w:val="20"/>
          <w:szCs w:val="20"/>
          <w:lang w:val="en-GB"/>
        </w:rPr>
        <w:t xml:space="preserve"> The impact on hand function from CTS is particularly debilitating for occupations reliant on precision and strength.</w:t>
      </w:r>
    </w:p>
    <w:p w14:paraId="3919D6DC" w14:textId="4BF2C215" w:rsidR="00733F61" w:rsidRP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While most studies identified risk factors, few described specific interventions. Nonetheless, the findings point toward urgent needs for occupational health and safety reforms. Kaka et al.</w:t>
      </w:r>
      <w:r w:rsidRPr="00733F61">
        <w:rPr>
          <w:rFonts w:ascii="Garamond" w:hAnsi="Garamond"/>
          <w:bCs/>
          <w:iCs/>
          <w:sz w:val="20"/>
          <w:szCs w:val="20"/>
          <w:vertAlign w:val="superscript"/>
          <w:lang w:val="en-GB"/>
        </w:rPr>
        <w:t>7</w:t>
      </w:r>
      <w:r w:rsidRPr="00733F61">
        <w:rPr>
          <w:rFonts w:ascii="Garamond" w:hAnsi="Garamond"/>
          <w:bCs/>
          <w:iCs/>
          <w:sz w:val="20"/>
          <w:szCs w:val="20"/>
          <w:lang w:val="en-GB"/>
        </w:rPr>
        <w:t xml:space="preserve"> and Öz et al.</w:t>
      </w:r>
      <w:r w:rsidRPr="00733F61">
        <w:rPr>
          <w:rFonts w:ascii="Garamond" w:hAnsi="Garamond"/>
          <w:bCs/>
          <w:iCs/>
          <w:sz w:val="20"/>
          <w:szCs w:val="20"/>
          <w:vertAlign w:val="superscript"/>
          <w:lang w:val="en-GB"/>
        </w:rPr>
        <w:t>19</w:t>
      </w:r>
      <w:r w:rsidRPr="00733F61">
        <w:rPr>
          <w:rFonts w:ascii="Garamond" w:hAnsi="Garamond"/>
          <w:bCs/>
          <w:iCs/>
          <w:sz w:val="20"/>
          <w:szCs w:val="20"/>
          <w:lang w:val="en-GB"/>
        </w:rPr>
        <w:t xml:space="preserve"> emphasized the lack of protective equipment, suggesting that gloves, supportive footwear, and cut-resistant tools could </w:t>
      </w:r>
      <w:r w:rsidRPr="00733F61">
        <w:rPr>
          <w:rFonts w:ascii="Garamond" w:hAnsi="Garamond"/>
          <w:bCs/>
          <w:iCs/>
          <w:sz w:val="20"/>
          <w:szCs w:val="20"/>
          <w:lang w:val="en-GB"/>
        </w:rPr>
        <w:t xml:space="preserve">prevent many injuries. Ergonomic modifications such as adjustable work surfaces, anti-fatigue mats, and optimized tool design were also indicated by the burden of upper limb and spinal complaints. Saleem et al. </w:t>
      </w:r>
      <w:r w:rsidRPr="00733F61">
        <w:rPr>
          <w:rFonts w:ascii="Garamond" w:hAnsi="Garamond"/>
          <w:bCs/>
          <w:iCs/>
          <w:sz w:val="20"/>
          <w:szCs w:val="20"/>
          <w:vertAlign w:val="superscript"/>
          <w:lang w:val="en-GB"/>
        </w:rPr>
        <w:t>16</w:t>
      </w:r>
      <w:r w:rsidRPr="00733F61">
        <w:rPr>
          <w:rFonts w:ascii="Garamond" w:hAnsi="Garamond"/>
          <w:bCs/>
          <w:iCs/>
          <w:sz w:val="20"/>
          <w:szCs w:val="20"/>
          <w:lang w:val="en-GB"/>
        </w:rPr>
        <w:t xml:space="preserve"> and Shamsi et al.</w:t>
      </w:r>
      <w:r w:rsidRPr="00733F61">
        <w:rPr>
          <w:rFonts w:ascii="Garamond" w:hAnsi="Garamond"/>
          <w:bCs/>
          <w:iCs/>
          <w:sz w:val="20"/>
          <w:szCs w:val="20"/>
          <w:vertAlign w:val="superscript"/>
          <w:lang w:val="en-GB"/>
        </w:rPr>
        <w:t>18</w:t>
      </w:r>
      <w:r w:rsidRPr="00733F61">
        <w:rPr>
          <w:rFonts w:ascii="Garamond" w:hAnsi="Garamond"/>
          <w:bCs/>
          <w:iCs/>
          <w:sz w:val="20"/>
          <w:szCs w:val="20"/>
          <w:lang w:val="en-GB"/>
        </w:rPr>
        <w:t xml:space="preserve"> highlighted poor posture and long hours as contributing factors, advocating for structured rest periods and ergonomic training. Hayder et al.</w:t>
      </w:r>
      <w:r w:rsidRPr="00733F61">
        <w:rPr>
          <w:rFonts w:ascii="Garamond" w:hAnsi="Garamond"/>
          <w:bCs/>
          <w:iCs/>
          <w:sz w:val="20"/>
          <w:szCs w:val="20"/>
          <w:vertAlign w:val="superscript"/>
          <w:lang w:val="en-GB"/>
        </w:rPr>
        <w:t>20</w:t>
      </w:r>
      <w:r w:rsidRPr="00733F61">
        <w:rPr>
          <w:rFonts w:ascii="Garamond" w:hAnsi="Garamond"/>
          <w:bCs/>
          <w:iCs/>
          <w:sz w:val="20"/>
          <w:szCs w:val="20"/>
          <w:lang w:val="en-GB"/>
        </w:rPr>
        <w:t xml:space="preserve"> suggested early detection strategies and routine screening, particularly for hand and wrist conditions. Collectively, the findings support the implementation of multi-level interventions </w:t>
      </w:r>
      <w:bookmarkStart w:id="20" w:name="_Toc283357202"/>
      <w:r w:rsidRPr="00733F61">
        <w:rPr>
          <w:rFonts w:ascii="Garamond" w:hAnsi="Garamond"/>
          <w:bCs/>
          <w:iCs/>
          <w:sz w:val="20"/>
          <w:szCs w:val="20"/>
          <w:lang w:val="en-GB"/>
        </w:rPr>
        <w:t>including worker education, policy enforcement, and ergonomic reengineering to reduce the burden of WRMSDs in the butchering profession.</w:t>
      </w:r>
    </w:p>
    <w:p w14:paraId="141B625C" w14:textId="77777777" w:rsidR="00733F61" w:rsidRDefault="00733F61" w:rsidP="00733F61">
      <w:pPr>
        <w:spacing w:line="259" w:lineRule="auto"/>
        <w:jc w:val="both"/>
        <w:rPr>
          <w:rFonts w:ascii="Garamond" w:hAnsi="Garamond"/>
          <w:b/>
          <w:bCs/>
          <w:iCs/>
          <w:sz w:val="20"/>
          <w:szCs w:val="20"/>
          <w:lang w:val="en-GB"/>
        </w:rPr>
      </w:pPr>
    </w:p>
    <w:p w14:paraId="2F548918" w14:textId="682CA74F" w:rsidR="00733F61" w:rsidRPr="00733F61" w:rsidRDefault="00733F61" w:rsidP="00733F61">
      <w:pPr>
        <w:spacing w:line="259" w:lineRule="auto"/>
        <w:jc w:val="both"/>
        <w:rPr>
          <w:rFonts w:ascii="Garamond" w:hAnsi="Garamond"/>
          <w:b/>
          <w:bCs/>
          <w:iCs/>
          <w:sz w:val="20"/>
          <w:szCs w:val="20"/>
          <w:lang w:val="en-GB"/>
        </w:rPr>
      </w:pPr>
      <w:r w:rsidRPr="00733F61">
        <w:rPr>
          <w:rFonts w:ascii="Garamond" w:hAnsi="Garamond"/>
          <w:b/>
          <w:bCs/>
          <w:iCs/>
          <w:sz w:val="20"/>
          <w:szCs w:val="20"/>
          <w:lang w:val="en-GB"/>
        </w:rPr>
        <w:t>Strengths of the study</w:t>
      </w:r>
    </w:p>
    <w:p w14:paraId="591C2905" w14:textId="77777777" w:rsidR="00733F61" w:rsidRP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To our knowledge, this is the first scoping review to map the prevalence, pattern and risk factors associated with WRMSDs among butchers globally. This scoping review methodology has allowed us to use a systematic approach to identify relevant studies, charting, and analysis of outcomes. In addition, our studies were selected according to population, concept and context framework as it was relevant to address our research question. Also, our study findings were reported following the PRISMA flow diagram for the purpose of transparency and completeness.</w:t>
      </w:r>
    </w:p>
    <w:p w14:paraId="2763DF14" w14:textId="77777777" w:rsidR="00733F61" w:rsidRDefault="00733F61" w:rsidP="00733F61">
      <w:pPr>
        <w:spacing w:line="259" w:lineRule="auto"/>
        <w:jc w:val="both"/>
        <w:rPr>
          <w:rFonts w:ascii="Garamond" w:hAnsi="Garamond"/>
          <w:b/>
          <w:bCs/>
          <w:iCs/>
          <w:sz w:val="20"/>
          <w:szCs w:val="20"/>
          <w:lang w:val="en-GB"/>
        </w:rPr>
      </w:pPr>
    </w:p>
    <w:p w14:paraId="285E93B6" w14:textId="100EEB41" w:rsidR="00733F61" w:rsidRPr="00733F61" w:rsidRDefault="00733F61" w:rsidP="00733F61">
      <w:pPr>
        <w:spacing w:line="259" w:lineRule="auto"/>
        <w:jc w:val="both"/>
        <w:rPr>
          <w:rFonts w:ascii="Garamond" w:hAnsi="Garamond"/>
          <w:b/>
          <w:bCs/>
          <w:iCs/>
          <w:sz w:val="20"/>
          <w:szCs w:val="20"/>
          <w:lang w:val="en-GB"/>
        </w:rPr>
      </w:pPr>
      <w:r w:rsidRPr="00733F61">
        <w:rPr>
          <w:rFonts w:ascii="Garamond" w:hAnsi="Garamond"/>
          <w:b/>
          <w:bCs/>
          <w:iCs/>
          <w:sz w:val="20"/>
          <w:szCs w:val="20"/>
          <w:lang w:val="en-GB"/>
        </w:rPr>
        <w:t>Limitations of the study</w:t>
      </w:r>
    </w:p>
    <w:p w14:paraId="14F97254" w14:textId="66D402CD" w:rsidR="00733F61" w:rsidRP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Despite the consistency in reported prevalence rates and symptom patterns, several clinical and methodological limitations were evident across the six included studies. These limitations may affect the interpretation, generalizability, and clinical application of findings regarding work-related musculoskeletal disorders (WRMSDs) among butchers. This review made use of six studies, which typically might be too small and serve as a limitation for generalizability of the study. A major limitation across most studies was the over-reliance on self-reported data. Except for the study by Hayder et al.</w:t>
      </w:r>
      <w:r w:rsidRPr="00733F61">
        <w:rPr>
          <w:rFonts w:ascii="Garamond" w:hAnsi="Garamond"/>
          <w:bCs/>
          <w:iCs/>
          <w:sz w:val="20"/>
          <w:szCs w:val="20"/>
          <w:vertAlign w:val="superscript"/>
          <w:lang w:val="en-GB"/>
        </w:rPr>
        <w:t>20</w:t>
      </w:r>
      <w:r w:rsidRPr="00733F61">
        <w:rPr>
          <w:rFonts w:ascii="Garamond" w:hAnsi="Garamond"/>
          <w:bCs/>
          <w:iCs/>
          <w:sz w:val="20"/>
          <w:szCs w:val="20"/>
          <w:lang w:val="en-GB"/>
        </w:rPr>
        <w:t xml:space="preserve">, which employed clinical diagnostic methods including Tinel’s and Phalen’s tests as well as nerve conduction studies for </w:t>
      </w:r>
      <w:bookmarkStart w:id="21" w:name="_Hlk220236013"/>
      <w:r w:rsidRPr="00733F61">
        <w:rPr>
          <w:rFonts w:ascii="Garamond" w:hAnsi="Garamond"/>
          <w:bCs/>
          <w:iCs/>
          <w:sz w:val="20"/>
          <w:szCs w:val="20"/>
          <w:lang w:val="en-GB"/>
        </w:rPr>
        <w:t xml:space="preserve">carpal tunnel syndrome (CTS), </w:t>
      </w:r>
      <w:bookmarkEnd w:id="21"/>
      <w:r w:rsidRPr="00733F61">
        <w:rPr>
          <w:rFonts w:ascii="Garamond" w:hAnsi="Garamond"/>
          <w:bCs/>
          <w:iCs/>
          <w:sz w:val="20"/>
          <w:szCs w:val="20"/>
          <w:lang w:val="en-GB"/>
        </w:rPr>
        <w:t>the remaining studies</w:t>
      </w:r>
      <w:r w:rsidRPr="00733F61">
        <w:rPr>
          <w:rFonts w:ascii="Garamond" w:hAnsi="Garamond"/>
          <w:bCs/>
          <w:iCs/>
          <w:sz w:val="20"/>
          <w:szCs w:val="20"/>
          <w:vertAlign w:val="superscript"/>
          <w:lang w:val="en-GB"/>
        </w:rPr>
        <w:t>6,7,17,18,19</w:t>
      </w:r>
      <w:r w:rsidRPr="00733F61">
        <w:rPr>
          <w:rFonts w:ascii="Garamond" w:hAnsi="Garamond"/>
          <w:bCs/>
          <w:iCs/>
          <w:sz w:val="20"/>
          <w:szCs w:val="20"/>
          <w:lang w:val="en-GB"/>
        </w:rPr>
        <w:t xml:space="preserve"> relied exclusively on interviews or questionnaires. While tools such as the </w:t>
      </w:r>
      <w:bookmarkStart w:id="22" w:name="_Hlk220236002"/>
      <w:r w:rsidRPr="00733F61">
        <w:rPr>
          <w:rFonts w:ascii="Garamond" w:hAnsi="Garamond"/>
          <w:bCs/>
          <w:iCs/>
          <w:sz w:val="20"/>
          <w:szCs w:val="20"/>
          <w:lang w:val="en-GB"/>
        </w:rPr>
        <w:t>Standardized Nordic Musculoskeletal Questionnaire</w:t>
      </w:r>
      <w:bookmarkEnd w:id="22"/>
      <w:r w:rsidRPr="00733F61">
        <w:rPr>
          <w:rFonts w:ascii="Garamond" w:hAnsi="Garamond"/>
          <w:bCs/>
          <w:iCs/>
          <w:sz w:val="20"/>
          <w:szCs w:val="20"/>
          <w:lang w:val="en-GB"/>
        </w:rPr>
        <w:t xml:space="preserve"> (SNMQ) are validated and widely used, the absence of clinical confirmation in most studies may result in recall bias or misclassification of symptoms. Another critical </w:t>
      </w:r>
      <w:r w:rsidRPr="00733F61">
        <w:rPr>
          <w:rFonts w:ascii="Garamond" w:hAnsi="Garamond"/>
          <w:bCs/>
          <w:iCs/>
          <w:sz w:val="20"/>
          <w:szCs w:val="20"/>
          <w:lang w:val="en-GB"/>
        </w:rPr>
        <w:lastRenderedPageBreak/>
        <w:t>limitation was the cross-sectional design used in all six studies. This design limits the ability to establish causal relationships between occupational risk factors (e.g., repetitive tasks, poor posture) and the onset of MSDs. For example, while Kaka et al.</w:t>
      </w:r>
      <w:r w:rsidRPr="00733F61">
        <w:rPr>
          <w:rFonts w:ascii="Garamond" w:hAnsi="Garamond"/>
          <w:bCs/>
          <w:iCs/>
          <w:sz w:val="20"/>
          <w:szCs w:val="20"/>
          <w:vertAlign w:val="superscript"/>
          <w:lang w:val="en-GB"/>
        </w:rPr>
        <w:t>7</w:t>
      </w:r>
      <w:r w:rsidRPr="00733F61">
        <w:rPr>
          <w:rFonts w:ascii="Garamond" w:hAnsi="Garamond"/>
          <w:bCs/>
          <w:iCs/>
          <w:sz w:val="20"/>
          <w:szCs w:val="20"/>
          <w:lang w:val="en-GB"/>
        </w:rPr>
        <w:t xml:space="preserve"> and Shamsi et al.</w:t>
      </w:r>
      <w:r w:rsidRPr="00733F61">
        <w:rPr>
          <w:rFonts w:ascii="Garamond" w:hAnsi="Garamond"/>
          <w:bCs/>
          <w:iCs/>
          <w:sz w:val="20"/>
          <w:szCs w:val="20"/>
          <w:vertAlign w:val="superscript"/>
          <w:lang w:val="en-GB"/>
        </w:rPr>
        <w:t>18</w:t>
      </w:r>
      <w:r w:rsidRPr="00733F61">
        <w:rPr>
          <w:rFonts w:ascii="Garamond" w:hAnsi="Garamond"/>
          <w:bCs/>
          <w:iCs/>
          <w:sz w:val="20"/>
          <w:szCs w:val="20"/>
          <w:lang w:val="en-GB"/>
        </w:rPr>
        <w:t xml:space="preserve"> associated musculoskeletal symptoms with specific job demands, they were unable to determine whether these factors directly caused the reported conditions. </w:t>
      </w:r>
    </w:p>
    <w:p w14:paraId="1E2A420F" w14:textId="77777777" w:rsidR="00733F61" w:rsidRP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In addition, variability in diagnostic criteria and outcome measures was evident. Some studies applied standardized tools like the SNMQ,</w:t>
      </w:r>
      <w:r w:rsidRPr="00733F61">
        <w:rPr>
          <w:rFonts w:ascii="Garamond" w:hAnsi="Garamond"/>
          <w:bCs/>
          <w:iCs/>
          <w:sz w:val="20"/>
          <w:szCs w:val="20"/>
          <w:vertAlign w:val="superscript"/>
          <w:lang w:val="en-GB"/>
        </w:rPr>
        <w:t>7,17</w:t>
      </w:r>
      <w:r w:rsidRPr="00733F61">
        <w:rPr>
          <w:rFonts w:ascii="Garamond" w:hAnsi="Garamond"/>
          <w:bCs/>
          <w:iCs/>
          <w:sz w:val="20"/>
          <w:szCs w:val="20"/>
          <w:lang w:val="en-GB"/>
        </w:rPr>
        <w:t xml:space="preserve"> while others used custom or non-standard questionnaires,</w:t>
      </w:r>
      <w:r w:rsidRPr="00733F61">
        <w:rPr>
          <w:rFonts w:ascii="Garamond" w:hAnsi="Garamond"/>
          <w:bCs/>
          <w:iCs/>
          <w:sz w:val="20"/>
          <w:szCs w:val="20"/>
          <w:vertAlign w:val="superscript"/>
          <w:lang w:val="en-GB"/>
        </w:rPr>
        <w:t>6,19</w:t>
      </w:r>
      <w:r w:rsidRPr="00733F61">
        <w:rPr>
          <w:rFonts w:ascii="Garamond" w:hAnsi="Garamond"/>
          <w:bCs/>
          <w:iCs/>
          <w:sz w:val="20"/>
          <w:szCs w:val="20"/>
          <w:lang w:val="en-GB"/>
        </w:rPr>
        <w:t xml:space="preserve"> reducing the comparability and reliability of findings across studies. Furthermore, most studies lacked detailed reporting on symptom severity, duration, and the functional impact of WRMSDs, which are clinically relevant for understanding the true burden of disease. Demographic and contextual limitations were also observed. All participants across the studies were male, and all studies were conducted in low- to middle-income countries including Nigeria, Pakistan, Turkey, and Bangladesh. This creates a gender and geographic bias, limiting the generalizability of findings to female workers or those in higher-income settings with different occupational health regulations. Another concern was the limited exploration of healthcare access and treatment pathways. Although high symptom burden was reported across studies, few addressed whether affected individuals received medical evaluation or intervention. For instance, Kaka et al.</w:t>
      </w:r>
      <w:r w:rsidRPr="00733F61">
        <w:rPr>
          <w:rFonts w:ascii="Garamond" w:hAnsi="Garamond"/>
          <w:bCs/>
          <w:iCs/>
          <w:sz w:val="20"/>
          <w:szCs w:val="20"/>
          <w:vertAlign w:val="superscript"/>
          <w:lang w:val="en-GB"/>
        </w:rPr>
        <w:t>7</w:t>
      </w:r>
      <w:r w:rsidRPr="00733F61">
        <w:rPr>
          <w:rFonts w:ascii="Garamond" w:hAnsi="Garamond"/>
          <w:bCs/>
          <w:iCs/>
          <w:sz w:val="20"/>
          <w:szCs w:val="20"/>
          <w:lang w:val="en-GB"/>
        </w:rPr>
        <w:t xml:space="preserve"> reported that only 23.3% of butchers with symptoms sought medical care. Similarly, Öz et al.</w:t>
      </w:r>
      <w:r w:rsidRPr="00733F61">
        <w:rPr>
          <w:rFonts w:ascii="Garamond" w:hAnsi="Garamond"/>
          <w:bCs/>
          <w:iCs/>
          <w:sz w:val="20"/>
          <w:szCs w:val="20"/>
          <w:vertAlign w:val="superscript"/>
          <w:lang w:val="en-GB"/>
        </w:rPr>
        <w:t>19</w:t>
      </w:r>
      <w:r w:rsidRPr="00733F61">
        <w:rPr>
          <w:rFonts w:ascii="Garamond" w:hAnsi="Garamond"/>
          <w:bCs/>
          <w:iCs/>
          <w:sz w:val="20"/>
          <w:szCs w:val="20"/>
          <w:lang w:val="en-GB"/>
        </w:rPr>
        <w:t xml:space="preserve"> highlighted that most butchers in their sample did not use protective equipment, pointing to inadequate workplace safety practices.</w:t>
      </w:r>
    </w:p>
    <w:p w14:paraId="652B52B3" w14:textId="77777777" w:rsidR="00733F61" w:rsidRDefault="00733F61" w:rsidP="00733F61">
      <w:pPr>
        <w:spacing w:line="259" w:lineRule="auto"/>
        <w:jc w:val="both"/>
        <w:rPr>
          <w:rFonts w:ascii="Garamond" w:hAnsi="Garamond"/>
          <w:b/>
          <w:bCs/>
          <w:iCs/>
          <w:sz w:val="20"/>
          <w:szCs w:val="20"/>
          <w:lang w:val="en-GB"/>
        </w:rPr>
      </w:pPr>
    </w:p>
    <w:p w14:paraId="5634FDDC" w14:textId="40A3C0E1" w:rsidR="00733F61" w:rsidRPr="00733F61" w:rsidRDefault="00733F61" w:rsidP="00733F61">
      <w:pPr>
        <w:spacing w:line="259" w:lineRule="auto"/>
        <w:jc w:val="both"/>
        <w:rPr>
          <w:rFonts w:ascii="Garamond" w:hAnsi="Garamond"/>
          <w:b/>
          <w:bCs/>
          <w:iCs/>
          <w:sz w:val="20"/>
          <w:szCs w:val="20"/>
          <w:lang w:val="en-GB"/>
        </w:rPr>
      </w:pPr>
      <w:r w:rsidRPr="00733F61">
        <w:rPr>
          <w:rFonts w:ascii="Garamond" w:hAnsi="Garamond"/>
          <w:b/>
          <w:bCs/>
          <w:iCs/>
          <w:sz w:val="20"/>
          <w:szCs w:val="20"/>
          <w:lang w:val="en-GB"/>
        </w:rPr>
        <w:t>Implication for research</w:t>
      </w:r>
    </w:p>
    <w:p w14:paraId="49FBB48B" w14:textId="77777777" w:rsidR="00733F61" w:rsidRP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First, future research should combine self-reported assessments with clinical diagnostic methods. The comprehensive approach used by Hayder et al.</w:t>
      </w:r>
      <w:r w:rsidRPr="00733F61">
        <w:rPr>
          <w:rFonts w:ascii="Garamond" w:hAnsi="Garamond"/>
          <w:bCs/>
          <w:iCs/>
          <w:sz w:val="20"/>
          <w:szCs w:val="20"/>
          <w:vertAlign w:val="superscript"/>
          <w:lang w:val="en-GB"/>
        </w:rPr>
        <w:t>20</w:t>
      </w:r>
      <w:r w:rsidRPr="00733F61">
        <w:rPr>
          <w:rFonts w:ascii="Garamond" w:hAnsi="Garamond"/>
          <w:bCs/>
          <w:iCs/>
          <w:sz w:val="20"/>
          <w:szCs w:val="20"/>
          <w:lang w:val="en-GB"/>
        </w:rPr>
        <w:t xml:space="preserve"> offers a strong example of how clinical confirmation can enhance diagnostic accuracy and reliability. Studies should consider incorporating physical examinations, functional assessments, or imaging when appropriate. Second, researchers should adopt longitudinal study designs to assess symptom progression, determine causality, and evaluate the long-term effects of occupational exposures. This would provide deeper insight into how musculoskeletal conditions develop and respond to interventions over time. Third, there is a need </w:t>
      </w:r>
      <w:r w:rsidRPr="00733F61">
        <w:rPr>
          <w:rFonts w:ascii="Garamond" w:hAnsi="Garamond"/>
          <w:bCs/>
          <w:iCs/>
          <w:sz w:val="20"/>
          <w:szCs w:val="20"/>
          <w:lang w:val="en-GB"/>
        </w:rPr>
        <w:t>to standardize diagnostic tools and outcome measures across studies. Consistent use of validated instruments such as the SNMQ, Boston Carpal Tunnel Syndrome Questionnaire (BCTSQ), and Visual Analog Scales (VAS) would improve the comparability of findings and support future evidence synthesis. Fourth, future studies should explore and evaluate preventive and ergonomic interventions. None of the included studies assessed the effectiveness of workplace modifications or safety programs. Intervention-based research such as trials on ergonomic training, use of mechanical aids, or personal protective equipment is essential for evidence-based practice in occupational health.</w:t>
      </w:r>
    </w:p>
    <w:p w14:paraId="5592B446" w14:textId="77777777" w:rsidR="00733F61" w:rsidRDefault="00733F61" w:rsidP="00733F61">
      <w:pPr>
        <w:spacing w:line="259" w:lineRule="auto"/>
        <w:jc w:val="both"/>
        <w:rPr>
          <w:rFonts w:ascii="Garamond" w:hAnsi="Garamond"/>
          <w:b/>
          <w:bCs/>
          <w:iCs/>
          <w:sz w:val="20"/>
          <w:szCs w:val="20"/>
          <w:lang w:val="en-GB"/>
        </w:rPr>
      </w:pPr>
    </w:p>
    <w:p w14:paraId="584A073F" w14:textId="4045EC9A" w:rsidR="00733F61" w:rsidRPr="00733F61" w:rsidRDefault="00733F61" w:rsidP="00733F61">
      <w:pPr>
        <w:spacing w:line="259" w:lineRule="auto"/>
        <w:jc w:val="both"/>
        <w:rPr>
          <w:rFonts w:ascii="Garamond" w:hAnsi="Garamond"/>
          <w:b/>
          <w:bCs/>
          <w:iCs/>
          <w:sz w:val="20"/>
          <w:szCs w:val="20"/>
          <w:lang w:val="en-GB"/>
        </w:rPr>
      </w:pPr>
      <w:r w:rsidRPr="00733F61">
        <w:rPr>
          <w:rFonts w:ascii="Garamond" w:hAnsi="Garamond"/>
          <w:b/>
          <w:bCs/>
          <w:iCs/>
          <w:sz w:val="20"/>
          <w:szCs w:val="20"/>
          <w:lang w:val="en-GB"/>
        </w:rPr>
        <w:t>Implication for practice</w:t>
      </w:r>
    </w:p>
    <w:p w14:paraId="2B04D20E" w14:textId="77777777" w:rsidR="00733F61" w:rsidRPr="00733F61" w:rsidRDefault="00733F61" w:rsidP="00733F61">
      <w:pPr>
        <w:spacing w:line="259" w:lineRule="auto"/>
        <w:jc w:val="both"/>
        <w:rPr>
          <w:rFonts w:ascii="Garamond" w:hAnsi="Garamond"/>
          <w:bCs/>
          <w:iCs/>
          <w:sz w:val="20"/>
          <w:szCs w:val="20"/>
          <w:lang w:val="en-GB"/>
        </w:rPr>
      </w:pPr>
      <w:r w:rsidRPr="00733F61">
        <w:rPr>
          <w:rFonts w:ascii="Garamond" w:hAnsi="Garamond"/>
          <w:bCs/>
          <w:iCs/>
          <w:sz w:val="20"/>
          <w:szCs w:val="20"/>
          <w:lang w:val="en-GB"/>
        </w:rPr>
        <w:t xml:space="preserve">Policy-level action is needed to address structural gaps. Authorities should integrate musculoskeletal screening into occupational health assessments for butchers and meat industry workers. Enhancing access to primary care, physiotherapy, and safety education could significantly reduce the burden of MSDs in this high-risk occupational group, as illustrated by the unmet needs reported in Johnson &amp; </w:t>
      </w:r>
      <w:proofErr w:type="spellStart"/>
      <w:r w:rsidRPr="00733F61">
        <w:rPr>
          <w:rFonts w:ascii="Garamond" w:hAnsi="Garamond"/>
          <w:bCs/>
          <w:iCs/>
          <w:sz w:val="20"/>
          <w:szCs w:val="20"/>
          <w:lang w:val="en-GB"/>
        </w:rPr>
        <w:t>Etokidem</w:t>
      </w:r>
      <w:proofErr w:type="spellEnd"/>
      <w:r w:rsidRPr="00733F61">
        <w:rPr>
          <w:rFonts w:ascii="Garamond" w:hAnsi="Garamond"/>
          <w:bCs/>
          <w:iCs/>
          <w:sz w:val="20"/>
          <w:szCs w:val="20"/>
          <w:lang w:val="en-GB"/>
        </w:rPr>
        <w:t xml:space="preserve"> </w:t>
      </w:r>
      <w:r w:rsidRPr="00733F61">
        <w:rPr>
          <w:rFonts w:ascii="Garamond" w:hAnsi="Garamond"/>
          <w:bCs/>
          <w:iCs/>
          <w:sz w:val="20"/>
          <w:szCs w:val="20"/>
          <w:vertAlign w:val="superscript"/>
          <w:lang w:val="en-GB"/>
        </w:rPr>
        <w:t>6</w:t>
      </w:r>
      <w:r w:rsidRPr="00733F61">
        <w:rPr>
          <w:rFonts w:ascii="Garamond" w:hAnsi="Garamond"/>
          <w:bCs/>
          <w:iCs/>
          <w:sz w:val="20"/>
          <w:szCs w:val="20"/>
          <w:lang w:val="en-GB"/>
        </w:rPr>
        <w:t xml:space="preserve"> and Shamsi et al.</w:t>
      </w:r>
      <w:r w:rsidRPr="00733F61">
        <w:rPr>
          <w:rFonts w:ascii="Garamond" w:hAnsi="Garamond"/>
          <w:bCs/>
          <w:iCs/>
          <w:sz w:val="20"/>
          <w:szCs w:val="20"/>
          <w:vertAlign w:val="superscript"/>
          <w:lang w:val="en-GB"/>
        </w:rPr>
        <w:t>18</w:t>
      </w:r>
    </w:p>
    <w:p w14:paraId="35CE2962" w14:textId="77777777" w:rsidR="00733F61" w:rsidRDefault="00733F61" w:rsidP="00733F61">
      <w:pPr>
        <w:spacing w:line="259" w:lineRule="auto"/>
        <w:jc w:val="both"/>
        <w:rPr>
          <w:rFonts w:ascii="Garamond" w:hAnsi="Garamond"/>
          <w:b/>
          <w:bCs/>
          <w:iCs/>
          <w:sz w:val="20"/>
          <w:szCs w:val="20"/>
          <w:lang w:val="en-GB"/>
        </w:rPr>
      </w:pPr>
    </w:p>
    <w:p w14:paraId="72FB3894" w14:textId="58FB85F4" w:rsidR="00733F61" w:rsidRPr="00733F61" w:rsidRDefault="0040264D" w:rsidP="00733F61">
      <w:pPr>
        <w:spacing w:line="259" w:lineRule="auto"/>
        <w:jc w:val="both"/>
        <w:rPr>
          <w:rFonts w:ascii="Garamond" w:hAnsi="Garamond"/>
          <w:bCs/>
          <w:iCs/>
          <w:sz w:val="20"/>
          <w:szCs w:val="20"/>
          <w:lang w:val="en-GB"/>
        </w:rPr>
      </w:pPr>
      <w:r w:rsidRPr="0040264D">
        <w:rPr>
          <w:rFonts w:ascii="Garamond" w:hAnsi="Garamond"/>
          <w:b/>
          <w:bCs/>
          <w:iCs/>
          <w:sz w:val="22"/>
          <w:szCs w:val="22"/>
          <w:lang w:val="en-GB"/>
        </w:rPr>
        <w:t>CONCLUSION</w:t>
      </w:r>
      <w:bookmarkEnd w:id="20"/>
      <w:r w:rsidR="00733F61" w:rsidRPr="00733F61">
        <w:rPr>
          <w:rFonts w:ascii="Garamond" w:hAnsi="Garamond"/>
          <w:bCs/>
          <w:iCs/>
          <w:sz w:val="20"/>
          <w:szCs w:val="20"/>
          <w:lang w:val="en-GB"/>
        </w:rPr>
        <w:br/>
        <w:t>Butchers exhibit a high prevalence of WRMSDs across multiple body regions, driven by repetitive, forceful, and awkward manual tasks inherent in meat processing. These disorders impair function, productivity, and well-being, yet formal healthcare utilization and preventive measures remain limited. Addressing this occupational health issue requires multi-pronged strategies: ergonomic interventions, worker training, occupational health surveillance programmes, and policy support.</w:t>
      </w:r>
    </w:p>
    <w:p w14:paraId="779E126F" w14:textId="77777777" w:rsidR="00733F61" w:rsidRDefault="00733F61" w:rsidP="00733F61">
      <w:pPr>
        <w:spacing w:line="259" w:lineRule="auto"/>
        <w:jc w:val="both"/>
        <w:rPr>
          <w:rFonts w:ascii="Garamond" w:hAnsi="Garamond"/>
          <w:b/>
          <w:bCs/>
          <w:iCs/>
          <w:sz w:val="20"/>
          <w:szCs w:val="20"/>
          <w:lang w:val="en-GB"/>
        </w:rPr>
      </w:pPr>
    </w:p>
    <w:p w14:paraId="2AB66946" w14:textId="444ECED0" w:rsidR="00733F61" w:rsidRPr="00733F61" w:rsidRDefault="00733F61" w:rsidP="00733F61">
      <w:pPr>
        <w:spacing w:line="259" w:lineRule="auto"/>
        <w:jc w:val="both"/>
        <w:rPr>
          <w:rFonts w:ascii="Garamond" w:hAnsi="Garamond"/>
          <w:b/>
          <w:bCs/>
          <w:iCs/>
          <w:sz w:val="20"/>
          <w:szCs w:val="20"/>
          <w:lang w:val="en-GB"/>
        </w:rPr>
      </w:pPr>
      <w:r w:rsidRPr="00733F61">
        <w:rPr>
          <w:rFonts w:ascii="Garamond" w:hAnsi="Garamond"/>
          <w:b/>
          <w:bCs/>
          <w:iCs/>
          <w:sz w:val="20"/>
          <w:szCs w:val="20"/>
          <w:lang w:val="en-GB"/>
        </w:rPr>
        <w:t>Abbreviations</w:t>
      </w:r>
    </w:p>
    <w:p w14:paraId="32F15E4C" w14:textId="02E9203A" w:rsidR="00733F61" w:rsidRPr="00733F61" w:rsidRDefault="00733F61" w:rsidP="0040264D">
      <w:pPr>
        <w:spacing w:line="259" w:lineRule="auto"/>
        <w:rPr>
          <w:rFonts w:ascii="Garamond" w:hAnsi="Garamond"/>
          <w:bCs/>
          <w:iCs/>
          <w:sz w:val="20"/>
          <w:szCs w:val="20"/>
          <w:lang w:val="en-GB"/>
        </w:rPr>
      </w:pPr>
      <w:r w:rsidRPr="00733F61">
        <w:rPr>
          <w:rFonts w:ascii="Garamond" w:hAnsi="Garamond"/>
          <w:bCs/>
          <w:iCs/>
          <w:sz w:val="20"/>
          <w:szCs w:val="20"/>
          <w:lang w:val="en-GB"/>
        </w:rPr>
        <w:t>WRMSDs</w:t>
      </w:r>
      <w:r w:rsidR="0040264D">
        <w:rPr>
          <w:rFonts w:ascii="Garamond" w:hAnsi="Garamond"/>
          <w:bCs/>
          <w:iCs/>
          <w:sz w:val="20"/>
          <w:szCs w:val="20"/>
          <w:lang w:val="en-GB"/>
        </w:rPr>
        <w:t xml:space="preserve">: </w:t>
      </w:r>
      <w:r w:rsidRPr="00733F61">
        <w:rPr>
          <w:rFonts w:ascii="Garamond" w:hAnsi="Garamond"/>
          <w:bCs/>
          <w:iCs/>
          <w:sz w:val="20"/>
          <w:szCs w:val="20"/>
          <w:lang w:val="en-GB"/>
        </w:rPr>
        <w:t>Work-related Musculoskeletal Disorders</w:t>
      </w:r>
    </w:p>
    <w:p w14:paraId="70BB6877" w14:textId="734AEFB9" w:rsidR="00733F61" w:rsidRPr="00733F61" w:rsidRDefault="00733F61" w:rsidP="0040264D">
      <w:pPr>
        <w:spacing w:line="259" w:lineRule="auto"/>
        <w:rPr>
          <w:rFonts w:ascii="Garamond" w:hAnsi="Garamond"/>
          <w:bCs/>
          <w:iCs/>
          <w:sz w:val="20"/>
          <w:szCs w:val="20"/>
          <w:lang w:val="en-GB"/>
        </w:rPr>
      </w:pPr>
      <w:r w:rsidRPr="00733F61">
        <w:rPr>
          <w:rFonts w:ascii="Garamond" w:hAnsi="Garamond"/>
          <w:bCs/>
          <w:iCs/>
          <w:sz w:val="20"/>
          <w:szCs w:val="20"/>
          <w:lang w:val="en-GB"/>
        </w:rPr>
        <w:t>MSDs</w:t>
      </w:r>
      <w:r w:rsidR="0040264D">
        <w:rPr>
          <w:rFonts w:ascii="Garamond" w:hAnsi="Garamond"/>
          <w:bCs/>
          <w:iCs/>
          <w:sz w:val="20"/>
          <w:szCs w:val="20"/>
          <w:lang w:val="en-GB"/>
        </w:rPr>
        <w:t xml:space="preserve">: </w:t>
      </w:r>
      <w:r w:rsidRPr="00733F61">
        <w:rPr>
          <w:rFonts w:ascii="Garamond" w:hAnsi="Garamond"/>
          <w:bCs/>
          <w:iCs/>
          <w:sz w:val="20"/>
          <w:szCs w:val="20"/>
          <w:lang w:val="en-GB"/>
        </w:rPr>
        <w:t>Musculoskeletal disorders</w:t>
      </w:r>
    </w:p>
    <w:p w14:paraId="60A39BC8" w14:textId="712BE2A3" w:rsidR="00733F61" w:rsidRPr="00733F61" w:rsidRDefault="00733F61" w:rsidP="0040264D">
      <w:pPr>
        <w:spacing w:line="259" w:lineRule="auto"/>
        <w:rPr>
          <w:rFonts w:ascii="Garamond" w:hAnsi="Garamond"/>
          <w:bCs/>
          <w:iCs/>
          <w:sz w:val="20"/>
          <w:szCs w:val="20"/>
          <w:lang w:val="en-GB"/>
        </w:rPr>
      </w:pPr>
      <w:r w:rsidRPr="00733F61">
        <w:rPr>
          <w:rFonts w:ascii="Garamond" w:hAnsi="Garamond"/>
          <w:bCs/>
          <w:iCs/>
          <w:sz w:val="20"/>
          <w:szCs w:val="20"/>
          <w:lang w:val="en-GB"/>
        </w:rPr>
        <w:t>WHO</w:t>
      </w:r>
      <w:r w:rsidR="0040264D">
        <w:rPr>
          <w:rFonts w:ascii="Garamond" w:hAnsi="Garamond"/>
          <w:bCs/>
          <w:iCs/>
          <w:sz w:val="20"/>
          <w:szCs w:val="20"/>
          <w:lang w:val="en-GB"/>
        </w:rPr>
        <w:t xml:space="preserve">: </w:t>
      </w:r>
      <w:r w:rsidRPr="00733F61">
        <w:rPr>
          <w:rFonts w:ascii="Garamond" w:hAnsi="Garamond"/>
          <w:bCs/>
          <w:iCs/>
          <w:sz w:val="20"/>
          <w:szCs w:val="20"/>
          <w:lang w:val="en-GB"/>
        </w:rPr>
        <w:t>World Health Organization</w:t>
      </w:r>
    </w:p>
    <w:p w14:paraId="7F9C3FEA" w14:textId="20D59C0C" w:rsidR="00733F61" w:rsidRPr="00733F61" w:rsidRDefault="00733F61" w:rsidP="0040264D">
      <w:pPr>
        <w:spacing w:line="259" w:lineRule="auto"/>
        <w:rPr>
          <w:rFonts w:ascii="Garamond" w:hAnsi="Garamond"/>
          <w:bCs/>
          <w:iCs/>
          <w:sz w:val="20"/>
          <w:szCs w:val="20"/>
          <w:lang w:val="en-GB"/>
        </w:rPr>
      </w:pPr>
      <w:r w:rsidRPr="00733F61">
        <w:rPr>
          <w:rFonts w:ascii="Garamond" w:hAnsi="Garamond"/>
          <w:bCs/>
          <w:iCs/>
          <w:sz w:val="20"/>
          <w:szCs w:val="20"/>
          <w:lang w:val="en-GB"/>
        </w:rPr>
        <w:t>GBD</w:t>
      </w:r>
      <w:r w:rsidR="0040264D">
        <w:rPr>
          <w:rFonts w:ascii="Garamond" w:hAnsi="Garamond"/>
          <w:bCs/>
          <w:iCs/>
          <w:sz w:val="20"/>
          <w:szCs w:val="20"/>
          <w:lang w:val="en-GB"/>
        </w:rPr>
        <w:t xml:space="preserve">: </w:t>
      </w:r>
      <w:r w:rsidRPr="00733F61">
        <w:rPr>
          <w:rFonts w:ascii="Garamond" w:hAnsi="Garamond"/>
          <w:bCs/>
          <w:iCs/>
          <w:sz w:val="20"/>
          <w:szCs w:val="20"/>
          <w:lang w:val="en-GB"/>
        </w:rPr>
        <w:t>Global Burden of Disease</w:t>
      </w:r>
    </w:p>
    <w:p w14:paraId="284CE24E" w14:textId="1BB47B73" w:rsidR="00733F61" w:rsidRPr="00733F61" w:rsidRDefault="00733F61" w:rsidP="0040264D">
      <w:pPr>
        <w:spacing w:line="259" w:lineRule="auto"/>
        <w:rPr>
          <w:rFonts w:ascii="Garamond" w:hAnsi="Garamond"/>
          <w:bCs/>
          <w:iCs/>
          <w:sz w:val="20"/>
          <w:szCs w:val="20"/>
          <w:lang w:val="en-GB"/>
        </w:rPr>
      </w:pPr>
      <w:r w:rsidRPr="00733F61">
        <w:rPr>
          <w:rFonts w:ascii="Garamond" w:hAnsi="Garamond"/>
          <w:bCs/>
          <w:iCs/>
          <w:sz w:val="20"/>
          <w:szCs w:val="20"/>
          <w:lang w:val="en-GB"/>
        </w:rPr>
        <w:t>LMICs</w:t>
      </w:r>
      <w:r w:rsidR="0040264D">
        <w:rPr>
          <w:rFonts w:ascii="Garamond" w:hAnsi="Garamond"/>
          <w:bCs/>
          <w:iCs/>
          <w:sz w:val="20"/>
          <w:szCs w:val="20"/>
          <w:lang w:val="en-GB"/>
        </w:rPr>
        <w:t xml:space="preserve">: </w:t>
      </w:r>
      <w:r w:rsidRPr="00733F61">
        <w:rPr>
          <w:rFonts w:ascii="Garamond" w:hAnsi="Garamond"/>
          <w:bCs/>
          <w:iCs/>
          <w:sz w:val="20"/>
          <w:szCs w:val="20"/>
          <w:lang w:val="en-GB"/>
        </w:rPr>
        <w:t>Low-and Middle-Income Countries</w:t>
      </w:r>
    </w:p>
    <w:p w14:paraId="28928C33" w14:textId="528257B7" w:rsidR="00733F61" w:rsidRPr="00733F61" w:rsidRDefault="00733F61" w:rsidP="0040264D">
      <w:pPr>
        <w:spacing w:line="259" w:lineRule="auto"/>
        <w:rPr>
          <w:rFonts w:ascii="Garamond" w:hAnsi="Garamond"/>
          <w:bCs/>
          <w:iCs/>
          <w:sz w:val="20"/>
          <w:szCs w:val="20"/>
          <w:lang w:val="en-GB"/>
        </w:rPr>
      </w:pPr>
      <w:r w:rsidRPr="00733F61">
        <w:rPr>
          <w:rFonts w:ascii="Garamond" w:hAnsi="Garamond"/>
          <w:bCs/>
          <w:iCs/>
          <w:sz w:val="20"/>
          <w:szCs w:val="20"/>
          <w:lang w:val="en-GB"/>
        </w:rPr>
        <w:t>PRISMA-</w:t>
      </w:r>
      <w:proofErr w:type="spellStart"/>
      <w:r w:rsidRPr="00733F61">
        <w:rPr>
          <w:rFonts w:ascii="Garamond" w:hAnsi="Garamond"/>
          <w:bCs/>
          <w:iCs/>
          <w:sz w:val="20"/>
          <w:szCs w:val="20"/>
          <w:lang w:val="en-GB"/>
        </w:rPr>
        <w:t>ScR</w:t>
      </w:r>
      <w:proofErr w:type="spellEnd"/>
      <w:r w:rsidR="0040264D">
        <w:rPr>
          <w:rFonts w:ascii="Garamond" w:hAnsi="Garamond"/>
          <w:bCs/>
          <w:iCs/>
          <w:sz w:val="20"/>
          <w:szCs w:val="20"/>
          <w:lang w:val="en-GB"/>
        </w:rPr>
        <w:t xml:space="preserve">: </w:t>
      </w:r>
      <w:r w:rsidRPr="00733F61">
        <w:rPr>
          <w:rFonts w:ascii="Garamond" w:hAnsi="Garamond"/>
          <w:bCs/>
          <w:iCs/>
          <w:sz w:val="20"/>
          <w:szCs w:val="20"/>
          <w:lang w:val="en-GB"/>
        </w:rPr>
        <w:t>Preferred Reporting Items for Systematic Reviews and Meta-Analyses extension for Scoping Reviews</w:t>
      </w:r>
    </w:p>
    <w:p w14:paraId="19194D68" w14:textId="58E5BE7A" w:rsidR="00733F61" w:rsidRPr="00733F61" w:rsidRDefault="00733F61" w:rsidP="0040264D">
      <w:pPr>
        <w:spacing w:line="259" w:lineRule="auto"/>
        <w:rPr>
          <w:rFonts w:ascii="Garamond" w:hAnsi="Garamond"/>
          <w:bCs/>
          <w:iCs/>
          <w:sz w:val="20"/>
          <w:szCs w:val="20"/>
          <w:lang w:val="en-GB"/>
        </w:rPr>
      </w:pPr>
      <w:r w:rsidRPr="00733F61">
        <w:rPr>
          <w:rFonts w:ascii="Garamond" w:hAnsi="Garamond"/>
          <w:bCs/>
          <w:iCs/>
          <w:sz w:val="20"/>
          <w:szCs w:val="20"/>
          <w:lang w:val="en-GB"/>
        </w:rPr>
        <w:t>CTS</w:t>
      </w:r>
      <w:r w:rsidR="0040264D">
        <w:rPr>
          <w:rFonts w:ascii="Garamond" w:hAnsi="Garamond"/>
          <w:bCs/>
          <w:iCs/>
          <w:sz w:val="20"/>
          <w:szCs w:val="20"/>
          <w:lang w:val="en-GB"/>
        </w:rPr>
        <w:t xml:space="preserve">: </w:t>
      </w:r>
      <w:r w:rsidRPr="00733F61">
        <w:rPr>
          <w:rFonts w:ascii="Garamond" w:hAnsi="Garamond"/>
          <w:bCs/>
          <w:iCs/>
          <w:sz w:val="20"/>
          <w:szCs w:val="20"/>
          <w:lang w:val="en-GB"/>
        </w:rPr>
        <w:t xml:space="preserve">Carpal Tunnel Syndrome </w:t>
      </w:r>
    </w:p>
    <w:p w14:paraId="7ABB5031" w14:textId="15D0A1B1" w:rsidR="00733F61" w:rsidRPr="00733F61" w:rsidRDefault="00733F61" w:rsidP="0040264D">
      <w:pPr>
        <w:spacing w:line="259" w:lineRule="auto"/>
        <w:rPr>
          <w:rFonts w:ascii="Garamond" w:hAnsi="Garamond"/>
          <w:bCs/>
          <w:iCs/>
          <w:sz w:val="20"/>
          <w:szCs w:val="20"/>
          <w:lang w:val="en-GB"/>
        </w:rPr>
      </w:pPr>
      <w:r w:rsidRPr="00733F61">
        <w:rPr>
          <w:rFonts w:ascii="Garamond" w:hAnsi="Garamond"/>
          <w:bCs/>
          <w:iCs/>
          <w:sz w:val="20"/>
          <w:szCs w:val="20"/>
          <w:lang w:val="en-GB"/>
        </w:rPr>
        <w:t>SNMQ</w:t>
      </w:r>
      <w:r w:rsidR="0040264D">
        <w:rPr>
          <w:rFonts w:ascii="Garamond" w:hAnsi="Garamond"/>
          <w:bCs/>
          <w:iCs/>
          <w:sz w:val="20"/>
          <w:szCs w:val="20"/>
          <w:lang w:val="en-GB"/>
        </w:rPr>
        <w:t xml:space="preserve">: </w:t>
      </w:r>
      <w:r w:rsidRPr="00733F61">
        <w:rPr>
          <w:rFonts w:ascii="Garamond" w:hAnsi="Garamond"/>
          <w:bCs/>
          <w:iCs/>
          <w:sz w:val="20"/>
          <w:szCs w:val="20"/>
          <w:lang w:val="en-GB"/>
        </w:rPr>
        <w:t>Standardized Nordic Musculoskeletal Questionnaire</w:t>
      </w:r>
    </w:p>
    <w:p w14:paraId="7F005797" w14:textId="314C9B5A" w:rsidR="00733F61" w:rsidRPr="00733F61" w:rsidRDefault="00733F61" w:rsidP="0040264D">
      <w:pPr>
        <w:spacing w:line="259" w:lineRule="auto"/>
        <w:rPr>
          <w:rFonts w:ascii="Garamond" w:hAnsi="Garamond"/>
          <w:bCs/>
          <w:iCs/>
          <w:sz w:val="20"/>
          <w:szCs w:val="20"/>
          <w:lang w:val="en-GB"/>
        </w:rPr>
      </w:pPr>
      <w:r w:rsidRPr="00733F61">
        <w:rPr>
          <w:rFonts w:ascii="Garamond" w:hAnsi="Garamond"/>
          <w:bCs/>
          <w:iCs/>
          <w:sz w:val="20"/>
          <w:szCs w:val="20"/>
          <w:lang w:val="en-GB"/>
        </w:rPr>
        <w:t>BCTSQ</w:t>
      </w:r>
      <w:r w:rsidR="0040264D">
        <w:rPr>
          <w:rFonts w:ascii="Garamond" w:hAnsi="Garamond"/>
          <w:bCs/>
          <w:iCs/>
          <w:sz w:val="20"/>
          <w:szCs w:val="20"/>
          <w:lang w:val="en-GB"/>
        </w:rPr>
        <w:t xml:space="preserve">: </w:t>
      </w:r>
      <w:r w:rsidRPr="00733F61">
        <w:rPr>
          <w:rFonts w:ascii="Garamond" w:hAnsi="Garamond"/>
          <w:bCs/>
          <w:iCs/>
          <w:sz w:val="20"/>
          <w:szCs w:val="20"/>
          <w:lang w:val="en-GB"/>
        </w:rPr>
        <w:t>Boston Carpal Tunnel Syndrome Questionnaire</w:t>
      </w:r>
    </w:p>
    <w:p w14:paraId="4B2D3C5B" w14:textId="38F6BDB0" w:rsidR="00733F61" w:rsidRPr="00733F61" w:rsidRDefault="00733F61" w:rsidP="0040264D">
      <w:pPr>
        <w:spacing w:line="259" w:lineRule="auto"/>
        <w:rPr>
          <w:rFonts w:ascii="Garamond" w:hAnsi="Garamond"/>
          <w:bCs/>
          <w:iCs/>
          <w:sz w:val="20"/>
          <w:szCs w:val="20"/>
          <w:lang w:val="en-GB"/>
        </w:rPr>
      </w:pPr>
      <w:r w:rsidRPr="00733F61">
        <w:rPr>
          <w:rFonts w:ascii="Garamond" w:hAnsi="Garamond"/>
          <w:bCs/>
          <w:iCs/>
          <w:sz w:val="20"/>
          <w:szCs w:val="20"/>
          <w:lang w:val="en-GB"/>
        </w:rPr>
        <w:lastRenderedPageBreak/>
        <w:t>VAS</w:t>
      </w:r>
      <w:r w:rsidR="0040264D">
        <w:rPr>
          <w:rFonts w:ascii="Garamond" w:hAnsi="Garamond"/>
          <w:bCs/>
          <w:iCs/>
          <w:sz w:val="20"/>
          <w:szCs w:val="20"/>
          <w:lang w:val="en-GB"/>
        </w:rPr>
        <w:t xml:space="preserve">: </w:t>
      </w:r>
      <w:r w:rsidRPr="00733F61">
        <w:rPr>
          <w:rFonts w:ascii="Garamond" w:hAnsi="Garamond"/>
          <w:bCs/>
          <w:iCs/>
          <w:sz w:val="20"/>
          <w:szCs w:val="20"/>
          <w:lang w:val="en-GB"/>
        </w:rPr>
        <w:t>Visual Analog Scales</w:t>
      </w:r>
    </w:p>
    <w:p w14:paraId="7F5102DD" w14:textId="77777777" w:rsidR="008D0E7E" w:rsidRDefault="008D0E7E" w:rsidP="007A1526">
      <w:pPr>
        <w:spacing w:line="259" w:lineRule="auto"/>
        <w:jc w:val="both"/>
        <w:rPr>
          <w:rFonts w:ascii="Garamond" w:hAnsi="Garamond"/>
          <w:bCs/>
          <w:iCs/>
          <w:sz w:val="20"/>
          <w:szCs w:val="20"/>
        </w:rPr>
      </w:pPr>
    </w:p>
    <w:p w14:paraId="02CB473E" w14:textId="749C4E84" w:rsidR="0040264D" w:rsidRPr="0040264D" w:rsidRDefault="0040264D" w:rsidP="007A1526">
      <w:pPr>
        <w:spacing w:line="259" w:lineRule="auto"/>
        <w:jc w:val="both"/>
        <w:rPr>
          <w:rFonts w:ascii="Garamond" w:hAnsi="Garamond"/>
          <w:b/>
          <w:iCs/>
          <w:sz w:val="22"/>
          <w:szCs w:val="22"/>
        </w:rPr>
      </w:pPr>
      <w:r w:rsidRPr="0040264D">
        <w:rPr>
          <w:rFonts w:ascii="Garamond" w:hAnsi="Garamond"/>
          <w:b/>
          <w:iCs/>
          <w:sz w:val="22"/>
          <w:szCs w:val="22"/>
        </w:rPr>
        <w:t>Declarations</w:t>
      </w:r>
    </w:p>
    <w:p w14:paraId="74E7945F" w14:textId="6592C200" w:rsidR="007A1526" w:rsidRDefault="007A1526" w:rsidP="007A1526">
      <w:pPr>
        <w:spacing w:line="259" w:lineRule="auto"/>
        <w:jc w:val="both"/>
        <w:rPr>
          <w:rFonts w:ascii="Garamond" w:hAnsi="Garamond"/>
          <w:b/>
          <w:bCs/>
          <w:iCs/>
          <w:sz w:val="20"/>
          <w:szCs w:val="20"/>
        </w:rPr>
      </w:pPr>
      <w:r w:rsidRPr="00DE2A58">
        <w:rPr>
          <w:rFonts w:ascii="Garamond" w:hAnsi="Garamond"/>
          <w:b/>
          <w:bCs/>
          <w:i/>
          <w:sz w:val="20"/>
          <w:szCs w:val="20"/>
        </w:rPr>
        <w:t>Conflict of Interest Declaration:</w:t>
      </w:r>
      <w:r w:rsidR="0040264D" w:rsidRPr="00DE2A58">
        <w:rPr>
          <w:rFonts w:ascii="Garamond" w:hAnsi="Garamond"/>
          <w:b/>
          <w:bCs/>
          <w:iCs/>
          <w:sz w:val="20"/>
          <w:szCs w:val="20"/>
        </w:rPr>
        <w:t xml:space="preserve"> </w:t>
      </w:r>
      <w:r w:rsidR="00DE2A58" w:rsidRPr="004E53CB">
        <w:rPr>
          <w:rFonts w:ascii="Garamond" w:hAnsi="Garamond" w:cstheme="majorBidi"/>
          <w:sz w:val="20"/>
          <w:szCs w:val="20"/>
        </w:rPr>
        <w:t>The authors declare that they have no competing interest</w:t>
      </w:r>
      <w:r w:rsidR="00DE2A58" w:rsidRPr="00733F61">
        <w:rPr>
          <w:rFonts w:ascii="Garamond" w:hAnsi="Garamond"/>
          <w:b/>
          <w:bCs/>
          <w:iCs/>
          <w:sz w:val="20"/>
          <w:szCs w:val="20"/>
          <w:highlight w:val="yellow"/>
        </w:rPr>
        <w:t xml:space="preserve"> </w:t>
      </w:r>
    </w:p>
    <w:p w14:paraId="425E4CA2" w14:textId="4711881F" w:rsidR="0040264D" w:rsidRDefault="0040264D" w:rsidP="007A1526">
      <w:pPr>
        <w:spacing w:line="259" w:lineRule="auto"/>
        <w:jc w:val="both"/>
        <w:rPr>
          <w:rFonts w:ascii="Garamond" w:hAnsi="Garamond"/>
          <w:b/>
          <w:bCs/>
          <w:iCs/>
          <w:sz w:val="20"/>
          <w:szCs w:val="20"/>
        </w:rPr>
      </w:pPr>
      <w:r w:rsidRPr="00DE2A58">
        <w:rPr>
          <w:rFonts w:ascii="Garamond" w:hAnsi="Garamond"/>
          <w:b/>
          <w:bCs/>
          <w:i/>
          <w:sz w:val="20"/>
          <w:szCs w:val="20"/>
        </w:rPr>
        <w:t>Funding</w:t>
      </w:r>
      <w:r w:rsidR="00DE2A58" w:rsidRPr="00DE2A58">
        <w:rPr>
          <w:rFonts w:ascii="Garamond" w:hAnsi="Garamond"/>
          <w:b/>
          <w:bCs/>
          <w:i/>
          <w:sz w:val="20"/>
          <w:szCs w:val="20"/>
        </w:rPr>
        <w:t>:</w:t>
      </w:r>
      <w:r w:rsidR="00DE2A58">
        <w:rPr>
          <w:rFonts w:ascii="Garamond" w:hAnsi="Garamond"/>
          <w:b/>
          <w:bCs/>
          <w:iCs/>
          <w:sz w:val="20"/>
          <w:szCs w:val="20"/>
        </w:rPr>
        <w:t xml:space="preserve"> </w:t>
      </w:r>
      <w:r w:rsidR="00DE2A58" w:rsidRPr="004E53CB">
        <w:rPr>
          <w:rFonts w:ascii="Garamond" w:hAnsi="Garamond" w:cstheme="majorBidi"/>
          <w:sz w:val="20"/>
          <w:szCs w:val="20"/>
        </w:rPr>
        <w:t>This research received no specific grant from funding agencies in the public, commercial, or not-for-profit sectors.</w:t>
      </w:r>
    </w:p>
    <w:p w14:paraId="663C002B" w14:textId="77777777" w:rsidR="00733F61" w:rsidRDefault="00733F61" w:rsidP="007A1526">
      <w:pPr>
        <w:spacing w:line="259" w:lineRule="auto"/>
        <w:jc w:val="both"/>
        <w:rPr>
          <w:rFonts w:ascii="Garamond" w:hAnsi="Garamond"/>
          <w:b/>
          <w:bCs/>
          <w:iCs/>
          <w:sz w:val="20"/>
          <w:szCs w:val="20"/>
        </w:rPr>
      </w:pPr>
    </w:p>
    <w:p w14:paraId="28390319" w14:textId="77777777" w:rsidR="00A852AA" w:rsidRPr="00A852AA" w:rsidRDefault="00A852AA" w:rsidP="00A852AA">
      <w:pPr>
        <w:spacing w:line="259" w:lineRule="auto"/>
        <w:jc w:val="both"/>
        <w:rPr>
          <w:rFonts w:ascii="Garamond" w:hAnsi="Garamond"/>
          <w:b/>
          <w:bCs/>
          <w:iCs/>
          <w:sz w:val="20"/>
          <w:szCs w:val="20"/>
          <w:lang w:val="en-GB"/>
        </w:rPr>
      </w:pPr>
      <w:r w:rsidRPr="00A852AA">
        <w:rPr>
          <w:rFonts w:ascii="Garamond" w:hAnsi="Garamond"/>
          <w:b/>
          <w:bCs/>
          <w:iCs/>
          <w:sz w:val="20"/>
          <w:szCs w:val="20"/>
          <w:lang w:val="en-GB"/>
        </w:rPr>
        <w:t>REFERENCES</w:t>
      </w:r>
    </w:p>
    <w:p w14:paraId="2E389ACB" w14:textId="77777777" w:rsidR="00A852AA" w:rsidRPr="0040264D" w:rsidRDefault="00A852AA" w:rsidP="0040264D">
      <w:pPr>
        <w:numPr>
          <w:ilvl w:val="0"/>
          <w:numId w:val="29"/>
        </w:numPr>
        <w:rPr>
          <w:rFonts w:ascii="Garamond" w:hAnsi="Garamond"/>
          <w:b/>
          <w:bCs/>
          <w:iCs/>
          <w:sz w:val="20"/>
          <w:szCs w:val="20"/>
          <w:lang w:val="en-GB"/>
        </w:rPr>
      </w:pPr>
      <w:r w:rsidRPr="0040264D">
        <w:rPr>
          <w:rFonts w:ascii="Garamond" w:hAnsi="Garamond"/>
          <w:iCs/>
          <w:sz w:val="20"/>
          <w:szCs w:val="20"/>
          <w:lang w:val="en-GB"/>
        </w:rPr>
        <w:t xml:space="preserve">Kumaresan M, Babu DS, Sudha B, Shashanka K. Musculoskeletal Disorders among Long-standing Workers Working for More Than 6-Hours a Day in an Automobile Factory in South India. J. Emerg. Trauma Shock. 2025;18(3):119-125. </w:t>
      </w:r>
      <w:hyperlink r:id="rId27" w:history="1">
        <w:r w:rsidRPr="0040264D">
          <w:rPr>
            <w:rStyle w:val="Hyperlink"/>
            <w:rFonts w:ascii="Garamond" w:hAnsi="Garamond"/>
            <w:iCs/>
            <w:sz w:val="20"/>
            <w:szCs w:val="20"/>
            <w:lang w:val="en-GB"/>
          </w:rPr>
          <w:t>https://doi.org/10.4103/jets.jets_161_24</w:t>
        </w:r>
      </w:hyperlink>
      <w:r w:rsidRPr="0040264D">
        <w:rPr>
          <w:rFonts w:ascii="Garamond" w:hAnsi="Garamond"/>
          <w:iCs/>
          <w:sz w:val="20"/>
          <w:szCs w:val="20"/>
          <w:lang w:val="en-GB"/>
        </w:rPr>
        <w:t xml:space="preserve"> </w:t>
      </w:r>
    </w:p>
    <w:p w14:paraId="4C9726E0" w14:textId="77777777" w:rsidR="00A852AA" w:rsidRPr="0040264D" w:rsidRDefault="00A852AA" w:rsidP="0040264D">
      <w:pPr>
        <w:numPr>
          <w:ilvl w:val="0"/>
          <w:numId w:val="29"/>
        </w:numPr>
        <w:rPr>
          <w:rFonts w:ascii="Garamond" w:hAnsi="Garamond"/>
          <w:b/>
          <w:bCs/>
          <w:iCs/>
          <w:sz w:val="20"/>
          <w:szCs w:val="20"/>
          <w:lang w:val="en-GB"/>
        </w:rPr>
      </w:pPr>
      <w:proofErr w:type="spellStart"/>
      <w:r w:rsidRPr="0040264D">
        <w:rPr>
          <w:rFonts w:ascii="Garamond" w:hAnsi="Garamond"/>
          <w:iCs/>
          <w:sz w:val="20"/>
          <w:szCs w:val="20"/>
          <w:lang w:val="en-GB"/>
        </w:rPr>
        <w:t>Odebiyi</w:t>
      </w:r>
      <w:proofErr w:type="spellEnd"/>
      <w:r w:rsidRPr="0040264D">
        <w:rPr>
          <w:rFonts w:ascii="Garamond" w:hAnsi="Garamond"/>
          <w:iCs/>
          <w:sz w:val="20"/>
          <w:szCs w:val="20"/>
          <w:lang w:val="en-GB"/>
        </w:rPr>
        <w:t xml:space="preserve"> OD, Okafor UAC. Musculoskeletal Disorders, Workplace Ergonomics and Injury Prevention [Internet]. Ergonomics - New Insights. </w:t>
      </w:r>
      <w:proofErr w:type="spellStart"/>
      <w:r w:rsidRPr="0040264D">
        <w:rPr>
          <w:rFonts w:ascii="Garamond" w:hAnsi="Garamond"/>
          <w:iCs/>
          <w:sz w:val="20"/>
          <w:szCs w:val="20"/>
          <w:lang w:val="en-GB"/>
        </w:rPr>
        <w:t>IntechOpen</w:t>
      </w:r>
      <w:proofErr w:type="spellEnd"/>
      <w:r w:rsidRPr="0040264D">
        <w:rPr>
          <w:rFonts w:ascii="Garamond" w:hAnsi="Garamond"/>
          <w:iCs/>
          <w:sz w:val="20"/>
          <w:szCs w:val="20"/>
          <w:lang w:val="en-GB"/>
        </w:rPr>
        <w:t xml:space="preserve">; 2023. Available from: </w:t>
      </w:r>
      <w:hyperlink r:id="rId28" w:history="1">
        <w:r w:rsidRPr="0040264D">
          <w:rPr>
            <w:rStyle w:val="Hyperlink"/>
            <w:rFonts w:ascii="Garamond" w:hAnsi="Garamond"/>
            <w:iCs/>
            <w:sz w:val="20"/>
            <w:szCs w:val="20"/>
            <w:lang w:val="en-GB"/>
          </w:rPr>
          <w:t>https://doi.org/10.5772/intechopen.106031</w:t>
        </w:r>
      </w:hyperlink>
    </w:p>
    <w:p w14:paraId="5DBB4401" w14:textId="77777777" w:rsidR="00A852AA" w:rsidRPr="0040264D" w:rsidRDefault="00A852AA" w:rsidP="0040264D">
      <w:pPr>
        <w:numPr>
          <w:ilvl w:val="0"/>
          <w:numId w:val="29"/>
        </w:numPr>
        <w:rPr>
          <w:rFonts w:ascii="Garamond" w:hAnsi="Garamond"/>
          <w:b/>
          <w:bCs/>
          <w:iCs/>
          <w:sz w:val="20"/>
          <w:szCs w:val="20"/>
          <w:lang w:val="en-GB"/>
        </w:rPr>
      </w:pPr>
      <w:r w:rsidRPr="0040264D">
        <w:rPr>
          <w:rFonts w:ascii="Garamond" w:hAnsi="Garamond"/>
          <w:iCs/>
          <w:sz w:val="20"/>
          <w:szCs w:val="20"/>
          <w:lang w:val="en-GB"/>
        </w:rPr>
        <w:t xml:space="preserve">Soares CO, Pereira BF, Pereira GMV, Marcondes LP, de Campos Gomes F, &amp; de Melo-Neto JS. Preventive factors against work-related musculoskeletal disorders: narrative review. Rev Bras Med Trab. 2020;17(3):415–430. </w:t>
      </w:r>
      <w:r w:rsidRPr="0040264D">
        <w:rPr>
          <w:rFonts w:ascii="Garamond" w:hAnsi="Garamond"/>
          <w:b/>
          <w:bCs/>
          <w:iCs/>
          <w:sz w:val="20"/>
          <w:szCs w:val="20"/>
          <w:lang w:val="en-GB"/>
        </w:rPr>
        <w:t xml:space="preserve"> </w:t>
      </w:r>
      <w:hyperlink r:id="rId29" w:history="1">
        <w:r w:rsidRPr="0040264D">
          <w:rPr>
            <w:rStyle w:val="Hyperlink"/>
            <w:rFonts w:ascii="Garamond" w:hAnsi="Garamond"/>
            <w:iCs/>
            <w:sz w:val="20"/>
            <w:szCs w:val="20"/>
            <w:lang w:val="en-GB"/>
          </w:rPr>
          <w:t>https://doi.org/10.5327/Z1679443520190360</w:t>
        </w:r>
      </w:hyperlink>
    </w:p>
    <w:p w14:paraId="742CB207" w14:textId="77777777" w:rsidR="00A852AA" w:rsidRPr="0040264D" w:rsidRDefault="00A852AA" w:rsidP="0040264D">
      <w:pPr>
        <w:numPr>
          <w:ilvl w:val="0"/>
          <w:numId w:val="29"/>
        </w:numPr>
        <w:rPr>
          <w:rFonts w:ascii="Garamond" w:hAnsi="Garamond"/>
          <w:b/>
          <w:bCs/>
          <w:iCs/>
          <w:sz w:val="20"/>
          <w:szCs w:val="20"/>
          <w:lang w:val="en-GB"/>
        </w:rPr>
      </w:pPr>
      <w:r w:rsidRPr="0040264D">
        <w:rPr>
          <w:rFonts w:ascii="Garamond" w:hAnsi="Garamond"/>
          <w:iCs/>
          <w:sz w:val="20"/>
          <w:szCs w:val="20"/>
          <w:lang w:val="en-GB"/>
        </w:rPr>
        <w:t xml:space="preserve">World Health Organization. Musculoskeletal conditions [Internet]. WHO; 2022 [Cited 2026 January 26]. Available from </w:t>
      </w:r>
      <w:hyperlink r:id="rId30" w:history="1">
        <w:r w:rsidRPr="0040264D">
          <w:rPr>
            <w:rStyle w:val="Hyperlink"/>
            <w:rFonts w:ascii="Garamond" w:hAnsi="Garamond"/>
            <w:iCs/>
            <w:sz w:val="20"/>
            <w:szCs w:val="20"/>
            <w:lang w:val="en-GB"/>
          </w:rPr>
          <w:t>https://www.who.int/news-room/fact-sheets/detail/musculoskeletal-conditions</w:t>
        </w:r>
      </w:hyperlink>
      <w:r w:rsidRPr="0040264D">
        <w:rPr>
          <w:rFonts w:ascii="Garamond" w:hAnsi="Garamond"/>
          <w:iCs/>
          <w:sz w:val="20"/>
          <w:szCs w:val="20"/>
          <w:lang w:val="en-GB"/>
        </w:rPr>
        <w:t xml:space="preserve"> </w:t>
      </w:r>
    </w:p>
    <w:p w14:paraId="71B6A44F"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 xml:space="preserve">Eurostat European Statistics on Accidents at Work. Accident at work statistics [internet] ESAW; 2025 [cited 2026 January 26]. Available online: </w:t>
      </w:r>
      <w:hyperlink r:id="rId31" w:history="1">
        <w:r w:rsidRPr="0040264D">
          <w:rPr>
            <w:rStyle w:val="Hyperlink"/>
            <w:rFonts w:ascii="Garamond" w:hAnsi="Garamond"/>
            <w:iCs/>
            <w:sz w:val="20"/>
            <w:szCs w:val="20"/>
            <w:lang w:val="en-GB"/>
          </w:rPr>
          <w:t>https://osha.europa.eu/en/publications/msds-facts-and-figures-overview-prevalence-costs-and-demographics-msds-europe</w:t>
        </w:r>
      </w:hyperlink>
      <w:r w:rsidRPr="0040264D">
        <w:rPr>
          <w:rFonts w:ascii="Garamond" w:hAnsi="Garamond"/>
          <w:iCs/>
          <w:sz w:val="20"/>
          <w:szCs w:val="20"/>
          <w:lang w:val="en-GB"/>
        </w:rPr>
        <w:t xml:space="preserve"> </w:t>
      </w:r>
    </w:p>
    <w:p w14:paraId="06CA6EF4"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 xml:space="preserve">Johnson OE, </w:t>
      </w:r>
      <w:proofErr w:type="spellStart"/>
      <w:r w:rsidRPr="0040264D">
        <w:rPr>
          <w:rFonts w:ascii="Garamond" w:hAnsi="Garamond"/>
          <w:iCs/>
          <w:sz w:val="20"/>
          <w:szCs w:val="20"/>
          <w:lang w:val="en-GB"/>
        </w:rPr>
        <w:t>Etokidem</w:t>
      </w:r>
      <w:proofErr w:type="spellEnd"/>
      <w:r w:rsidRPr="0040264D">
        <w:rPr>
          <w:rFonts w:ascii="Garamond" w:hAnsi="Garamond"/>
          <w:iCs/>
          <w:sz w:val="20"/>
          <w:szCs w:val="20"/>
          <w:lang w:val="en-GB"/>
        </w:rPr>
        <w:t xml:space="preserve"> AJ. Occupational Hazards and Health Problems among Butchers in </w:t>
      </w:r>
      <w:proofErr w:type="spellStart"/>
      <w:r w:rsidRPr="0040264D">
        <w:rPr>
          <w:rFonts w:ascii="Garamond" w:hAnsi="Garamond"/>
          <w:iCs/>
          <w:sz w:val="20"/>
          <w:szCs w:val="20"/>
          <w:lang w:val="en-GB"/>
        </w:rPr>
        <w:t>Uyo</w:t>
      </w:r>
      <w:proofErr w:type="spellEnd"/>
      <w:r w:rsidRPr="0040264D">
        <w:rPr>
          <w:rFonts w:ascii="Garamond" w:hAnsi="Garamond"/>
          <w:iCs/>
          <w:sz w:val="20"/>
          <w:szCs w:val="20"/>
          <w:lang w:val="en-GB"/>
        </w:rPr>
        <w:t xml:space="preserve">, Nigeria. Niger Med J. 2019;60(3):106–112. </w:t>
      </w:r>
      <w:hyperlink r:id="rId32" w:history="1">
        <w:r w:rsidRPr="0040264D">
          <w:rPr>
            <w:rStyle w:val="Hyperlink"/>
            <w:rFonts w:ascii="Garamond" w:hAnsi="Garamond"/>
            <w:iCs/>
            <w:sz w:val="20"/>
            <w:szCs w:val="20"/>
            <w:lang w:val="en-GB"/>
          </w:rPr>
          <w:t>https://doi.org/10.4103/nmj.NMJ_57_19</w:t>
        </w:r>
      </w:hyperlink>
    </w:p>
    <w:p w14:paraId="1F0F2AAF" w14:textId="77777777" w:rsidR="00A852AA" w:rsidRPr="0040264D" w:rsidRDefault="00A852AA" w:rsidP="0040264D">
      <w:pPr>
        <w:numPr>
          <w:ilvl w:val="0"/>
          <w:numId w:val="29"/>
        </w:numPr>
        <w:rPr>
          <w:rFonts w:ascii="Garamond" w:hAnsi="Garamond"/>
          <w:b/>
          <w:bCs/>
          <w:iCs/>
          <w:sz w:val="20"/>
          <w:szCs w:val="20"/>
          <w:lang w:val="en-GB"/>
        </w:rPr>
      </w:pPr>
      <w:r w:rsidRPr="0040264D">
        <w:rPr>
          <w:rFonts w:ascii="Garamond" w:hAnsi="Garamond"/>
          <w:iCs/>
          <w:sz w:val="20"/>
          <w:szCs w:val="20"/>
          <w:lang w:val="en-GB"/>
        </w:rPr>
        <w:t xml:space="preserve">Kaka B, Idowu OA, Fawole HO, Adeniyi AF, Ogwumike OO, </w:t>
      </w:r>
      <w:proofErr w:type="spellStart"/>
      <w:r w:rsidRPr="0040264D">
        <w:rPr>
          <w:rFonts w:ascii="Garamond" w:hAnsi="Garamond"/>
          <w:iCs/>
          <w:sz w:val="20"/>
          <w:szCs w:val="20"/>
          <w:lang w:val="en-GB"/>
        </w:rPr>
        <w:t>Toryila</w:t>
      </w:r>
      <w:proofErr w:type="spellEnd"/>
      <w:r w:rsidRPr="0040264D">
        <w:rPr>
          <w:rFonts w:ascii="Garamond" w:hAnsi="Garamond"/>
          <w:iCs/>
          <w:sz w:val="20"/>
          <w:szCs w:val="20"/>
          <w:lang w:val="en-GB"/>
        </w:rPr>
        <w:t xml:space="preserve"> MT. An analysis of work-related musculoskeletal disorders among butchers in Kano Metropolis, Nigeria. Saf Health Work. 2016;</w:t>
      </w:r>
      <w:r w:rsidRPr="0040264D">
        <w:rPr>
          <w:rFonts w:ascii="Garamond" w:hAnsi="Garamond"/>
          <w:i/>
          <w:iCs/>
          <w:sz w:val="20"/>
          <w:szCs w:val="20"/>
          <w:lang w:val="en-GB"/>
        </w:rPr>
        <w:t>7</w:t>
      </w:r>
      <w:r w:rsidRPr="0040264D">
        <w:rPr>
          <w:rFonts w:ascii="Garamond" w:hAnsi="Garamond"/>
          <w:iCs/>
          <w:sz w:val="20"/>
          <w:szCs w:val="20"/>
          <w:lang w:val="en-GB"/>
        </w:rPr>
        <w:t xml:space="preserve">(3):218–224. </w:t>
      </w:r>
      <w:hyperlink r:id="rId33" w:tgtFrame="_new" w:history="1">
        <w:r w:rsidRPr="0040264D">
          <w:rPr>
            <w:rStyle w:val="Hyperlink"/>
            <w:rFonts w:ascii="Garamond" w:hAnsi="Garamond"/>
            <w:iCs/>
            <w:sz w:val="20"/>
            <w:szCs w:val="20"/>
            <w:lang w:val="en-GB"/>
          </w:rPr>
          <w:t>https://doi.org/10.1016/j.shaw.2016.01.003</w:t>
        </w:r>
      </w:hyperlink>
    </w:p>
    <w:p w14:paraId="23E53D37"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 xml:space="preserve">Harmse JL, Engelbrecht JC, Bekker JL. The impact of physical and ergonomic hazards on poultry abattoir processing workers: A review. Int </w:t>
      </w:r>
      <w:r w:rsidRPr="0040264D">
        <w:rPr>
          <w:rFonts w:ascii="Garamond" w:hAnsi="Garamond"/>
          <w:iCs/>
          <w:sz w:val="20"/>
          <w:szCs w:val="20"/>
          <w:lang w:val="en-GB"/>
        </w:rPr>
        <w:t xml:space="preserve">J Environ Res Public Health. 2016;13(2):197. </w:t>
      </w:r>
      <w:hyperlink r:id="rId34" w:history="1">
        <w:r w:rsidRPr="0040264D">
          <w:rPr>
            <w:rStyle w:val="Hyperlink"/>
            <w:rFonts w:ascii="Garamond" w:hAnsi="Garamond"/>
            <w:iCs/>
            <w:sz w:val="20"/>
            <w:szCs w:val="20"/>
            <w:lang w:val="en-GB"/>
          </w:rPr>
          <w:t>https://doi.org/10.3390/ijerph13020197</w:t>
        </w:r>
      </w:hyperlink>
    </w:p>
    <w:p w14:paraId="2C6A1EF4"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 xml:space="preserve">Tang KHD (2022). The Prevalence, Causes and Prevention of Occupational Musculoskeletal Disorders. Glob </w:t>
      </w:r>
      <w:proofErr w:type="spellStart"/>
      <w:r w:rsidRPr="0040264D">
        <w:rPr>
          <w:rFonts w:ascii="Garamond" w:hAnsi="Garamond"/>
          <w:iCs/>
          <w:sz w:val="20"/>
          <w:szCs w:val="20"/>
          <w:lang w:val="en-GB"/>
        </w:rPr>
        <w:t>Acad</w:t>
      </w:r>
      <w:proofErr w:type="spellEnd"/>
      <w:r w:rsidRPr="0040264D">
        <w:rPr>
          <w:rFonts w:ascii="Garamond" w:hAnsi="Garamond"/>
          <w:iCs/>
          <w:sz w:val="20"/>
          <w:szCs w:val="20"/>
          <w:lang w:val="en-GB"/>
        </w:rPr>
        <w:t xml:space="preserve"> J Med Sci. 2022;4(2):56-68. </w:t>
      </w:r>
      <w:hyperlink r:id="rId35" w:history="1">
        <w:r w:rsidRPr="0040264D">
          <w:rPr>
            <w:rStyle w:val="Hyperlink"/>
            <w:rFonts w:ascii="Garamond" w:hAnsi="Garamond"/>
            <w:iCs/>
            <w:sz w:val="20"/>
            <w:szCs w:val="20"/>
            <w:lang w:val="en-GB"/>
          </w:rPr>
          <w:t>https://doi.org/10.36348/gajms.2022.v04i02.004</w:t>
        </w:r>
      </w:hyperlink>
    </w:p>
    <w:p w14:paraId="7E32446A"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 xml:space="preserve">Crandall PG, O'Bryan CA, McFadden BR, Wang D, Obe T, </w:t>
      </w:r>
      <w:proofErr w:type="spellStart"/>
      <w:r w:rsidRPr="0040264D">
        <w:rPr>
          <w:rFonts w:ascii="Garamond" w:hAnsi="Garamond"/>
          <w:iCs/>
          <w:sz w:val="20"/>
          <w:szCs w:val="20"/>
          <w:lang w:val="en-GB"/>
        </w:rPr>
        <w:t>Houlroyd</w:t>
      </w:r>
      <w:proofErr w:type="spellEnd"/>
      <w:r w:rsidRPr="0040264D">
        <w:rPr>
          <w:rFonts w:ascii="Garamond" w:hAnsi="Garamond"/>
          <w:iCs/>
          <w:sz w:val="20"/>
          <w:szCs w:val="20"/>
          <w:lang w:val="en-GB"/>
        </w:rPr>
        <w:t xml:space="preserve"> J et al. Review of Successful Workplace Interventions to Mitigate Work-related Musculoskeletal Disorders in Poultry Processing Plant Workers: Current Knowledge and Future Prospects. Saf Health Work. 2025;16(4):398-405. </w:t>
      </w:r>
      <w:hyperlink r:id="rId36" w:history="1">
        <w:r w:rsidRPr="0040264D">
          <w:rPr>
            <w:rStyle w:val="Hyperlink"/>
            <w:rFonts w:ascii="Garamond" w:hAnsi="Garamond"/>
            <w:iCs/>
            <w:sz w:val="20"/>
            <w:szCs w:val="20"/>
            <w:lang w:val="en-GB"/>
          </w:rPr>
          <w:t>https://doi.org/10.1016/j.shaw.2025.09.004</w:t>
        </w:r>
      </w:hyperlink>
      <w:r w:rsidRPr="0040264D">
        <w:rPr>
          <w:rFonts w:ascii="Garamond" w:hAnsi="Garamond"/>
          <w:iCs/>
          <w:sz w:val="20"/>
          <w:szCs w:val="20"/>
          <w:lang w:val="en-GB"/>
        </w:rPr>
        <w:t>.</w:t>
      </w:r>
    </w:p>
    <w:p w14:paraId="6977852D" w14:textId="77777777" w:rsidR="00A852AA" w:rsidRPr="0040264D" w:rsidRDefault="00A852AA" w:rsidP="0040264D">
      <w:pPr>
        <w:numPr>
          <w:ilvl w:val="0"/>
          <w:numId w:val="29"/>
        </w:numPr>
        <w:rPr>
          <w:rFonts w:ascii="Garamond" w:hAnsi="Garamond"/>
          <w:iCs/>
          <w:sz w:val="20"/>
          <w:szCs w:val="20"/>
          <w:lang w:val="en-GB"/>
        </w:rPr>
      </w:pPr>
      <w:proofErr w:type="spellStart"/>
      <w:r w:rsidRPr="0040264D">
        <w:rPr>
          <w:rFonts w:ascii="Garamond" w:hAnsi="Garamond"/>
          <w:iCs/>
          <w:sz w:val="20"/>
          <w:szCs w:val="20"/>
          <w:lang w:val="en-GB"/>
        </w:rPr>
        <w:t>Mosoeu</w:t>
      </w:r>
      <w:proofErr w:type="spellEnd"/>
      <w:r w:rsidRPr="0040264D">
        <w:rPr>
          <w:rFonts w:ascii="Garamond" w:hAnsi="Garamond"/>
          <w:iCs/>
          <w:sz w:val="20"/>
          <w:szCs w:val="20"/>
          <w:lang w:val="en-GB"/>
        </w:rPr>
        <w:t xml:space="preserve"> LG, </w:t>
      </w:r>
      <w:proofErr w:type="spellStart"/>
      <w:r w:rsidRPr="0040264D">
        <w:rPr>
          <w:rFonts w:ascii="Garamond" w:hAnsi="Garamond"/>
          <w:iCs/>
          <w:sz w:val="20"/>
          <w:szCs w:val="20"/>
          <w:lang w:val="en-GB"/>
        </w:rPr>
        <w:t>Rathebe</w:t>
      </w:r>
      <w:proofErr w:type="spellEnd"/>
      <w:r w:rsidRPr="0040264D">
        <w:rPr>
          <w:rFonts w:ascii="Garamond" w:hAnsi="Garamond"/>
          <w:iCs/>
          <w:sz w:val="20"/>
          <w:szCs w:val="20"/>
          <w:lang w:val="en-GB"/>
        </w:rPr>
        <w:t xml:space="preserve"> PC. Occupational Hazards and Health Risks Among Abattoir Workers: A Narrative Review”. AJBR [internet]. 2024;27(2):187-92. </w:t>
      </w:r>
      <w:hyperlink r:id="rId37" w:history="1">
        <w:r w:rsidRPr="0040264D">
          <w:rPr>
            <w:rStyle w:val="Hyperlink"/>
            <w:rFonts w:ascii="Garamond" w:hAnsi="Garamond"/>
            <w:iCs/>
            <w:sz w:val="20"/>
            <w:szCs w:val="20"/>
            <w:lang w:val="en-GB"/>
          </w:rPr>
          <w:t>https://doi.org/10.4314/ajbr.v27i2.2</w:t>
        </w:r>
      </w:hyperlink>
      <w:r w:rsidRPr="0040264D">
        <w:rPr>
          <w:rFonts w:ascii="Garamond" w:hAnsi="Garamond"/>
          <w:iCs/>
          <w:sz w:val="20"/>
          <w:szCs w:val="20"/>
          <w:lang w:val="en-GB"/>
        </w:rPr>
        <w:t>.</w:t>
      </w:r>
    </w:p>
    <w:p w14:paraId="293CF421"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 xml:space="preserve">Oluchi ET, Elochukwu EJ. Occupational Health Hazards and Safety Practises on Abattoir Workers in Owerri Metropolis, Imo State. Glob </w:t>
      </w:r>
      <w:proofErr w:type="spellStart"/>
      <w:r w:rsidRPr="0040264D">
        <w:rPr>
          <w:rFonts w:ascii="Garamond" w:hAnsi="Garamond"/>
          <w:iCs/>
          <w:sz w:val="20"/>
          <w:szCs w:val="20"/>
          <w:lang w:val="en-GB"/>
        </w:rPr>
        <w:t>Acad</w:t>
      </w:r>
      <w:proofErr w:type="spellEnd"/>
      <w:r w:rsidRPr="0040264D">
        <w:rPr>
          <w:rFonts w:ascii="Garamond" w:hAnsi="Garamond"/>
          <w:iCs/>
          <w:sz w:val="20"/>
          <w:szCs w:val="20"/>
          <w:lang w:val="en-GB"/>
        </w:rPr>
        <w:t xml:space="preserve"> J Med Sci. 2023;5(1):51-59. </w:t>
      </w:r>
      <w:hyperlink r:id="rId38" w:history="1">
        <w:r w:rsidRPr="0040264D">
          <w:rPr>
            <w:rStyle w:val="Hyperlink"/>
            <w:rFonts w:ascii="Garamond" w:hAnsi="Garamond"/>
            <w:iCs/>
            <w:sz w:val="20"/>
            <w:szCs w:val="20"/>
            <w:lang w:val="en-GB"/>
          </w:rPr>
          <w:t>https://doi.org/10.36348/gajms.2023.v05i01.009</w:t>
        </w:r>
      </w:hyperlink>
    </w:p>
    <w:p w14:paraId="226E553B"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 xml:space="preserve">Dos Anjos Magri C, </w:t>
      </w:r>
      <w:proofErr w:type="spellStart"/>
      <w:r w:rsidRPr="0040264D">
        <w:rPr>
          <w:rFonts w:ascii="Garamond" w:hAnsi="Garamond"/>
          <w:iCs/>
          <w:sz w:val="20"/>
          <w:szCs w:val="20"/>
          <w:lang w:val="en-GB"/>
        </w:rPr>
        <w:t>Garófallo</w:t>
      </w:r>
      <w:proofErr w:type="spellEnd"/>
      <w:r w:rsidRPr="0040264D">
        <w:rPr>
          <w:rFonts w:ascii="Garamond" w:hAnsi="Garamond"/>
          <w:iCs/>
          <w:sz w:val="20"/>
          <w:szCs w:val="20"/>
          <w:lang w:val="en-GB"/>
        </w:rPr>
        <w:t xml:space="preserve"> GR, Binotto E, Duarte da Silva Lima N, de Alencar </w:t>
      </w:r>
      <w:proofErr w:type="spellStart"/>
      <w:r w:rsidRPr="0040264D">
        <w:rPr>
          <w:rFonts w:ascii="Garamond" w:hAnsi="Garamond"/>
          <w:iCs/>
          <w:sz w:val="20"/>
          <w:szCs w:val="20"/>
          <w:lang w:val="en-GB"/>
        </w:rPr>
        <w:t>Nääs</w:t>
      </w:r>
      <w:proofErr w:type="spellEnd"/>
      <w:r w:rsidRPr="0040264D">
        <w:rPr>
          <w:rFonts w:ascii="Garamond" w:hAnsi="Garamond"/>
          <w:iCs/>
          <w:sz w:val="20"/>
          <w:szCs w:val="20"/>
          <w:lang w:val="en-GB"/>
        </w:rPr>
        <w:t xml:space="preserve"> I, </w:t>
      </w:r>
      <w:proofErr w:type="spellStart"/>
      <w:r w:rsidRPr="0040264D">
        <w:rPr>
          <w:rFonts w:ascii="Garamond" w:hAnsi="Garamond"/>
          <w:iCs/>
          <w:sz w:val="20"/>
          <w:szCs w:val="20"/>
          <w:lang w:val="en-GB"/>
        </w:rPr>
        <w:t>Sgavioli</w:t>
      </w:r>
      <w:proofErr w:type="spellEnd"/>
      <w:r w:rsidRPr="0040264D">
        <w:rPr>
          <w:rFonts w:ascii="Garamond" w:hAnsi="Garamond"/>
          <w:iCs/>
          <w:sz w:val="20"/>
          <w:szCs w:val="20"/>
          <w:lang w:val="en-GB"/>
        </w:rPr>
        <w:t xml:space="preserve"> S, de Castro </w:t>
      </w:r>
      <w:proofErr w:type="spellStart"/>
      <w:r w:rsidRPr="0040264D">
        <w:rPr>
          <w:rFonts w:ascii="Garamond" w:hAnsi="Garamond"/>
          <w:iCs/>
          <w:sz w:val="20"/>
          <w:szCs w:val="20"/>
          <w:lang w:val="en-GB"/>
        </w:rPr>
        <w:t>Burbarelli</w:t>
      </w:r>
      <w:proofErr w:type="spellEnd"/>
      <w:r w:rsidRPr="0040264D">
        <w:rPr>
          <w:rFonts w:ascii="Garamond" w:hAnsi="Garamond"/>
          <w:iCs/>
          <w:sz w:val="20"/>
          <w:szCs w:val="20"/>
          <w:lang w:val="en-GB"/>
        </w:rPr>
        <w:t xml:space="preserve"> MF. Occupational risk factors in health of broiler-farm workers: A systematic review. Arch Environ </w:t>
      </w:r>
      <w:proofErr w:type="spellStart"/>
      <w:r w:rsidRPr="0040264D">
        <w:rPr>
          <w:rFonts w:ascii="Garamond" w:hAnsi="Garamond"/>
          <w:iCs/>
          <w:sz w:val="20"/>
          <w:szCs w:val="20"/>
          <w:lang w:val="en-GB"/>
        </w:rPr>
        <w:t>Occup</w:t>
      </w:r>
      <w:proofErr w:type="spellEnd"/>
      <w:r w:rsidRPr="0040264D">
        <w:rPr>
          <w:rFonts w:ascii="Garamond" w:hAnsi="Garamond"/>
          <w:iCs/>
          <w:sz w:val="20"/>
          <w:szCs w:val="20"/>
          <w:lang w:val="en-GB"/>
        </w:rPr>
        <w:t xml:space="preserve"> Health. 2021;76(8):482-493. </w:t>
      </w:r>
      <w:proofErr w:type="spellStart"/>
      <w:r w:rsidRPr="0040264D">
        <w:rPr>
          <w:rFonts w:ascii="Garamond" w:hAnsi="Garamond"/>
          <w:iCs/>
          <w:sz w:val="20"/>
          <w:szCs w:val="20"/>
          <w:lang w:val="en-GB"/>
        </w:rPr>
        <w:t>doi</w:t>
      </w:r>
      <w:proofErr w:type="spellEnd"/>
      <w:r w:rsidRPr="0040264D">
        <w:rPr>
          <w:rFonts w:ascii="Garamond" w:hAnsi="Garamond"/>
          <w:iCs/>
          <w:sz w:val="20"/>
          <w:szCs w:val="20"/>
          <w:lang w:val="en-GB"/>
        </w:rPr>
        <w:t xml:space="preserve">: </w:t>
      </w:r>
      <w:hyperlink r:id="rId39" w:history="1">
        <w:r w:rsidRPr="0040264D">
          <w:rPr>
            <w:rStyle w:val="Hyperlink"/>
            <w:rFonts w:ascii="Garamond" w:hAnsi="Garamond"/>
            <w:iCs/>
            <w:sz w:val="20"/>
            <w:szCs w:val="20"/>
            <w:lang w:val="en-GB"/>
          </w:rPr>
          <w:t>https://doi.org/10.1080/19338244.2020.1832036</w:t>
        </w:r>
      </w:hyperlink>
      <w:r w:rsidRPr="0040264D">
        <w:rPr>
          <w:rFonts w:ascii="Garamond" w:hAnsi="Garamond"/>
          <w:iCs/>
          <w:sz w:val="20"/>
          <w:szCs w:val="20"/>
          <w:lang w:val="en-GB"/>
        </w:rPr>
        <w:t>.</w:t>
      </w:r>
    </w:p>
    <w:p w14:paraId="7DC87798"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 xml:space="preserve">Arksey H, O'Malley L. Scoping studies: Towards a Methodological Framework. Int J Soc Res </w:t>
      </w:r>
      <w:proofErr w:type="spellStart"/>
      <w:r w:rsidRPr="0040264D">
        <w:rPr>
          <w:rFonts w:ascii="Garamond" w:hAnsi="Garamond"/>
          <w:iCs/>
          <w:sz w:val="20"/>
          <w:szCs w:val="20"/>
          <w:lang w:val="en-GB"/>
        </w:rPr>
        <w:t>Methodol</w:t>
      </w:r>
      <w:proofErr w:type="spellEnd"/>
      <w:r w:rsidRPr="0040264D">
        <w:rPr>
          <w:rFonts w:ascii="Garamond" w:hAnsi="Garamond"/>
          <w:iCs/>
          <w:sz w:val="20"/>
          <w:szCs w:val="20"/>
          <w:lang w:val="en-GB"/>
        </w:rPr>
        <w:t xml:space="preserve">. 2005;8(1):19–32. </w:t>
      </w:r>
      <w:hyperlink r:id="rId40" w:history="1">
        <w:r w:rsidRPr="0040264D">
          <w:rPr>
            <w:rStyle w:val="Hyperlink"/>
            <w:rFonts w:ascii="Garamond" w:hAnsi="Garamond"/>
            <w:iCs/>
            <w:sz w:val="20"/>
            <w:szCs w:val="20"/>
            <w:lang w:val="en-GB"/>
          </w:rPr>
          <w:t>https://doi.org/10.1080/1364557032000119616.</w:t>
        </w:r>
      </w:hyperlink>
    </w:p>
    <w:p w14:paraId="0EA10725"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 xml:space="preserve">Levac D, Colquhoun H, O'Brien KK. Scoping studies: advancing the methodology. Implement Sci. 2010; 5:69. </w:t>
      </w:r>
      <w:hyperlink r:id="rId41" w:history="1">
        <w:r w:rsidRPr="0040264D">
          <w:rPr>
            <w:rStyle w:val="Hyperlink"/>
            <w:rFonts w:ascii="Garamond" w:hAnsi="Garamond"/>
            <w:iCs/>
            <w:sz w:val="20"/>
            <w:szCs w:val="20"/>
            <w:lang w:val="en-GB"/>
          </w:rPr>
          <w:t>https://doi.org/10.1186/1748-5908-5-69</w:t>
        </w:r>
      </w:hyperlink>
      <w:r w:rsidRPr="0040264D">
        <w:rPr>
          <w:rFonts w:ascii="Garamond" w:hAnsi="Garamond"/>
          <w:iCs/>
          <w:sz w:val="20"/>
          <w:szCs w:val="20"/>
          <w:lang w:val="en-GB"/>
        </w:rPr>
        <w:t xml:space="preserve">. </w:t>
      </w:r>
    </w:p>
    <w:p w14:paraId="529BD2E8" w14:textId="77777777" w:rsidR="00A852AA" w:rsidRPr="0040264D" w:rsidRDefault="00A852AA" w:rsidP="0040264D">
      <w:pPr>
        <w:numPr>
          <w:ilvl w:val="0"/>
          <w:numId w:val="29"/>
        </w:numPr>
        <w:rPr>
          <w:rFonts w:ascii="Garamond" w:hAnsi="Garamond"/>
          <w:iCs/>
          <w:sz w:val="20"/>
          <w:szCs w:val="20"/>
          <w:lang w:val="en-GB"/>
        </w:rPr>
      </w:pPr>
      <w:proofErr w:type="spellStart"/>
      <w:r w:rsidRPr="0040264D">
        <w:rPr>
          <w:rFonts w:ascii="Garamond" w:hAnsi="Garamond"/>
          <w:iCs/>
          <w:sz w:val="20"/>
          <w:szCs w:val="20"/>
          <w:lang w:val="en-GB"/>
        </w:rPr>
        <w:t>Tricco</w:t>
      </w:r>
      <w:proofErr w:type="spellEnd"/>
      <w:r w:rsidRPr="0040264D">
        <w:rPr>
          <w:rFonts w:ascii="Garamond" w:hAnsi="Garamond"/>
          <w:iCs/>
          <w:sz w:val="20"/>
          <w:szCs w:val="20"/>
          <w:lang w:val="en-GB"/>
        </w:rPr>
        <w:t xml:space="preserve"> AC, Lillie E, Zarin W, O'Brien KK, Colquhoun H, Levac D et al. PRISMA Extension for Scoping Reviews (PRISMA-</w:t>
      </w:r>
      <w:proofErr w:type="spellStart"/>
      <w:r w:rsidRPr="0040264D">
        <w:rPr>
          <w:rFonts w:ascii="Garamond" w:hAnsi="Garamond"/>
          <w:iCs/>
          <w:sz w:val="20"/>
          <w:szCs w:val="20"/>
          <w:lang w:val="en-GB"/>
        </w:rPr>
        <w:t>ScR</w:t>
      </w:r>
      <w:proofErr w:type="spellEnd"/>
      <w:r w:rsidRPr="0040264D">
        <w:rPr>
          <w:rFonts w:ascii="Garamond" w:hAnsi="Garamond"/>
          <w:iCs/>
          <w:sz w:val="20"/>
          <w:szCs w:val="20"/>
          <w:lang w:val="en-GB"/>
        </w:rPr>
        <w:t xml:space="preserve">): Checklist and Explanation. Ann Intern Med. 2018;169(7):467-473. </w:t>
      </w:r>
      <w:hyperlink r:id="rId42" w:history="1">
        <w:r w:rsidRPr="0040264D">
          <w:rPr>
            <w:rStyle w:val="Hyperlink"/>
            <w:rFonts w:ascii="Garamond" w:hAnsi="Garamond"/>
            <w:iCs/>
            <w:sz w:val="20"/>
            <w:szCs w:val="20"/>
            <w:lang w:val="en-GB"/>
          </w:rPr>
          <w:t>https://doi.org/10.7326/M18-0850.</w:t>
        </w:r>
      </w:hyperlink>
    </w:p>
    <w:p w14:paraId="3EF6FE86"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Saleem Z, Waqas S, Ahmad M, Javaid A, Shakeel A. Frequency of work-related musculoskeletal problems among butchers.  J Riphah Coll. Rehabili. sci. 2020;</w:t>
      </w:r>
      <w:r w:rsidRPr="0040264D">
        <w:rPr>
          <w:rFonts w:ascii="Garamond" w:hAnsi="Garamond"/>
          <w:i/>
          <w:iCs/>
          <w:sz w:val="20"/>
          <w:szCs w:val="20"/>
          <w:lang w:val="en-GB"/>
        </w:rPr>
        <w:t>8</w:t>
      </w:r>
      <w:r w:rsidRPr="0040264D">
        <w:rPr>
          <w:rFonts w:ascii="Garamond" w:hAnsi="Garamond"/>
          <w:iCs/>
          <w:sz w:val="20"/>
          <w:szCs w:val="20"/>
          <w:lang w:val="en-GB"/>
        </w:rPr>
        <w:t xml:space="preserve">(2), 61–63. DOI: </w:t>
      </w:r>
      <w:hyperlink r:id="rId43" w:history="1">
        <w:r w:rsidRPr="0040264D">
          <w:rPr>
            <w:rStyle w:val="Hyperlink"/>
            <w:rFonts w:ascii="Garamond" w:hAnsi="Garamond"/>
            <w:iCs/>
            <w:sz w:val="20"/>
            <w:szCs w:val="20"/>
            <w:lang w:val="en-GB"/>
          </w:rPr>
          <w:t>https://doi.org/10.5455/JRCRS.202008020</w:t>
        </w:r>
      </w:hyperlink>
    </w:p>
    <w:p w14:paraId="248F3844"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Shamsi T, Fahad Q, Md al-din ZH, Shamsi T. Job satisfaction and musculoskeletal disorders among butchers in Dhaka city, Bangladesh. Int. J. Res. Educ. Humanities Commer. 2022;3(5):65–75.</w:t>
      </w:r>
    </w:p>
    <w:p w14:paraId="256E5D86"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lastRenderedPageBreak/>
        <w:t xml:space="preserve">Öz F, Akkuş T, Keskin M, </w:t>
      </w:r>
      <w:proofErr w:type="spellStart"/>
      <w:r w:rsidRPr="0040264D">
        <w:rPr>
          <w:rFonts w:ascii="Garamond" w:hAnsi="Garamond"/>
          <w:iCs/>
          <w:sz w:val="20"/>
          <w:szCs w:val="20"/>
          <w:lang w:val="en-GB"/>
        </w:rPr>
        <w:t>Hallaçeli</w:t>
      </w:r>
      <w:proofErr w:type="spellEnd"/>
      <w:r w:rsidRPr="0040264D">
        <w:rPr>
          <w:rFonts w:ascii="Garamond" w:hAnsi="Garamond"/>
          <w:iCs/>
          <w:sz w:val="20"/>
          <w:szCs w:val="20"/>
          <w:lang w:val="en-GB"/>
        </w:rPr>
        <w:t xml:space="preserve"> H. Analysis of occupational accidents and musculoskeletal system problems of butchers in Hatay. J Exp Clin Med. 2021;38(3):345–349. </w:t>
      </w:r>
      <w:hyperlink r:id="rId44" w:history="1">
        <w:r w:rsidRPr="0040264D">
          <w:rPr>
            <w:rStyle w:val="Hyperlink"/>
            <w:rFonts w:ascii="Garamond" w:hAnsi="Garamond"/>
            <w:iCs/>
            <w:sz w:val="20"/>
            <w:szCs w:val="20"/>
            <w:lang w:val="en-GB"/>
          </w:rPr>
          <w:t>https://doi.org/10.52142/omujecm.38.3.27</w:t>
        </w:r>
      </w:hyperlink>
    </w:p>
    <w:p w14:paraId="1606A8D6"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Hayder A, Fatimah A, Asghar HMU, Maqbool S, Shad M, Zaheer B et al. Prevalence of carpal tunnel syndrome among butchers in Pakistan. Pak. Biomed. J. 2022;5(7):183–187.  </w:t>
      </w:r>
      <w:hyperlink r:id="rId45" w:history="1">
        <w:r w:rsidRPr="0040264D">
          <w:rPr>
            <w:rStyle w:val="Hyperlink"/>
            <w:rFonts w:ascii="Garamond" w:hAnsi="Garamond"/>
            <w:iCs/>
            <w:sz w:val="20"/>
            <w:szCs w:val="20"/>
            <w:lang w:val="en-GB"/>
          </w:rPr>
          <w:t>https://doi.org/10.54393/pbmj.v5i7.676</w:t>
        </w:r>
      </w:hyperlink>
    </w:p>
    <w:p w14:paraId="1887D457"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 xml:space="preserve">Mahmood S, Hardan MN, Samat MK, Jiran NS, Shaari MF. Ergonomic posture assessment of butchers: A small enterprise study in Malaysia food industry. J. Teknol.2019;81(6):89–102.  </w:t>
      </w:r>
      <w:hyperlink r:id="rId46" w:history="1">
        <w:r w:rsidRPr="0040264D">
          <w:rPr>
            <w:rStyle w:val="Hyperlink"/>
            <w:rFonts w:ascii="Garamond" w:hAnsi="Garamond"/>
            <w:iCs/>
            <w:sz w:val="20"/>
            <w:szCs w:val="20"/>
            <w:lang w:val="en-GB"/>
          </w:rPr>
          <w:t>https://doi.org/10.11113/jt.v81.13615</w:t>
        </w:r>
      </w:hyperlink>
    </w:p>
    <w:p w14:paraId="2DE9C2BB"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 xml:space="preserve">Mukhopadhyay P, Khan A. The evaluation of ergonomic risk factors among meat cutters working in Jabalpur, India. Int J </w:t>
      </w:r>
      <w:proofErr w:type="spellStart"/>
      <w:r w:rsidRPr="0040264D">
        <w:rPr>
          <w:rFonts w:ascii="Garamond" w:hAnsi="Garamond"/>
          <w:iCs/>
          <w:sz w:val="20"/>
          <w:szCs w:val="20"/>
          <w:lang w:val="en-GB"/>
        </w:rPr>
        <w:t>Occup</w:t>
      </w:r>
      <w:proofErr w:type="spellEnd"/>
      <w:r w:rsidRPr="0040264D">
        <w:rPr>
          <w:rFonts w:ascii="Garamond" w:hAnsi="Garamond"/>
          <w:iCs/>
          <w:sz w:val="20"/>
          <w:szCs w:val="20"/>
          <w:lang w:val="en-GB"/>
        </w:rPr>
        <w:t xml:space="preserve"> Environ Health. 2015;21(3):192–198. </w:t>
      </w:r>
      <w:hyperlink r:id="rId47" w:history="1">
        <w:r w:rsidRPr="0040264D">
          <w:rPr>
            <w:rStyle w:val="Hyperlink"/>
            <w:rFonts w:ascii="Garamond" w:hAnsi="Garamond"/>
            <w:iCs/>
            <w:sz w:val="20"/>
            <w:szCs w:val="20"/>
            <w:lang w:val="en-GB"/>
          </w:rPr>
          <w:t>https://doi.org/10.1179/2049396714Y.0000000064</w:t>
        </w:r>
      </w:hyperlink>
    </w:p>
    <w:p w14:paraId="7BE05174"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 xml:space="preserve">Reis DC, Moro AR. Assessment of Risk Factors of Upper Limb Musculoskeletal Disorders in a Meat Processing Plant. Physical Ergonomics and Human Factors. 2023; 103:125–134. </w:t>
      </w:r>
      <w:hyperlink r:id="rId48" w:history="1">
        <w:r w:rsidRPr="0040264D">
          <w:rPr>
            <w:rStyle w:val="Hyperlink"/>
            <w:rFonts w:ascii="Garamond" w:hAnsi="Garamond"/>
            <w:iCs/>
            <w:sz w:val="20"/>
            <w:szCs w:val="20"/>
            <w:lang w:val="en-GB"/>
          </w:rPr>
          <w:t>https://doi.org/10.54941/ahfe1003043</w:t>
        </w:r>
      </w:hyperlink>
      <w:r w:rsidRPr="0040264D">
        <w:rPr>
          <w:rFonts w:ascii="Garamond" w:hAnsi="Garamond"/>
          <w:iCs/>
          <w:sz w:val="20"/>
          <w:szCs w:val="20"/>
          <w:lang w:val="en-GB"/>
        </w:rPr>
        <w:t xml:space="preserve"> </w:t>
      </w:r>
    </w:p>
    <w:p w14:paraId="67A1C0F4" w14:textId="77777777" w:rsidR="00A852AA" w:rsidRPr="0040264D" w:rsidRDefault="00A852AA" w:rsidP="0040264D">
      <w:pPr>
        <w:numPr>
          <w:ilvl w:val="0"/>
          <w:numId w:val="29"/>
        </w:numPr>
        <w:rPr>
          <w:rFonts w:ascii="Garamond" w:hAnsi="Garamond"/>
          <w:iCs/>
          <w:sz w:val="20"/>
          <w:szCs w:val="20"/>
          <w:lang w:val="en-GB"/>
        </w:rPr>
      </w:pPr>
      <w:r w:rsidRPr="0040264D">
        <w:rPr>
          <w:rFonts w:ascii="Garamond" w:hAnsi="Garamond"/>
          <w:iCs/>
          <w:sz w:val="20"/>
          <w:szCs w:val="20"/>
          <w:lang w:val="en-GB"/>
        </w:rPr>
        <w:t xml:space="preserve">Kisi KP, Kayastha R. Analysis of musculoskeletal pains and productivity impacts among </w:t>
      </w:r>
      <w:proofErr w:type="spellStart"/>
      <w:r w:rsidRPr="0040264D">
        <w:rPr>
          <w:rFonts w:ascii="Garamond" w:hAnsi="Garamond"/>
          <w:iCs/>
          <w:sz w:val="20"/>
          <w:szCs w:val="20"/>
          <w:lang w:val="en-GB"/>
        </w:rPr>
        <w:t>hispanic</w:t>
      </w:r>
      <w:proofErr w:type="spellEnd"/>
      <w:r w:rsidRPr="0040264D">
        <w:rPr>
          <w:rFonts w:ascii="Garamond" w:hAnsi="Garamond"/>
          <w:iCs/>
          <w:sz w:val="20"/>
          <w:szCs w:val="20"/>
          <w:lang w:val="en-GB"/>
        </w:rPr>
        <w:t xml:space="preserve"> construction workers. </w:t>
      </w:r>
      <w:proofErr w:type="spellStart"/>
      <w:r w:rsidRPr="0040264D">
        <w:rPr>
          <w:rFonts w:ascii="Garamond" w:hAnsi="Garamond"/>
          <w:iCs/>
          <w:sz w:val="20"/>
          <w:szCs w:val="20"/>
          <w:lang w:val="en-GB"/>
        </w:rPr>
        <w:t>Heliyon</w:t>
      </w:r>
      <w:proofErr w:type="spellEnd"/>
      <w:r w:rsidRPr="0040264D">
        <w:rPr>
          <w:rFonts w:ascii="Garamond" w:hAnsi="Garamond"/>
          <w:iCs/>
          <w:sz w:val="20"/>
          <w:szCs w:val="20"/>
          <w:lang w:val="en-GB"/>
        </w:rPr>
        <w:t>, 2024;10(1</w:t>
      </w:r>
      <w:proofErr w:type="gramStart"/>
      <w:r w:rsidRPr="0040264D">
        <w:rPr>
          <w:rFonts w:ascii="Garamond" w:hAnsi="Garamond"/>
          <w:iCs/>
          <w:sz w:val="20"/>
          <w:szCs w:val="20"/>
          <w:lang w:val="en-GB"/>
        </w:rPr>
        <w:t>):e</w:t>
      </w:r>
      <w:proofErr w:type="gramEnd"/>
      <w:r w:rsidRPr="0040264D">
        <w:rPr>
          <w:rFonts w:ascii="Garamond" w:hAnsi="Garamond"/>
          <w:iCs/>
          <w:sz w:val="20"/>
          <w:szCs w:val="20"/>
          <w:lang w:val="en-GB"/>
        </w:rPr>
        <w:t xml:space="preserve">24023 </w:t>
      </w:r>
      <w:hyperlink r:id="rId49" w:history="1">
        <w:r w:rsidRPr="0040264D">
          <w:rPr>
            <w:rStyle w:val="Hyperlink"/>
            <w:rFonts w:ascii="Garamond" w:hAnsi="Garamond"/>
            <w:iCs/>
            <w:sz w:val="20"/>
            <w:szCs w:val="20"/>
            <w:lang w:val="en-GB"/>
          </w:rPr>
          <w:t>https://doi.org/10.1016/j.heliyon.2024.e24023</w:t>
        </w:r>
      </w:hyperlink>
      <w:r w:rsidRPr="0040264D">
        <w:rPr>
          <w:rFonts w:ascii="Garamond" w:hAnsi="Garamond"/>
          <w:iCs/>
          <w:sz w:val="20"/>
          <w:szCs w:val="20"/>
          <w:lang w:val="en-GB"/>
        </w:rPr>
        <w:t>.</w:t>
      </w:r>
    </w:p>
    <w:p w14:paraId="43744D8C" w14:textId="77777777" w:rsidR="00A852AA" w:rsidRPr="0040264D" w:rsidRDefault="00A852AA" w:rsidP="0040264D">
      <w:pPr>
        <w:numPr>
          <w:ilvl w:val="0"/>
          <w:numId w:val="29"/>
        </w:numPr>
        <w:rPr>
          <w:rFonts w:ascii="Garamond" w:hAnsi="Garamond"/>
          <w:iCs/>
          <w:sz w:val="20"/>
          <w:szCs w:val="20"/>
          <w:lang w:val="en-GB"/>
        </w:rPr>
      </w:pPr>
      <w:proofErr w:type="spellStart"/>
      <w:r w:rsidRPr="0040264D">
        <w:rPr>
          <w:rFonts w:ascii="Garamond" w:hAnsi="Garamond"/>
          <w:iCs/>
          <w:sz w:val="20"/>
          <w:szCs w:val="20"/>
          <w:lang w:val="en-GB"/>
        </w:rPr>
        <w:t>Gebrye</w:t>
      </w:r>
      <w:proofErr w:type="spellEnd"/>
      <w:r w:rsidRPr="0040264D">
        <w:rPr>
          <w:rFonts w:ascii="Garamond" w:hAnsi="Garamond"/>
          <w:iCs/>
          <w:sz w:val="20"/>
          <w:szCs w:val="20"/>
          <w:lang w:val="en-GB"/>
        </w:rPr>
        <w:t xml:space="preserve"> T, Mbada C, </w:t>
      </w:r>
      <w:proofErr w:type="spellStart"/>
      <w:r w:rsidRPr="0040264D">
        <w:rPr>
          <w:rFonts w:ascii="Garamond" w:hAnsi="Garamond"/>
          <w:iCs/>
          <w:sz w:val="20"/>
          <w:szCs w:val="20"/>
          <w:lang w:val="en-GB"/>
        </w:rPr>
        <w:t>Apeagyei</w:t>
      </w:r>
      <w:proofErr w:type="spellEnd"/>
      <w:r w:rsidRPr="0040264D">
        <w:rPr>
          <w:rFonts w:ascii="Garamond" w:hAnsi="Garamond"/>
          <w:iCs/>
          <w:sz w:val="20"/>
          <w:szCs w:val="20"/>
          <w:lang w:val="en-GB"/>
        </w:rPr>
        <w:t xml:space="preserve"> P, </w:t>
      </w:r>
      <w:proofErr w:type="spellStart"/>
      <w:r w:rsidRPr="0040264D">
        <w:rPr>
          <w:rFonts w:ascii="Garamond" w:hAnsi="Garamond"/>
          <w:iCs/>
          <w:sz w:val="20"/>
          <w:szCs w:val="20"/>
          <w:lang w:val="en-GB"/>
        </w:rPr>
        <w:t>Fatoye</w:t>
      </w:r>
      <w:proofErr w:type="spellEnd"/>
      <w:r w:rsidRPr="0040264D">
        <w:rPr>
          <w:rFonts w:ascii="Garamond" w:hAnsi="Garamond"/>
          <w:iCs/>
          <w:sz w:val="20"/>
          <w:szCs w:val="20"/>
          <w:lang w:val="en-GB"/>
        </w:rPr>
        <w:t xml:space="preserve"> F. Prevalence of musculoskeletal disorders among garment workers: a systematic review and meta-analysis. BMJ open. 2025;15(1): e085123. </w:t>
      </w:r>
      <w:hyperlink r:id="rId50" w:history="1">
        <w:r w:rsidRPr="0040264D">
          <w:rPr>
            <w:rStyle w:val="Hyperlink"/>
            <w:rFonts w:ascii="Garamond" w:hAnsi="Garamond"/>
            <w:iCs/>
            <w:sz w:val="20"/>
            <w:szCs w:val="20"/>
            <w:lang w:val="en-GB"/>
          </w:rPr>
          <w:t>https://doi.org/10.1136/bmjopen-2024-085123</w:t>
        </w:r>
      </w:hyperlink>
    </w:p>
    <w:p w14:paraId="5FCFC5D4" w14:textId="77777777" w:rsidR="00A852AA" w:rsidRPr="0040264D" w:rsidRDefault="00A852AA" w:rsidP="0040264D">
      <w:pPr>
        <w:numPr>
          <w:ilvl w:val="0"/>
          <w:numId w:val="29"/>
        </w:numPr>
        <w:rPr>
          <w:rFonts w:ascii="Garamond" w:hAnsi="Garamond"/>
          <w:iCs/>
          <w:sz w:val="20"/>
          <w:szCs w:val="20"/>
          <w:lang w:val="en-GB"/>
        </w:rPr>
      </w:pPr>
      <w:proofErr w:type="spellStart"/>
      <w:r w:rsidRPr="0040264D">
        <w:rPr>
          <w:rFonts w:ascii="Garamond" w:hAnsi="Garamond"/>
          <w:iCs/>
          <w:sz w:val="20"/>
          <w:szCs w:val="20"/>
          <w:lang w:val="en-GB"/>
        </w:rPr>
        <w:t>Alhashim</w:t>
      </w:r>
      <w:proofErr w:type="spellEnd"/>
      <w:r w:rsidRPr="0040264D">
        <w:rPr>
          <w:rFonts w:ascii="Garamond" w:hAnsi="Garamond"/>
          <w:iCs/>
          <w:sz w:val="20"/>
          <w:szCs w:val="20"/>
          <w:lang w:val="en-GB"/>
        </w:rPr>
        <w:t xml:space="preserve"> AAA, </w:t>
      </w:r>
      <w:proofErr w:type="spellStart"/>
      <w:r w:rsidRPr="0040264D">
        <w:rPr>
          <w:rFonts w:ascii="Garamond" w:hAnsi="Garamond"/>
          <w:iCs/>
          <w:sz w:val="20"/>
          <w:szCs w:val="20"/>
          <w:lang w:val="en-GB"/>
        </w:rPr>
        <w:t>Alyousof</w:t>
      </w:r>
      <w:proofErr w:type="spellEnd"/>
      <w:r w:rsidRPr="0040264D">
        <w:rPr>
          <w:rFonts w:ascii="Garamond" w:hAnsi="Garamond"/>
          <w:iCs/>
          <w:sz w:val="20"/>
          <w:szCs w:val="20"/>
          <w:lang w:val="en-GB"/>
        </w:rPr>
        <w:t xml:space="preserve"> AA, </w:t>
      </w:r>
      <w:proofErr w:type="spellStart"/>
      <w:r w:rsidRPr="0040264D">
        <w:rPr>
          <w:rFonts w:ascii="Garamond" w:hAnsi="Garamond"/>
          <w:iCs/>
          <w:sz w:val="20"/>
          <w:szCs w:val="20"/>
          <w:lang w:val="en-GB"/>
        </w:rPr>
        <w:t>Aldawsari</w:t>
      </w:r>
      <w:proofErr w:type="spellEnd"/>
      <w:r w:rsidRPr="0040264D">
        <w:rPr>
          <w:rFonts w:ascii="Garamond" w:hAnsi="Garamond"/>
          <w:iCs/>
          <w:sz w:val="20"/>
          <w:szCs w:val="20"/>
          <w:lang w:val="en-GB"/>
        </w:rPr>
        <w:t xml:space="preserve"> MR, </w:t>
      </w:r>
      <w:proofErr w:type="spellStart"/>
      <w:r w:rsidRPr="0040264D">
        <w:rPr>
          <w:rFonts w:ascii="Garamond" w:hAnsi="Garamond"/>
          <w:iCs/>
          <w:sz w:val="20"/>
          <w:szCs w:val="20"/>
          <w:lang w:val="en-GB"/>
        </w:rPr>
        <w:t>Alghannam</w:t>
      </w:r>
      <w:proofErr w:type="spellEnd"/>
      <w:r w:rsidRPr="0040264D">
        <w:rPr>
          <w:rFonts w:ascii="Garamond" w:hAnsi="Garamond"/>
          <w:iCs/>
          <w:sz w:val="20"/>
          <w:szCs w:val="20"/>
          <w:lang w:val="en-GB"/>
        </w:rPr>
        <w:t xml:space="preserve"> AA, Alsayed MA, </w:t>
      </w:r>
      <w:proofErr w:type="spellStart"/>
      <w:r w:rsidRPr="0040264D">
        <w:rPr>
          <w:rFonts w:ascii="Garamond" w:hAnsi="Garamond"/>
          <w:iCs/>
          <w:sz w:val="20"/>
          <w:szCs w:val="20"/>
          <w:lang w:val="en-GB"/>
        </w:rPr>
        <w:t>Alawadh</w:t>
      </w:r>
      <w:proofErr w:type="spellEnd"/>
      <w:r w:rsidRPr="0040264D">
        <w:rPr>
          <w:rFonts w:ascii="Garamond" w:hAnsi="Garamond"/>
          <w:iCs/>
          <w:sz w:val="20"/>
          <w:szCs w:val="20"/>
          <w:lang w:val="en-GB"/>
        </w:rPr>
        <w:t xml:space="preserve"> RA et al. Work-Related Musculoskeletal Disorders and Their Impact on Quality of Life: A Comprehensive Review. Saudi J Med Pharm Sci. 2025;11(5):360-377. DOI: </w:t>
      </w:r>
      <w:hyperlink r:id="rId51" w:history="1">
        <w:r w:rsidRPr="0040264D">
          <w:rPr>
            <w:rStyle w:val="Hyperlink"/>
            <w:rFonts w:ascii="Garamond" w:hAnsi="Garamond"/>
            <w:iCs/>
            <w:sz w:val="20"/>
            <w:szCs w:val="20"/>
            <w:lang w:val="en-GB"/>
          </w:rPr>
          <w:t>https://doi.org/10.36348/sjmps.2025.v11i05.002</w:t>
        </w:r>
      </w:hyperlink>
    </w:p>
    <w:p w14:paraId="6127CAF9" w14:textId="77777777" w:rsidR="00733F61" w:rsidRPr="00E34213" w:rsidRDefault="00733F61" w:rsidP="007A1526">
      <w:pPr>
        <w:spacing w:line="259" w:lineRule="auto"/>
        <w:jc w:val="both"/>
        <w:rPr>
          <w:rFonts w:ascii="Garamond" w:hAnsi="Garamond"/>
          <w:b/>
          <w:bCs/>
          <w:iCs/>
          <w:sz w:val="20"/>
          <w:szCs w:val="20"/>
        </w:rPr>
      </w:pPr>
    </w:p>
    <w:sectPr w:rsidR="00733F61" w:rsidRPr="00E34213" w:rsidSect="00733F61">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F08C6" w14:textId="77777777" w:rsidR="000B748C" w:rsidRDefault="000B748C" w:rsidP="00202B90">
      <w:r>
        <w:separator/>
      </w:r>
    </w:p>
  </w:endnote>
  <w:endnote w:type="continuationSeparator" w:id="0">
    <w:p w14:paraId="72219B49" w14:textId="77777777" w:rsidR="000B748C" w:rsidRDefault="000B748C"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7" w:name="_Hlk114232143"/>
    <w:bookmarkStart w:id="8"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7"/>
    <w:bookmarkEnd w:id="8"/>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40"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86122133"/>
      <w:docPartObj>
        <w:docPartGallery w:val="Page Numbers (Bottom of Page)"/>
        <w:docPartUnique/>
      </w:docPartObj>
    </w:sdtPr>
    <w:sdtContent>
      <w:p w14:paraId="4D097E21" w14:textId="009608B7" w:rsidR="000B3409" w:rsidRDefault="000B3409" w:rsidP="000072D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424</w:t>
        </w:r>
        <w:r>
          <w:rPr>
            <w:rStyle w:val="PageNumber"/>
          </w:rPr>
          <w:fldChar w:fldCharType="end"/>
        </w:r>
      </w:p>
    </w:sdtContent>
  </w:sdt>
  <w:p w14:paraId="18CA6913" w14:textId="0B0902A2" w:rsidR="008D0E7E" w:rsidRDefault="008D0E7E" w:rsidP="000B3409">
    <w:pPr>
      <w:pStyle w:val="Footer"/>
      <w:ind w:right="360"/>
      <w:jc w:val="center"/>
    </w:pPr>
  </w:p>
  <w:p w14:paraId="282DBF17" w14:textId="77777777" w:rsidR="008D0E7E" w:rsidRDefault="008D0E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66029" w14:textId="77777777" w:rsidR="000B748C" w:rsidRDefault="000B748C" w:rsidP="00202B90">
      <w:bookmarkStart w:id="0" w:name="_Hlk191386689"/>
      <w:bookmarkEnd w:id="0"/>
      <w:r>
        <w:separator/>
      </w:r>
    </w:p>
  </w:footnote>
  <w:footnote w:type="continuationSeparator" w:id="0">
    <w:p w14:paraId="28BEC31F" w14:textId="77777777" w:rsidR="000B748C" w:rsidRDefault="000B748C"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6"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6"/>
  <w:p w14:paraId="040A38EE" w14:textId="77777777" w:rsidR="004C6FDE" w:rsidRPr="004C6FDE" w:rsidRDefault="004C6FDE" w:rsidP="00E94E49">
    <w:pPr>
      <w:pStyle w:val="Header"/>
      <w:tabs>
        <w:tab w:val="clear" w:pos="4320"/>
        <w:tab w:val="clear" w:pos="8640"/>
        <w:tab w:val="left" w:pos="630"/>
      </w:tabs>
      <w:jc w:val="both"/>
      <w:rPr>
        <w:rFonts w:ascii="Garamond" w:hAnsi="Garamond"/>
        <w:sz w:val="20"/>
        <w:szCs w:val="22"/>
      </w:rPr>
    </w:pPr>
    <w:r w:rsidRPr="004C6FDE">
      <w:rPr>
        <w:rFonts w:ascii="Garamond" w:hAnsi="Garamond"/>
        <w:sz w:val="20"/>
        <w:szCs w:val="22"/>
        <w:lang w:val="en-GB"/>
      </w:rPr>
      <w:t>Prevalence and Patterns of Work-related Musculoskeletal Disorders among Butchers</w:t>
    </w:r>
    <w:r w:rsidRPr="004C6FDE">
      <w:rPr>
        <w:rFonts w:ascii="Garamond" w:hAnsi="Garamond"/>
        <w:sz w:val="20"/>
        <w:szCs w:val="22"/>
      </w:rPr>
      <w:t xml:space="preserve"> </w:t>
    </w:r>
  </w:p>
  <w:p w14:paraId="5D172485" w14:textId="1A1C704A" w:rsidR="002238CA" w:rsidRPr="004C6FDE" w:rsidRDefault="00F20CA0" w:rsidP="00E94E49">
    <w:pPr>
      <w:pStyle w:val="Header"/>
      <w:tabs>
        <w:tab w:val="clear" w:pos="4320"/>
        <w:tab w:val="clear" w:pos="8640"/>
        <w:tab w:val="left" w:pos="630"/>
      </w:tabs>
      <w:jc w:val="both"/>
      <w:rPr>
        <w:rFonts w:ascii="Garamond" w:hAnsi="Garamond"/>
        <w:sz w:val="20"/>
        <w:szCs w:val="22"/>
        <w:lang w:val="en-GB"/>
      </w:rPr>
    </w:pPr>
    <w:r w:rsidRPr="004C6FDE">
      <w:rPr>
        <w:rFonts w:ascii="Garamond" w:hAnsi="Garamond"/>
        <w:sz w:val="20"/>
        <w:szCs w:val="22"/>
      </w:rPr>
      <w:t>A</w:t>
    </w:r>
    <w:r w:rsidR="004C6FDE" w:rsidRPr="004C6FDE">
      <w:rPr>
        <w:rFonts w:ascii="Garamond" w:hAnsi="Garamond"/>
        <w:sz w:val="20"/>
        <w:szCs w:val="22"/>
      </w:rPr>
      <w:t>kintayo</w:t>
    </w:r>
    <w:r w:rsidR="008134A3" w:rsidRPr="004C6FDE">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B96A2FA" w14:textId="77777777" w:rsidR="004C6FDE" w:rsidRPr="004C6FDE" w:rsidRDefault="004C6FDE" w:rsidP="004C6FDE">
    <w:pPr>
      <w:pStyle w:val="Header"/>
      <w:tabs>
        <w:tab w:val="clear" w:pos="4320"/>
        <w:tab w:val="clear" w:pos="8640"/>
        <w:tab w:val="left" w:pos="630"/>
      </w:tabs>
      <w:jc w:val="both"/>
      <w:rPr>
        <w:rFonts w:ascii="Garamond" w:hAnsi="Garamond"/>
        <w:sz w:val="20"/>
        <w:szCs w:val="22"/>
      </w:rPr>
    </w:pPr>
    <w:r w:rsidRPr="004C6FDE">
      <w:rPr>
        <w:rFonts w:ascii="Garamond" w:hAnsi="Garamond"/>
        <w:sz w:val="20"/>
        <w:szCs w:val="22"/>
        <w:lang w:val="en-GB"/>
      </w:rPr>
      <w:t>Prevalence and Patterns of Work-related Musculoskeletal Disorders among Butchers</w:t>
    </w:r>
    <w:r w:rsidRPr="004C6FDE">
      <w:rPr>
        <w:rFonts w:ascii="Garamond" w:hAnsi="Garamond"/>
        <w:sz w:val="20"/>
        <w:szCs w:val="22"/>
      </w:rPr>
      <w:t xml:space="preserve"> </w:t>
    </w:r>
  </w:p>
  <w:p w14:paraId="0CF73AFF" w14:textId="77777777" w:rsidR="004C6FDE" w:rsidRPr="004C6FDE" w:rsidRDefault="004C6FDE" w:rsidP="004C6FDE">
    <w:pPr>
      <w:pStyle w:val="Header"/>
      <w:tabs>
        <w:tab w:val="clear" w:pos="4320"/>
        <w:tab w:val="clear" w:pos="8640"/>
        <w:tab w:val="left" w:pos="630"/>
      </w:tabs>
      <w:jc w:val="both"/>
      <w:rPr>
        <w:rFonts w:ascii="Garamond" w:hAnsi="Garamond"/>
        <w:sz w:val="20"/>
        <w:szCs w:val="22"/>
        <w:lang w:val="en-GB"/>
      </w:rPr>
    </w:pPr>
    <w:r w:rsidRPr="004C6FDE">
      <w:rPr>
        <w:rFonts w:ascii="Garamond" w:hAnsi="Garamond"/>
        <w:sz w:val="20"/>
        <w:szCs w:val="22"/>
      </w:rPr>
      <w:t>Akintayo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7740092A" w14:textId="77777777" w:rsidR="004C6FDE" w:rsidRPr="004C6FDE" w:rsidRDefault="004C6FDE" w:rsidP="004C6FDE">
    <w:pPr>
      <w:pStyle w:val="Header"/>
      <w:tabs>
        <w:tab w:val="clear" w:pos="4320"/>
        <w:tab w:val="clear" w:pos="8640"/>
        <w:tab w:val="left" w:pos="630"/>
      </w:tabs>
      <w:jc w:val="both"/>
      <w:rPr>
        <w:rFonts w:ascii="Garamond" w:hAnsi="Garamond"/>
        <w:sz w:val="20"/>
        <w:szCs w:val="22"/>
      </w:rPr>
    </w:pPr>
    <w:r w:rsidRPr="004C6FDE">
      <w:rPr>
        <w:rFonts w:ascii="Garamond" w:hAnsi="Garamond"/>
        <w:sz w:val="20"/>
        <w:szCs w:val="22"/>
        <w:lang w:val="en-GB"/>
      </w:rPr>
      <w:t>Prevalence and Patterns of Work-related Musculoskeletal Disorders among Butchers</w:t>
    </w:r>
    <w:r w:rsidRPr="004C6FDE">
      <w:rPr>
        <w:rFonts w:ascii="Garamond" w:hAnsi="Garamond"/>
        <w:sz w:val="20"/>
        <w:szCs w:val="22"/>
      </w:rPr>
      <w:t xml:space="preserve"> </w:t>
    </w:r>
  </w:p>
  <w:p w14:paraId="6EAC85D1" w14:textId="77777777" w:rsidR="004C6FDE" w:rsidRPr="004C6FDE" w:rsidRDefault="004C6FDE" w:rsidP="004C6FDE">
    <w:pPr>
      <w:pStyle w:val="Header"/>
      <w:tabs>
        <w:tab w:val="clear" w:pos="4320"/>
        <w:tab w:val="clear" w:pos="8640"/>
        <w:tab w:val="left" w:pos="630"/>
      </w:tabs>
      <w:jc w:val="both"/>
      <w:rPr>
        <w:rFonts w:ascii="Garamond" w:hAnsi="Garamond"/>
        <w:sz w:val="20"/>
        <w:szCs w:val="22"/>
        <w:lang w:val="en-GB"/>
      </w:rPr>
    </w:pPr>
    <w:r w:rsidRPr="004C6FDE">
      <w:rPr>
        <w:rFonts w:ascii="Garamond" w:hAnsi="Garamond"/>
        <w:sz w:val="20"/>
        <w:szCs w:val="22"/>
      </w:rPr>
      <w:t>Akintayo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144F5"/>
    <w:multiLevelType w:val="hybridMultilevel"/>
    <w:tmpl w:val="68B41EC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CC0064"/>
    <w:multiLevelType w:val="hybridMultilevel"/>
    <w:tmpl w:val="E31C6A4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4835DC"/>
    <w:multiLevelType w:val="hybridMultilevel"/>
    <w:tmpl w:val="EE06ECC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827CA8"/>
    <w:multiLevelType w:val="multilevel"/>
    <w:tmpl w:val="3B4AE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7"/>
  </w:num>
  <w:num w:numId="2" w16cid:durableId="189728065">
    <w:abstractNumId w:val="1"/>
  </w:num>
  <w:num w:numId="3" w16cid:durableId="34425020">
    <w:abstractNumId w:val="16"/>
  </w:num>
  <w:num w:numId="4" w16cid:durableId="1129132120">
    <w:abstractNumId w:val="14"/>
  </w:num>
  <w:num w:numId="5" w16cid:durableId="970405640">
    <w:abstractNumId w:val="4"/>
  </w:num>
  <w:num w:numId="6" w16cid:durableId="1155297297">
    <w:abstractNumId w:val="0"/>
  </w:num>
  <w:num w:numId="7" w16cid:durableId="1289319636">
    <w:abstractNumId w:val="19"/>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5"/>
  </w:num>
  <w:num w:numId="10" w16cid:durableId="1714503964">
    <w:abstractNumId w:val="17"/>
  </w:num>
  <w:num w:numId="11" w16cid:durableId="624430197">
    <w:abstractNumId w:val="10"/>
  </w:num>
  <w:num w:numId="12" w16cid:durableId="1779639381">
    <w:abstractNumId w:val="21"/>
  </w:num>
  <w:num w:numId="13" w16cid:durableId="52851340">
    <w:abstractNumId w:val="22"/>
  </w:num>
  <w:num w:numId="14" w16cid:durableId="1055860988">
    <w:abstractNumId w:val="13"/>
  </w:num>
  <w:num w:numId="15" w16cid:durableId="1380934824">
    <w:abstractNumId w:val="23"/>
  </w:num>
  <w:num w:numId="16" w16cid:durableId="1314261793">
    <w:abstractNumId w:val="6"/>
  </w:num>
  <w:num w:numId="17" w16cid:durableId="1221361593">
    <w:abstractNumId w:val="27"/>
  </w:num>
  <w:num w:numId="18" w16cid:durableId="377054002">
    <w:abstractNumId w:val="8"/>
  </w:num>
  <w:num w:numId="19" w16cid:durableId="5133750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5"/>
  </w:num>
  <w:num w:numId="21" w16cid:durableId="299457719">
    <w:abstractNumId w:val="9"/>
  </w:num>
  <w:num w:numId="22" w16cid:durableId="1575044381">
    <w:abstractNumId w:val="20"/>
  </w:num>
  <w:num w:numId="23" w16cid:durableId="1550071572">
    <w:abstractNumId w:val="28"/>
  </w:num>
  <w:num w:numId="24" w16cid:durableId="1200505831">
    <w:abstractNumId w:val="26"/>
  </w:num>
  <w:num w:numId="25" w16cid:durableId="1501195848">
    <w:abstractNumId w:val="3"/>
  </w:num>
  <w:num w:numId="26" w16cid:durableId="1226913533">
    <w:abstractNumId w:val="5"/>
  </w:num>
  <w:num w:numId="27" w16cid:durableId="1255631017">
    <w:abstractNumId w:val="18"/>
  </w:num>
  <w:num w:numId="28" w16cid:durableId="2001618164">
    <w:abstractNumId w:val="24"/>
  </w:num>
  <w:num w:numId="29" w16cid:durableId="95552342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3409"/>
    <w:rsid w:val="000B748C"/>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264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6FDE"/>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2A93"/>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2339"/>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5E8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3F61"/>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0E7E"/>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1678"/>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0AA9"/>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852AA"/>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5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3850"/>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2A58"/>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23DF2"/>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843B1"/>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7.xml"/><Relationship Id="rId39" Type="http://schemas.openxmlformats.org/officeDocument/2006/relationships/hyperlink" Target="https://doi.org/10.1080/19338244.2020.1832036" TargetMode="External"/><Relationship Id="rId21" Type="http://schemas.openxmlformats.org/officeDocument/2006/relationships/image" Target="media/image3.jpeg"/><Relationship Id="rId34" Type="http://schemas.openxmlformats.org/officeDocument/2006/relationships/hyperlink" Target="https://doi.org/10.3390/ijerph13020197" TargetMode="External"/><Relationship Id="rId42" Type="http://schemas.openxmlformats.org/officeDocument/2006/relationships/hyperlink" Target="https://doi.org/10.7326/M18-0850." TargetMode="External"/><Relationship Id="rId47" Type="http://schemas.openxmlformats.org/officeDocument/2006/relationships/hyperlink" Target="https://doi.org/10.1179/2049396714Y.0000000064" TargetMode="External"/><Relationship Id="rId50" Type="http://schemas.openxmlformats.org/officeDocument/2006/relationships/hyperlink" Target="https://doi.org/10.1136/bmjopen-2024-085123"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yperlink" Target="https://doi.org/10.5327/Z1679443520190360" TargetMode="External"/><Relationship Id="rId11" Type="http://schemas.openxmlformats.org/officeDocument/2006/relationships/footer" Target="footer1.xml"/><Relationship Id="rId24" Type="http://schemas.openxmlformats.org/officeDocument/2006/relationships/hyperlink" Target="http://creativecommons.org/licenses/by/3.0/" TargetMode="External"/><Relationship Id="rId32" Type="http://schemas.openxmlformats.org/officeDocument/2006/relationships/hyperlink" Target="https://doi.org/10.4103/nmj.NMJ_57_19" TargetMode="External"/><Relationship Id="rId37" Type="http://schemas.openxmlformats.org/officeDocument/2006/relationships/hyperlink" Target="https://doi.org/10.4314/ajbr.v27i2.2" TargetMode="External"/><Relationship Id="rId40" Type="http://schemas.openxmlformats.org/officeDocument/2006/relationships/hyperlink" Target="https://doi.org/10.1080/1364557032000119616." TargetMode="External"/><Relationship Id="rId45" Type="http://schemas.openxmlformats.org/officeDocument/2006/relationships/hyperlink" Target="https://doi.org/10.54393/pbmj.v5i7.676"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yperlink" Target="https://osha.europa.eu/en/publications/msds-facts-and-figures-overview-prevalence-costs-and-demographics-msds-europe" TargetMode="External"/><Relationship Id="rId44" Type="http://schemas.openxmlformats.org/officeDocument/2006/relationships/hyperlink" Target="https://doi.org/10.52142/omujecm.38.3.27"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33" TargetMode="External"/><Relationship Id="rId27" Type="http://schemas.openxmlformats.org/officeDocument/2006/relationships/hyperlink" Target="https://doi.org/10.4103/jets.jets_161_24%20" TargetMode="External"/><Relationship Id="rId30" Type="http://schemas.openxmlformats.org/officeDocument/2006/relationships/hyperlink" Target="https://www.who.int/news-room/fact-sheets/detail/musculoskeletal-conditions" TargetMode="External"/><Relationship Id="rId35" Type="http://schemas.openxmlformats.org/officeDocument/2006/relationships/hyperlink" Target="https://doi.org/10.36348/gajms.2022.v04i02.004" TargetMode="External"/><Relationship Id="rId43" Type="http://schemas.openxmlformats.org/officeDocument/2006/relationships/hyperlink" Target="https://doi.org/10.5455/JRCRS.202008020" TargetMode="External"/><Relationship Id="rId48" Type="http://schemas.openxmlformats.org/officeDocument/2006/relationships/hyperlink" Target="https://doi.org/10.54941/ahfe1003043" TargetMode="External"/><Relationship Id="rId8" Type="http://schemas.openxmlformats.org/officeDocument/2006/relationships/hyperlink" Target="mailto:akintayon@run.edu.ng" TargetMode="External"/><Relationship Id="rId51" Type="http://schemas.openxmlformats.org/officeDocument/2006/relationships/hyperlink" Target="https://doi.org/10.36348/sjmps.2025.v11i05.002"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33" Type="http://schemas.openxmlformats.org/officeDocument/2006/relationships/hyperlink" Target="https://doi.org/10.1016/j.shaw.2016.01.003" TargetMode="External"/><Relationship Id="rId38" Type="http://schemas.openxmlformats.org/officeDocument/2006/relationships/hyperlink" Target="https://doi.org/10.36348/gajms.2023.v05i01.009" TargetMode="External"/><Relationship Id="rId46" Type="http://schemas.openxmlformats.org/officeDocument/2006/relationships/hyperlink" Target="https://doi.org/10.11113/jt.v81.13615" TargetMode="External"/><Relationship Id="rId20" Type="http://schemas.openxmlformats.org/officeDocument/2006/relationships/footer" Target="footer6.xml"/><Relationship Id="rId41" Type="http://schemas.openxmlformats.org/officeDocument/2006/relationships/hyperlink" Target="https://doi.org/10.1186/1748-5908-5-6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doi.org/10.71637/tnhj.v26i1.1333" TargetMode="External"/><Relationship Id="rId28" Type="http://schemas.openxmlformats.org/officeDocument/2006/relationships/hyperlink" Target="https://doi.org/10.5772/intechopen.106031" TargetMode="External"/><Relationship Id="rId36" Type="http://schemas.openxmlformats.org/officeDocument/2006/relationships/hyperlink" Target="https://doi.org/10.1016/j.shaw.2025.09.004" TargetMode="External"/><Relationship Id="rId49" Type="http://schemas.openxmlformats.org/officeDocument/2006/relationships/hyperlink" Target="https://doi.org/10.1016/j.heliyon.2024.e24023"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6121</Words>
  <Characters>34893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2026-04-06T08:03:00Z</dcterms:created>
  <dcterms:modified xsi:type="dcterms:W3CDTF">2026-04-06T08:03:00Z</dcterms:modified>
</cp:coreProperties>
</file>