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34D854B8" w:rsidR="006732D7" w:rsidRPr="000931E7" w:rsidRDefault="00034A05"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Review</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76DE096">
                <wp:simplePos x="0" y="0"/>
                <wp:positionH relativeFrom="column">
                  <wp:posOffset>-235390</wp:posOffset>
                </wp:positionH>
                <wp:positionV relativeFrom="paragraph">
                  <wp:posOffset>120240</wp:posOffset>
                </wp:positionV>
                <wp:extent cx="6419850" cy="869133"/>
                <wp:effectExtent l="0" t="0" r="19050" b="2667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6913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ACF060" id="Round Diagonal Corner Rectangle 262" o:spid="_x0000_s1026" style="position:absolute;margin-left:-18.55pt;margin-top:9.45pt;width:505.5pt;height:68.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6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" path="m144858,l6419850,r,l6419850,724275v,80003,-64855,144858,-144858,144858l,869133r,l,144858c,64855,64855,,144858,xe" fillcolor="#1a601c" strokecolor="#385723" strokeweight="1pt">
                <v:stroke joinstyle="miter"/>
                <v:path arrowok="t" o:connecttype="custom" o:connectlocs="144858,0;6419850,0;6419850,0;6419850,724275;6274992,869133;0,869133;0,869133;0,144858;144858,0" o:connectangles="0,0,0,0,0,0,0,0,0"/>
              </v:shape>
            </w:pict>
          </mc:Fallback>
        </mc:AlternateContent>
      </w:r>
    </w:p>
    <w:p w14:paraId="0BCE8881" w14:textId="77777777" w:rsidR="002C2EF5" w:rsidRPr="002C2EF5" w:rsidRDefault="002C2EF5" w:rsidP="002C2EF5">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2C2EF5">
        <w:rPr>
          <w:rFonts w:ascii="Garamond" w:hAnsi="Garamond" w:cs="Times New Roman"/>
          <w:b/>
          <w:bCs/>
          <w:color w:val="FFFFFF" w:themeColor="background1"/>
          <w:sz w:val="32"/>
          <w:szCs w:val="32"/>
        </w:rPr>
        <w:t xml:space="preserve">Mapping the Network: A </w:t>
      </w:r>
      <w:bookmarkStart w:id="4" w:name="_Hlk220848078"/>
      <w:r w:rsidRPr="002C2EF5">
        <w:rPr>
          <w:rFonts w:ascii="Garamond" w:hAnsi="Garamond" w:cs="Times New Roman"/>
          <w:b/>
          <w:bCs/>
          <w:color w:val="FFFFFF" w:themeColor="background1"/>
          <w:sz w:val="32"/>
          <w:szCs w:val="32"/>
        </w:rPr>
        <w:t xml:space="preserve">Systematic Review </w:t>
      </w:r>
      <w:bookmarkEnd w:id="4"/>
      <w:r w:rsidRPr="002C2EF5">
        <w:rPr>
          <w:rFonts w:ascii="Garamond" w:hAnsi="Garamond" w:cs="Times New Roman"/>
          <w:b/>
          <w:bCs/>
          <w:color w:val="FFFFFF" w:themeColor="background1"/>
          <w:sz w:val="32"/>
          <w:szCs w:val="32"/>
        </w:rPr>
        <w:t>of Social and Institutional Factors Influencing Multisectoral Coordination in One Health Outbreak Response</w:t>
      </w:r>
    </w:p>
    <w:p w14:paraId="2F11DC6A" w14:textId="7070BBE3" w:rsidR="002265FA" w:rsidRPr="002265FA" w:rsidRDefault="0024597C" w:rsidP="002265FA">
      <w:pPr>
        <w:pBdr>
          <w:bottom w:val="single" w:sz="6" w:space="1" w:color="auto"/>
        </w:pBdr>
        <w:jc w:val="both"/>
        <w:rPr>
          <w:rFonts w:ascii="Garamond" w:hAnsi="Garamond"/>
          <w:b/>
          <w:bCs/>
          <w:i/>
          <w:iCs/>
          <w:color w:val="FFFFFF" w:themeColor="background1"/>
          <w:sz w:val="22"/>
          <w:szCs w:val="22"/>
        </w:rPr>
      </w:pPr>
      <w:r w:rsidRPr="0024597C">
        <w:rPr>
          <w:rFonts w:ascii="Garamond" w:hAnsi="Garamond"/>
          <w:b/>
          <w:bCs/>
          <w:i/>
          <w:iCs/>
          <w:color w:val="FFFFFF" w:themeColor="background1"/>
          <w:sz w:val="22"/>
          <w:szCs w:val="22"/>
          <w:vertAlign w:val="superscript"/>
        </w:rPr>
        <w:t>1</w:t>
      </w:r>
      <w:r w:rsidR="002C2EF5" w:rsidRPr="002C2EF5">
        <w:rPr>
          <w:rFonts w:ascii="Garamond" w:hAnsi="Garamond"/>
          <w:b/>
          <w:bCs/>
          <w:i/>
          <w:iCs/>
          <w:color w:val="FFFFFF" w:themeColor="background1"/>
          <w:sz w:val="22"/>
          <w:szCs w:val="22"/>
        </w:rPr>
        <w:t xml:space="preserve">Msuega Daniel </w:t>
      </w:r>
      <w:r w:rsidR="00FD38DC">
        <w:rPr>
          <w:rFonts w:ascii="Garamond" w:hAnsi="Garamond"/>
          <w:b/>
          <w:bCs/>
          <w:i/>
          <w:iCs/>
          <w:color w:val="FFFFFF" w:themeColor="background1"/>
          <w:sz w:val="22"/>
          <w:szCs w:val="22"/>
        </w:rPr>
        <w:t>C</w:t>
      </w:r>
      <w:r w:rsidR="002C2EF5" w:rsidRPr="002C2EF5">
        <w:rPr>
          <w:rFonts w:ascii="Garamond" w:hAnsi="Garamond"/>
          <w:b/>
          <w:bCs/>
          <w:i/>
          <w:iCs/>
          <w:color w:val="FFFFFF" w:themeColor="background1"/>
          <w:sz w:val="22"/>
          <w:szCs w:val="22"/>
        </w:rPr>
        <w:t xml:space="preserve">hia, </w:t>
      </w:r>
      <w:r w:rsidR="002C2EF5" w:rsidRPr="002C2EF5">
        <w:rPr>
          <w:rFonts w:ascii="Garamond" w:hAnsi="Garamond"/>
          <w:b/>
          <w:bCs/>
          <w:i/>
          <w:iCs/>
          <w:color w:val="FFFFFF" w:themeColor="background1"/>
          <w:sz w:val="22"/>
          <w:szCs w:val="22"/>
          <w:vertAlign w:val="superscript"/>
        </w:rPr>
        <w:t>1</w:t>
      </w:r>
      <w:r w:rsidR="002C2EF5" w:rsidRPr="002C2EF5">
        <w:rPr>
          <w:rFonts w:ascii="Garamond" w:hAnsi="Garamond"/>
          <w:b/>
          <w:bCs/>
          <w:i/>
          <w:iCs/>
          <w:color w:val="FFFFFF" w:themeColor="background1"/>
          <w:sz w:val="22"/>
          <w:szCs w:val="22"/>
        </w:rPr>
        <w:t xml:space="preserve">Abdu Bello </w:t>
      </w:r>
      <w:proofErr w:type="spellStart"/>
      <w:r w:rsidR="002C2EF5" w:rsidRPr="002C2EF5">
        <w:rPr>
          <w:rFonts w:ascii="Garamond" w:hAnsi="Garamond"/>
          <w:b/>
          <w:bCs/>
          <w:i/>
          <w:iCs/>
          <w:color w:val="FFFFFF" w:themeColor="background1"/>
          <w:sz w:val="22"/>
          <w:szCs w:val="22"/>
        </w:rPr>
        <w:t>Gololo</w:t>
      </w:r>
      <w:proofErr w:type="spellEnd"/>
    </w:p>
    <w:p w14:paraId="6403B298" w14:textId="2583FAA8" w:rsidR="002265FA" w:rsidRPr="002265FA" w:rsidRDefault="006359CB" w:rsidP="002265FA">
      <w:pPr>
        <w:pBdr>
          <w:bottom w:val="single" w:sz="6" w:space="1" w:color="auto"/>
        </w:pBdr>
        <w:jc w:val="both"/>
        <w:rPr>
          <w:rFonts w:ascii="Garamond" w:hAnsi="Garamond"/>
          <w:i/>
          <w:iCs/>
          <w:sz w:val="20"/>
          <w:szCs w:val="20"/>
        </w:rPr>
      </w:pPr>
      <w:bookmarkStart w:id="5" w:name="_Hlk209348096"/>
      <w:bookmarkEnd w:id="2"/>
      <w:bookmarkEnd w:id="3"/>
      <w:r w:rsidRPr="00410519">
        <w:rPr>
          <w:rFonts w:ascii="Garamond" w:hAnsi="Garamond"/>
          <w:bCs/>
          <w:i/>
          <w:iCs/>
          <w:sz w:val="20"/>
          <w:szCs w:val="20"/>
          <w:vertAlign w:val="superscript"/>
          <w:lang w:val="en-IN"/>
        </w:rPr>
        <w:t>1</w:t>
      </w:r>
      <w:r w:rsidRPr="00410519">
        <w:rPr>
          <w:rFonts w:ascii="Garamond" w:hAnsi="Garamond"/>
          <w:bCs/>
          <w:i/>
          <w:iCs/>
          <w:sz w:val="20"/>
          <w:szCs w:val="20"/>
          <w:lang w:val="en-IN"/>
        </w:rPr>
        <w:t>Department</w:t>
      </w:r>
      <w:bookmarkStart w:id="6" w:name="_Hlk224824361"/>
      <w:r w:rsidR="00B0067E" w:rsidRPr="00B0067E">
        <w:rPr>
          <w:rFonts w:ascii="Garamond" w:hAnsi="Garamond"/>
          <w:i/>
          <w:iCs/>
          <w:sz w:val="20"/>
          <w:szCs w:val="20"/>
          <w:lang w:val="en-GB"/>
        </w:rPr>
        <w:t xml:space="preserve"> of public health, Faculty of basic and applied biological sciences, Ahmadu Bello University, Zaria,</w:t>
      </w:r>
      <w:r w:rsidR="00B0067E" w:rsidRPr="00B0067E">
        <w:rPr>
          <w:rFonts w:ascii="Garamond" w:hAnsi="Garamond"/>
          <w:bCs/>
          <w:i/>
          <w:iCs/>
          <w:sz w:val="20"/>
          <w:szCs w:val="20"/>
          <w:lang w:val="en-GB"/>
        </w:rPr>
        <w:t xml:space="preserve"> Nigeria</w:t>
      </w:r>
      <w:bookmarkEnd w:id="6"/>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5"/>
    <w:p w14:paraId="3CE75E9B" w14:textId="778352EA" w:rsidR="00B0067E"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B0067E" w:rsidRPr="00B0067E">
        <w:rPr>
          <w:rFonts w:ascii="Garamond" w:hAnsi="Garamond" w:cs="Segoe UI"/>
          <w:b/>
          <w:bCs/>
          <w:sz w:val="20"/>
          <w:szCs w:val="20"/>
          <w:shd w:val="clear" w:color="auto" w:fill="FFFFFF"/>
        </w:rPr>
        <w:t>Msuega</w:t>
      </w:r>
      <w:proofErr w:type="spellEnd"/>
      <w:r w:rsidR="00B0067E" w:rsidRPr="00B0067E">
        <w:rPr>
          <w:rFonts w:ascii="Garamond" w:hAnsi="Garamond" w:cs="Segoe UI"/>
          <w:b/>
          <w:bCs/>
          <w:sz w:val="20"/>
          <w:szCs w:val="20"/>
          <w:shd w:val="clear" w:color="auto" w:fill="FFFFFF"/>
        </w:rPr>
        <w:t xml:space="preserve"> Daniel chia</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B0067E" w:rsidRPr="00B0067E">
        <w:rPr>
          <w:rFonts w:ascii="Garamond" w:hAnsi="Garamond"/>
          <w:bCs/>
          <w:i/>
          <w:iCs/>
          <w:sz w:val="20"/>
          <w:szCs w:val="20"/>
          <w:lang w:val="en-GB"/>
        </w:rPr>
        <w:t>Department of public health, Faculty of basic and applied biological sciences, Ahmadu Bello University, Zaria, Nigeria</w:t>
      </w:r>
      <w:r w:rsidR="00B0067E" w:rsidRPr="00B0067E">
        <w:rPr>
          <w:rFonts w:ascii="Garamond" w:hAnsi="Garamond"/>
          <w:bCs/>
          <w:sz w:val="20"/>
          <w:szCs w:val="20"/>
        </w:rPr>
        <w:t xml:space="preserve"> </w:t>
      </w:r>
      <w:hyperlink r:id="rId8" w:history="1">
        <w:r w:rsidR="00B0067E" w:rsidRPr="00B0067E">
          <w:rPr>
            <w:rStyle w:val="Hyperlink"/>
            <w:rFonts w:ascii="Garamond" w:hAnsi="Garamond"/>
            <w:bCs/>
            <w:i/>
            <w:sz w:val="20"/>
            <w:szCs w:val="20"/>
          </w:rPr>
          <w:t>chiamsuega@gmail.com</w:t>
        </w:r>
      </w:hyperlink>
      <w:r w:rsidR="00B0067E">
        <w:rPr>
          <w:rFonts w:ascii="Garamond" w:hAnsi="Garamond"/>
          <w:bCs/>
          <w:sz w:val="20"/>
          <w:szCs w:val="20"/>
        </w:rPr>
        <w:t xml:space="preserve">: </w:t>
      </w:r>
      <w:r w:rsidR="00B0067E" w:rsidRPr="00B0067E">
        <w:rPr>
          <w:rFonts w:ascii="Garamond" w:hAnsi="Garamond"/>
          <w:bCs/>
          <w:i/>
          <w:sz w:val="20"/>
          <w:szCs w:val="20"/>
        </w:rPr>
        <w:t>+2348064723786</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5302BBE5"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B0067E">
        <w:rPr>
          <w:rFonts w:ascii="Garamond" w:hAnsi="Garamond"/>
          <w:sz w:val="16"/>
          <w:szCs w:val="16"/>
        </w:rPr>
        <w:t>18</w:t>
      </w:r>
      <w:r w:rsidR="00943E61" w:rsidRPr="00F30FAF">
        <w:rPr>
          <w:rFonts w:ascii="Garamond" w:hAnsi="Garamond"/>
          <w:sz w:val="16"/>
          <w:szCs w:val="16"/>
        </w:rPr>
        <w:t xml:space="preserve"> </w:t>
      </w:r>
      <w:r w:rsidR="000B6786">
        <w:rPr>
          <w:rFonts w:ascii="Garamond" w:hAnsi="Garamond"/>
          <w:sz w:val="16"/>
          <w:szCs w:val="16"/>
        </w:rPr>
        <w:t>February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6F45F9CA" w:rsidR="006732D7" w:rsidRPr="000931E7" w:rsidRDefault="00034A05" w:rsidP="006732D7">
      <w:pPr>
        <w:jc w:val="both"/>
        <w:rPr>
          <w:rFonts w:ascii="Garamond" w:hAnsi="Garamond"/>
          <w:sz w:val="22"/>
          <w:szCs w:val="22"/>
        </w:rPr>
      </w:pPr>
      <w:r w:rsidRPr="000931E7">
        <w:rPr>
          <w:rFonts w:ascii="Garamond" w:hAnsi="Garamond"/>
          <w:b/>
          <w:sz w:val="22"/>
          <w:szCs w:val="20"/>
        </w:rPr>
        <w:t>ABSTRACT</w:t>
      </w:r>
    </w:p>
    <w:p w14:paraId="2B30C680" w14:textId="04A08EFD" w:rsidR="00B0067E" w:rsidRPr="00B0067E" w:rsidRDefault="0017507F" w:rsidP="00B0067E">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B0067E" w:rsidRPr="00B0067E">
        <w:rPr>
          <w:rFonts w:ascii="Garamond" w:eastAsiaTheme="minorHAnsi" w:hAnsi="Garamond" w:cstheme="minorHAnsi"/>
          <w:bCs/>
          <w:sz w:val="20"/>
          <w:szCs w:val="20"/>
        </w:rPr>
        <w:t xml:space="preserve"> Though good multisectoral coordination over human, animal, and environmental health sectors is still periodic, one health (OH) approaches are crucial in managing outbreaks of zoonotic diseases. Strengthening worldwide health security depends on an awareness of the institutional and social elements affecting this coordination.</w:t>
      </w:r>
    </w:p>
    <w:p w14:paraId="093BF046" w14:textId="77777777" w:rsidR="00B0067E" w:rsidRPr="00B0067E" w:rsidRDefault="00B0067E" w:rsidP="00B0067E">
      <w:pPr>
        <w:jc w:val="both"/>
        <w:rPr>
          <w:rFonts w:ascii="Garamond" w:eastAsiaTheme="minorHAnsi" w:hAnsi="Garamond" w:cstheme="minorHAnsi"/>
          <w:bCs/>
          <w:sz w:val="20"/>
          <w:szCs w:val="20"/>
        </w:rPr>
      </w:pPr>
      <w:r w:rsidRPr="00B0067E">
        <w:rPr>
          <w:rFonts w:ascii="Garamond" w:eastAsiaTheme="minorHAnsi" w:hAnsi="Garamond" w:cstheme="minorHAnsi"/>
          <w:b/>
          <w:bCs/>
          <w:sz w:val="20"/>
          <w:szCs w:val="20"/>
        </w:rPr>
        <w:t>Objectives:</w:t>
      </w:r>
      <w:r w:rsidRPr="00B0067E">
        <w:rPr>
          <w:rFonts w:ascii="Garamond" w:eastAsiaTheme="minorHAnsi" w:hAnsi="Garamond" w:cstheme="minorHAnsi"/>
          <w:bCs/>
          <w:sz w:val="20"/>
          <w:szCs w:val="20"/>
        </w:rPr>
        <w:t xml:space="preserve">  The systematic review intended to find, map, and synthesize research on the institutional and social elements affecting multisectoral coordination during One Health outbreak responses.</w:t>
      </w:r>
    </w:p>
    <w:p w14:paraId="5B7D63C0" w14:textId="77777777" w:rsidR="00B0067E" w:rsidRPr="00B0067E" w:rsidRDefault="00B0067E" w:rsidP="00B0067E">
      <w:pPr>
        <w:jc w:val="both"/>
        <w:rPr>
          <w:rFonts w:ascii="Garamond" w:eastAsiaTheme="minorHAnsi" w:hAnsi="Garamond" w:cstheme="minorHAnsi"/>
          <w:bCs/>
          <w:sz w:val="20"/>
          <w:szCs w:val="20"/>
        </w:rPr>
      </w:pPr>
      <w:r w:rsidRPr="00B0067E">
        <w:rPr>
          <w:rFonts w:ascii="Garamond" w:eastAsiaTheme="minorHAnsi" w:hAnsi="Garamond" w:cstheme="minorHAnsi"/>
          <w:b/>
          <w:bCs/>
          <w:sz w:val="20"/>
          <w:szCs w:val="20"/>
        </w:rPr>
        <w:t>Methodology:</w:t>
      </w:r>
      <w:r w:rsidRPr="00B0067E">
        <w:rPr>
          <w:rFonts w:ascii="Garamond" w:eastAsiaTheme="minorHAnsi" w:hAnsi="Garamond" w:cstheme="minorHAnsi"/>
          <w:bCs/>
          <w:sz w:val="20"/>
          <w:szCs w:val="20"/>
        </w:rPr>
        <w:t xml:space="preserve"> Following PRISMA standards, we systematically reviewed literature between January 2020 and January 2026.  We searched peer-reviewed (Web of Science, Scopus, PubMed/MEDLINE) and grey literature sources (WHO, WOAH and FAO repositories as well as Google Scholar). Methodological quality was evaluated and results were thematically synthesized.</w:t>
      </w:r>
    </w:p>
    <w:p w14:paraId="7468B109" w14:textId="77777777" w:rsidR="00B0067E" w:rsidRPr="00B0067E" w:rsidRDefault="00B0067E" w:rsidP="00B0067E">
      <w:pPr>
        <w:jc w:val="both"/>
        <w:rPr>
          <w:rFonts w:ascii="Garamond" w:eastAsiaTheme="minorHAnsi" w:hAnsi="Garamond" w:cstheme="minorHAnsi"/>
          <w:bCs/>
          <w:sz w:val="20"/>
          <w:szCs w:val="20"/>
        </w:rPr>
      </w:pPr>
      <w:r w:rsidRPr="00B0067E">
        <w:rPr>
          <w:rFonts w:ascii="Garamond" w:eastAsiaTheme="minorHAnsi" w:hAnsi="Garamond" w:cstheme="minorHAnsi"/>
          <w:b/>
          <w:bCs/>
          <w:sz w:val="20"/>
          <w:szCs w:val="20"/>
        </w:rPr>
        <w:t>Results</w:t>
      </w:r>
      <w:r w:rsidRPr="00B0067E">
        <w:rPr>
          <w:rFonts w:ascii="Garamond" w:eastAsiaTheme="minorHAnsi" w:hAnsi="Garamond" w:cstheme="minorHAnsi"/>
          <w:bCs/>
          <w:sz w:val="20"/>
          <w:szCs w:val="20"/>
        </w:rPr>
        <w:t>: From 4,512 records, 28 studies were included spanning different designs and national income levels. The findings revealed four key themes: (1) political will and legal frameworks among Governance and Policy Factors; (2) infrastructure and data systems among Institutional Capacity and Resources; (3) Social Dynamics and Professional Culture with focus on trust and communication; and (4) operational Coordination Mechanisms with interest in shared task forces and standard operating protocols.</w:t>
      </w:r>
    </w:p>
    <w:p w14:paraId="6F5CA2DF" w14:textId="77777777" w:rsidR="00B0067E" w:rsidRPr="00B0067E" w:rsidRDefault="00B0067E" w:rsidP="00B0067E">
      <w:pPr>
        <w:jc w:val="both"/>
        <w:rPr>
          <w:rFonts w:ascii="Garamond" w:eastAsiaTheme="minorHAnsi" w:hAnsi="Garamond" w:cstheme="minorHAnsi"/>
          <w:bCs/>
          <w:sz w:val="20"/>
          <w:szCs w:val="20"/>
        </w:rPr>
      </w:pPr>
      <w:r w:rsidRPr="00B0067E">
        <w:rPr>
          <w:rFonts w:ascii="Garamond" w:eastAsiaTheme="minorHAnsi" w:hAnsi="Garamond" w:cstheme="minorHAnsi"/>
          <w:b/>
          <w:bCs/>
          <w:sz w:val="20"/>
          <w:szCs w:val="20"/>
        </w:rPr>
        <w:t>Conclusion:</w:t>
      </w:r>
      <w:r w:rsidRPr="00B0067E">
        <w:rPr>
          <w:rFonts w:ascii="Garamond" w:eastAsiaTheme="minorHAnsi" w:hAnsi="Garamond" w:cstheme="minorHAnsi"/>
          <w:bCs/>
          <w:sz w:val="20"/>
          <w:szCs w:val="20"/>
        </w:rPr>
        <w:t xml:space="preserve"> A network of interconnected institutional and social factors affects how well One Health is coordinated. Improved governance, appropriate resources, promotion of cooperative professional cultures, and clearly defined operating systems are all required to strengthen preparedness for prospective health threats.</w:t>
      </w:r>
    </w:p>
    <w:p w14:paraId="1E197E79" w14:textId="77777777" w:rsidR="00B0067E" w:rsidRDefault="00B0067E" w:rsidP="00B0067E">
      <w:pPr>
        <w:jc w:val="both"/>
        <w:rPr>
          <w:rFonts w:ascii="Garamond" w:eastAsiaTheme="minorHAnsi" w:hAnsi="Garamond" w:cstheme="minorHAnsi"/>
          <w:b/>
          <w:bCs/>
          <w:sz w:val="20"/>
          <w:szCs w:val="20"/>
        </w:rPr>
      </w:pPr>
    </w:p>
    <w:p w14:paraId="335E4045" w14:textId="1E9A3CC1" w:rsidR="00B0067E" w:rsidRDefault="00B0067E" w:rsidP="00B0067E">
      <w:pPr>
        <w:jc w:val="both"/>
        <w:rPr>
          <w:rFonts w:ascii="Garamond" w:eastAsiaTheme="minorHAnsi" w:hAnsi="Garamond" w:cstheme="minorHAnsi"/>
          <w:bCs/>
          <w:sz w:val="20"/>
          <w:szCs w:val="20"/>
        </w:rPr>
      </w:pPr>
      <w:r w:rsidRPr="00B0067E">
        <w:rPr>
          <w:rFonts w:ascii="Garamond" w:eastAsiaTheme="minorHAnsi" w:hAnsi="Garamond" w:cstheme="minorHAnsi"/>
          <w:b/>
          <w:bCs/>
          <w:sz w:val="20"/>
          <w:szCs w:val="20"/>
        </w:rPr>
        <w:t>Keywords</w:t>
      </w:r>
      <w:r w:rsidRPr="00B0067E">
        <w:rPr>
          <w:rFonts w:ascii="Garamond" w:eastAsiaTheme="minorHAnsi" w:hAnsi="Garamond" w:cstheme="minorHAnsi"/>
          <w:b/>
          <w:bCs/>
          <w:i/>
          <w:iCs/>
          <w:sz w:val="20"/>
          <w:szCs w:val="20"/>
        </w:rPr>
        <w:t>:</w:t>
      </w:r>
      <w:r w:rsidRPr="00B0067E">
        <w:rPr>
          <w:rFonts w:ascii="Garamond" w:eastAsiaTheme="minorHAnsi" w:hAnsi="Garamond" w:cstheme="minorHAnsi"/>
          <w:bCs/>
          <w:sz w:val="20"/>
          <w:szCs w:val="20"/>
        </w:rPr>
        <w:t xml:space="preserve"> Governance; Health Security; Institutional Factors; Multisectoral Coordination; One Health; Outbreak Response; Social Factors; Zoonoses.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034A0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41"/>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1C89EC91"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7AD21E67">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8FFA625">
                <wp:simplePos x="0" y="0"/>
                <wp:positionH relativeFrom="margin">
                  <wp:posOffset>3254829</wp:posOffset>
                </wp:positionH>
                <wp:positionV relativeFrom="paragraph">
                  <wp:posOffset>24039</wp:posOffset>
                </wp:positionV>
                <wp:extent cx="2671639" cy="1077686"/>
                <wp:effectExtent l="0" t="0" r="8255" b="14605"/>
                <wp:wrapNone/>
                <wp:docPr id="8" name="Text Box 8"/>
                <wp:cNvGraphicFramePr/>
                <a:graphic xmlns:a="http://schemas.openxmlformats.org/drawingml/2006/main">
                  <a:graphicData uri="http://schemas.microsoft.com/office/word/2010/wordprocessingShape">
                    <wps:wsp>
                      <wps:cNvSpPr txBox="1"/>
                      <wps:spPr>
                        <a:xfrm>
                          <a:off x="0" y="0"/>
                          <a:ext cx="2671639" cy="1077686"/>
                        </a:xfrm>
                        <a:prstGeom prst="rect">
                          <a:avLst/>
                        </a:prstGeom>
                        <a:solidFill>
                          <a:sysClr val="window" lastClr="FFFFFF"/>
                        </a:solidFill>
                        <a:ln w="6350">
                          <a:solidFill>
                            <a:srgbClr val="70AD47">
                              <a:lumMod val="75000"/>
                            </a:srgbClr>
                          </a:solidFill>
                        </a:ln>
                      </wps:spPr>
                      <wps:txbx>
                        <w:txbxContent>
                          <w:p w14:paraId="65562D4D" w14:textId="417DF700" w:rsidR="00576722" w:rsidRPr="00B0067E" w:rsidRDefault="00B0067E" w:rsidP="00D26558">
                            <w:pPr>
                              <w:pBdr>
                                <w:bottom w:val="single" w:sz="6" w:space="1" w:color="auto"/>
                              </w:pBdr>
                              <w:jc w:val="both"/>
                              <w:rPr>
                                <w:rFonts w:ascii="Garamond" w:hAnsi="Garamond" w:cs="Segoe UI"/>
                                <w:sz w:val="21"/>
                                <w:szCs w:val="21"/>
                                <w:shd w:val="clear" w:color="auto" w:fill="FFFFFF"/>
                              </w:rPr>
                            </w:pPr>
                            <w:r w:rsidRPr="00B0067E">
                              <w:rPr>
                                <w:rFonts w:ascii="Garamond" w:hAnsi="Garamond" w:cs="Segoe UI"/>
                                <w:i/>
                                <w:iCs/>
                                <w:sz w:val="21"/>
                                <w:szCs w:val="21"/>
                                <w:shd w:val="clear" w:color="auto" w:fill="FFFFFF"/>
                              </w:rPr>
                              <w:t xml:space="preserve">Chia MD, </w:t>
                            </w:r>
                            <w:proofErr w:type="spellStart"/>
                            <w:r w:rsidRPr="00B0067E">
                              <w:rPr>
                                <w:rFonts w:ascii="Garamond" w:hAnsi="Garamond" w:cs="Segoe UI"/>
                                <w:i/>
                                <w:iCs/>
                                <w:sz w:val="21"/>
                                <w:szCs w:val="21"/>
                                <w:shd w:val="clear" w:color="auto" w:fill="FFFFFF"/>
                              </w:rPr>
                              <w:t>Gololo</w:t>
                            </w:r>
                            <w:proofErr w:type="spellEnd"/>
                            <w:r w:rsidRPr="00B0067E">
                              <w:rPr>
                                <w:rFonts w:ascii="Garamond" w:hAnsi="Garamond" w:cs="Segoe UI"/>
                                <w:i/>
                                <w:iCs/>
                                <w:sz w:val="21"/>
                                <w:szCs w:val="21"/>
                                <w:shd w:val="clear" w:color="auto" w:fill="FFFFFF"/>
                              </w:rPr>
                              <w:t xml:space="preserve"> AB. </w:t>
                            </w:r>
                            <w:r w:rsidR="008134A3" w:rsidRPr="00B0067E">
                              <w:rPr>
                                <w:rFonts w:ascii="Garamond" w:hAnsi="Garamond" w:cs="Segoe UI"/>
                                <w:i/>
                                <w:iCs/>
                                <w:sz w:val="21"/>
                                <w:szCs w:val="21"/>
                                <w:shd w:val="clear" w:color="auto" w:fill="FFFFFF"/>
                              </w:rPr>
                              <w:t xml:space="preserve"> </w:t>
                            </w:r>
                            <w:r w:rsidR="002C2EF5" w:rsidRPr="002C2EF5">
                              <w:rPr>
                                <w:rFonts w:ascii="Garamond" w:hAnsi="Garamond" w:cs="Segoe UI"/>
                                <w:sz w:val="21"/>
                                <w:szCs w:val="21"/>
                                <w:shd w:val="clear" w:color="auto" w:fill="FFFFFF"/>
                              </w:rPr>
                              <w:t>Mapping the Network: A Systematic Review of Social and Institutional Factors Influencing Multisectoral Coordination in One Health Outbreak Response</w:t>
                            </w:r>
                            <w:r w:rsidR="002C2EF5" w:rsidRPr="00B0067E">
                              <w:rPr>
                                <w:rFonts w:ascii="Garamond" w:hAnsi="Garamond" w:cs="Segoe UI"/>
                                <w:sz w:val="21"/>
                                <w:szCs w:val="21"/>
                                <w:shd w:val="clear" w:color="auto" w:fill="FFFFFF"/>
                              </w:rPr>
                              <w:t xml:space="preserve">. </w:t>
                            </w:r>
                            <w:r w:rsidR="00576722" w:rsidRPr="00B0067E">
                              <w:rPr>
                                <w:rFonts w:ascii="Garamond" w:hAnsi="Garamond" w:cs="Segoe UI"/>
                                <w:color w:val="000000" w:themeColor="text1"/>
                                <w:sz w:val="21"/>
                                <w:szCs w:val="21"/>
                                <w:shd w:val="clear" w:color="auto" w:fill="FFFFFF"/>
                              </w:rPr>
                              <w:t>The Nigerian Health Journal 202</w:t>
                            </w:r>
                            <w:r w:rsidR="00347612" w:rsidRPr="00B0067E">
                              <w:rPr>
                                <w:rFonts w:ascii="Garamond" w:hAnsi="Garamond" w:cs="Segoe UI"/>
                                <w:color w:val="000000" w:themeColor="text1"/>
                                <w:sz w:val="21"/>
                                <w:szCs w:val="21"/>
                                <w:shd w:val="clear" w:color="auto" w:fill="FFFFFF"/>
                              </w:rPr>
                              <w:t>6</w:t>
                            </w:r>
                            <w:r w:rsidR="00576722" w:rsidRPr="00B0067E">
                              <w:rPr>
                                <w:rFonts w:ascii="Garamond" w:hAnsi="Garamond" w:cs="Segoe UI"/>
                                <w:color w:val="000000" w:themeColor="text1"/>
                                <w:sz w:val="21"/>
                                <w:szCs w:val="21"/>
                                <w:shd w:val="clear" w:color="auto" w:fill="FFFFFF"/>
                              </w:rPr>
                              <w:t>; 2</w:t>
                            </w:r>
                            <w:r w:rsidR="00347612" w:rsidRPr="00B0067E">
                              <w:rPr>
                                <w:rFonts w:ascii="Garamond" w:hAnsi="Garamond" w:cs="Segoe UI"/>
                                <w:color w:val="000000" w:themeColor="text1"/>
                                <w:sz w:val="21"/>
                                <w:szCs w:val="21"/>
                                <w:shd w:val="clear" w:color="auto" w:fill="FFFFFF"/>
                              </w:rPr>
                              <w:t>6</w:t>
                            </w:r>
                            <w:r w:rsidR="00576722" w:rsidRPr="00B0067E">
                              <w:rPr>
                                <w:rFonts w:ascii="Garamond" w:hAnsi="Garamond" w:cs="Segoe UI"/>
                                <w:color w:val="000000" w:themeColor="text1"/>
                                <w:sz w:val="21"/>
                                <w:szCs w:val="21"/>
                                <w:shd w:val="clear" w:color="auto" w:fill="FFFFFF"/>
                              </w:rPr>
                              <w:t>(</w:t>
                            </w:r>
                            <w:r w:rsidR="00347612" w:rsidRPr="00B0067E">
                              <w:rPr>
                                <w:rFonts w:ascii="Garamond" w:hAnsi="Garamond" w:cs="Segoe UI"/>
                                <w:color w:val="000000" w:themeColor="text1"/>
                                <w:sz w:val="21"/>
                                <w:szCs w:val="21"/>
                                <w:shd w:val="clear" w:color="auto" w:fill="FFFFFF"/>
                              </w:rPr>
                              <w:t>1</w:t>
                            </w:r>
                            <w:r w:rsidR="00576722" w:rsidRPr="00B0067E">
                              <w:rPr>
                                <w:rFonts w:ascii="Garamond" w:hAnsi="Garamond" w:cs="Segoe UI"/>
                                <w:color w:val="000000" w:themeColor="text1"/>
                                <w:sz w:val="21"/>
                                <w:szCs w:val="21"/>
                                <w:shd w:val="clear" w:color="auto" w:fill="FFFFFF"/>
                              </w:rPr>
                              <w:t>)</w:t>
                            </w:r>
                            <w:r w:rsidR="00034A05">
                              <w:rPr>
                                <w:rFonts w:ascii="Garamond" w:hAnsi="Garamond" w:cs="Segoe UI"/>
                                <w:color w:val="000000" w:themeColor="text1"/>
                                <w:sz w:val="21"/>
                                <w:szCs w:val="21"/>
                                <w:shd w:val="clear" w:color="auto" w:fill="FFFFFF"/>
                              </w:rPr>
                              <w:t xml:space="preserve">: 441 – 449. </w:t>
                            </w:r>
                            <w:hyperlink r:id="rId22" w:history="1">
                              <w:r w:rsidR="00034A05" w:rsidRPr="008D4B15">
                                <w:rPr>
                                  <w:rStyle w:val="Hyperlink"/>
                                  <w:rFonts w:ascii="Garamond" w:hAnsi="Garamond" w:cs="Arial"/>
                                  <w:sz w:val="20"/>
                                  <w:szCs w:val="20"/>
                                </w:rPr>
                                <w:t>https://doi.org/10.71637/tnhj.v26i1.1345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9pt;width:210.35pt;height:84.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" fillcolor="window" strokecolor="#548235" strokeweight=".5pt">
                <v:textbox>
                  <w:txbxContent>
                    <w:p w14:paraId="65562D4D" w14:textId="417DF700" w:rsidR="00576722" w:rsidRPr="00B0067E" w:rsidRDefault="00B0067E" w:rsidP="00D26558">
                      <w:pPr>
                        <w:pBdr>
                          <w:bottom w:val="single" w:sz="6" w:space="1" w:color="auto"/>
                        </w:pBdr>
                        <w:jc w:val="both"/>
                        <w:rPr>
                          <w:rFonts w:ascii="Garamond" w:hAnsi="Garamond" w:cs="Segoe UI"/>
                          <w:sz w:val="21"/>
                          <w:szCs w:val="21"/>
                          <w:shd w:val="clear" w:color="auto" w:fill="FFFFFF"/>
                        </w:rPr>
                      </w:pPr>
                      <w:r w:rsidRPr="00B0067E">
                        <w:rPr>
                          <w:rFonts w:ascii="Garamond" w:hAnsi="Garamond" w:cs="Segoe UI"/>
                          <w:i/>
                          <w:iCs/>
                          <w:sz w:val="21"/>
                          <w:szCs w:val="21"/>
                          <w:shd w:val="clear" w:color="auto" w:fill="FFFFFF"/>
                        </w:rPr>
                        <w:t xml:space="preserve">Chia MD, </w:t>
                      </w:r>
                      <w:proofErr w:type="spellStart"/>
                      <w:r w:rsidRPr="00B0067E">
                        <w:rPr>
                          <w:rFonts w:ascii="Garamond" w:hAnsi="Garamond" w:cs="Segoe UI"/>
                          <w:i/>
                          <w:iCs/>
                          <w:sz w:val="21"/>
                          <w:szCs w:val="21"/>
                          <w:shd w:val="clear" w:color="auto" w:fill="FFFFFF"/>
                        </w:rPr>
                        <w:t>Gololo</w:t>
                      </w:r>
                      <w:proofErr w:type="spellEnd"/>
                      <w:r w:rsidRPr="00B0067E">
                        <w:rPr>
                          <w:rFonts w:ascii="Garamond" w:hAnsi="Garamond" w:cs="Segoe UI"/>
                          <w:i/>
                          <w:iCs/>
                          <w:sz w:val="21"/>
                          <w:szCs w:val="21"/>
                          <w:shd w:val="clear" w:color="auto" w:fill="FFFFFF"/>
                        </w:rPr>
                        <w:t xml:space="preserve"> AB. </w:t>
                      </w:r>
                      <w:r w:rsidR="008134A3" w:rsidRPr="00B0067E">
                        <w:rPr>
                          <w:rFonts w:ascii="Garamond" w:hAnsi="Garamond" w:cs="Segoe UI"/>
                          <w:i/>
                          <w:iCs/>
                          <w:sz w:val="21"/>
                          <w:szCs w:val="21"/>
                          <w:shd w:val="clear" w:color="auto" w:fill="FFFFFF"/>
                        </w:rPr>
                        <w:t xml:space="preserve"> </w:t>
                      </w:r>
                      <w:r w:rsidR="002C2EF5" w:rsidRPr="002C2EF5">
                        <w:rPr>
                          <w:rFonts w:ascii="Garamond" w:hAnsi="Garamond" w:cs="Segoe UI"/>
                          <w:sz w:val="21"/>
                          <w:szCs w:val="21"/>
                          <w:shd w:val="clear" w:color="auto" w:fill="FFFFFF"/>
                        </w:rPr>
                        <w:t>Mapping the Network: A Systematic Review of Social and Institutional Factors Influencing Multisectoral Coordination in One Health Outbreak Response</w:t>
                      </w:r>
                      <w:r w:rsidR="002C2EF5" w:rsidRPr="00B0067E">
                        <w:rPr>
                          <w:rFonts w:ascii="Garamond" w:hAnsi="Garamond" w:cs="Segoe UI"/>
                          <w:sz w:val="21"/>
                          <w:szCs w:val="21"/>
                          <w:shd w:val="clear" w:color="auto" w:fill="FFFFFF"/>
                        </w:rPr>
                        <w:t xml:space="preserve">. </w:t>
                      </w:r>
                      <w:r w:rsidR="00576722" w:rsidRPr="00B0067E">
                        <w:rPr>
                          <w:rFonts w:ascii="Garamond" w:hAnsi="Garamond" w:cs="Segoe UI"/>
                          <w:color w:val="000000" w:themeColor="text1"/>
                          <w:sz w:val="21"/>
                          <w:szCs w:val="21"/>
                          <w:shd w:val="clear" w:color="auto" w:fill="FFFFFF"/>
                        </w:rPr>
                        <w:t>The Nigerian Health Journal 202</w:t>
                      </w:r>
                      <w:r w:rsidR="00347612" w:rsidRPr="00B0067E">
                        <w:rPr>
                          <w:rFonts w:ascii="Garamond" w:hAnsi="Garamond" w:cs="Segoe UI"/>
                          <w:color w:val="000000" w:themeColor="text1"/>
                          <w:sz w:val="21"/>
                          <w:szCs w:val="21"/>
                          <w:shd w:val="clear" w:color="auto" w:fill="FFFFFF"/>
                        </w:rPr>
                        <w:t>6</w:t>
                      </w:r>
                      <w:r w:rsidR="00576722" w:rsidRPr="00B0067E">
                        <w:rPr>
                          <w:rFonts w:ascii="Garamond" w:hAnsi="Garamond" w:cs="Segoe UI"/>
                          <w:color w:val="000000" w:themeColor="text1"/>
                          <w:sz w:val="21"/>
                          <w:szCs w:val="21"/>
                          <w:shd w:val="clear" w:color="auto" w:fill="FFFFFF"/>
                        </w:rPr>
                        <w:t>; 2</w:t>
                      </w:r>
                      <w:r w:rsidR="00347612" w:rsidRPr="00B0067E">
                        <w:rPr>
                          <w:rFonts w:ascii="Garamond" w:hAnsi="Garamond" w:cs="Segoe UI"/>
                          <w:color w:val="000000" w:themeColor="text1"/>
                          <w:sz w:val="21"/>
                          <w:szCs w:val="21"/>
                          <w:shd w:val="clear" w:color="auto" w:fill="FFFFFF"/>
                        </w:rPr>
                        <w:t>6</w:t>
                      </w:r>
                      <w:r w:rsidR="00576722" w:rsidRPr="00B0067E">
                        <w:rPr>
                          <w:rFonts w:ascii="Garamond" w:hAnsi="Garamond" w:cs="Segoe UI"/>
                          <w:color w:val="000000" w:themeColor="text1"/>
                          <w:sz w:val="21"/>
                          <w:szCs w:val="21"/>
                          <w:shd w:val="clear" w:color="auto" w:fill="FFFFFF"/>
                        </w:rPr>
                        <w:t>(</w:t>
                      </w:r>
                      <w:r w:rsidR="00347612" w:rsidRPr="00B0067E">
                        <w:rPr>
                          <w:rFonts w:ascii="Garamond" w:hAnsi="Garamond" w:cs="Segoe UI"/>
                          <w:color w:val="000000" w:themeColor="text1"/>
                          <w:sz w:val="21"/>
                          <w:szCs w:val="21"/>
                          <w:shd w:val="clear" w:color="auto" w:fill="FFFFFF"/>
                        </w:rPr>
                        <w:t>1</w:t>
                      </w:r>
                      <w:r w:rsidR="00576722" w:rsidRPr="00B0067E">
                        <w:rPr>
                          <w:rFonts w:ascii="Garamond" w:hAnsi="Garamond" w:cs="Segoe UI"/>
                          <w:color w:val="000000" w:themeColor="text1"/>
                          <w:sz w:val="21"/>
                          <w:szCs w:val="21"/>
                          <w:shd w:val="clear" w:color="auto" w:fill="FFFFFF"/>
                        </w:rPr>
                        <w:t>)</w:t>
                      </w:r>
                      <w:r w:rsidR="00034A05">
                        <w:rPr>
                          <w:rFonts w:ascii="Garamond" w:hAnsi="Garamond" w:cs="Segoe UI"/>
                          <w:color w:val="000000" w:themeColor="text1"/>
                          <w:sz w:val="21"/>
                          <w:szCs w:val="21"/>
                          <w:shd w:val="clear" w:color="auto" w:fill="FFFFFF"/>
                        </w:rPr>
                        <w:t xml:space="preserve">: 441 – 449. </w:t>
                      </w:r>
                      <w:hyperlink r:id="rId23" w:history="1">
                        <w:r w:rsidR="00034A05" w:rsidRPr="008D4B15">
                          <w:rPr>
                            <w:rStyle w:val="Hyperlink"/>
                            <w:rFonts w:ascii="Garamond" w:hAnsi="Garamond" w:cs="Arial"/>
                            <w:sz w:val="20"/>
                            <w:szCs w:val="20"/>
                          </w:rPr>
                          <w:t>https://doi.org/10.71637/tnhj.v26i1.1345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37D8B65F" w:rsidR="000720E5" w:rsidRDefault="002C3D1C"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0CE230D4" w14:textId="77777777" w:rsidR="00B0067E" w:rsidRPr="00B0067E" w:rsidRDefault="00B0067E" w:rsidP="00B0067E">
      <w:pPr>
        <w:spacing w:line="259" w:lineRule="auto"/>
        <w:jc w:val="both"/>
        <w:rPr>
          <w:rFonts w:ascii="Garamond" w:hAnsi="Garamond"/>
          <w:b/>
          <w:bCs/>
          <w:iCs/>
          <w:sz w:val="20"/>
          <w:szCs w:val="20"/>
        </w:rPr>
      </w:pPr>
      <w:r w:rsidRPr="00B0067E">
        <w:rPr>
          <w:rFonts w:ascii="Garamond" w:hAnsi="Garamond"/>
          <w:bCs/>
          <w:iCs/>
          <w:sz w:val="20"/>
          <w:szCs w:val="20"/>
        </w:rPr>
        <w:t xml:space="preserve">Recent studies have identified an unprecedented number of new emerging infectious diseases (EIDs), most of which originate from animals. </w:t>
      </w:r>
      <w:r w:rsidRPr="00B0067E">
        <w:rPr>
          <w:rFonts w:ascii="Garamond" w:hAnsi="Garamond"/>
          <w:bCs/>
          <w:iCs/>
          <w:sz w:val="20"/>
          <w:szCs w:val="20"/>
          <w:vertAlign w:val="superscript"/>
        </w:rPr>
        <w:t>1-3</w:t>
      </w:r>
      <w:r w:rsidRPr="00B0067E">
        <w:rPr>
          <w:rFonts w:ascii="Garamond" w:hAnsi="Garamond"/>
          <w:bCs/>
          <w:iCs/>
          <w:sz w:val="20"/>
          <w:szCs w:val="20"/>
        </w:rPr>
        <w:t xml:space="preserve"> During the COVID-19 outbreak, scientists preserved bacteria and pathogens responsible for animal diseases. Unfortunately, this decision had detrimental effects on human health, contributing to the spread of the virus and resulting in significant health issues. The realization of this fact has triggered a worldwide consensus on the need for the One Health strategy, which acknowledges the intricate relationship between the health of humans, animals, and their shared environment.</w:t>
      </w:r>
      <w:r w:rsidRPr="00B0067E">
        <w:rPr>
          <w:rFonts w:ascii="Garamond" w:hAnsi="Garamond"/>
          <w:bCs/>
          <w:iCs/>
          <w:sz w:val="20"/>
          <w:szCs w:val="20"/>
          <w:vertAlign w:val="superscript"/>
        </w:rPr>
        <w:t xml:space="preserve"> 3,4</w:t>
      </w:r>
      <w:r w:rsidRPr="00B0067E">
        <w:rPr>
          <w:rFonts w:ascii="Garamond" w:hAnsi="Garamond"/>
          <w:bCs/>
          <w:iCs/>
          <w:sz w:val="20"/>
          <w:szCs w:val="20"/>
        </w:rPr>
        <w:t xml:space="preserve"> Multisectoral coordination is essential for the implementation of One Health, particularly during outbreaks, as it requires the participation of public health, veterinary services, wildlife authorities, and environmental agencies to create a cohesive response. </w:t>
      </w:r>
      <w:r w:rsidRPr="00B0067E">
        <w:rPr>
          <w:rFonts w:ascii="Garamond" w:hAnsi="Garamond"/>
          <w:bCs/>
          <w:iCs/>
          <w:sz w:val="20"/>
          <w:szCs w:val="20"/>
          <w:vertAlign w:val="superscript"/>
        </w:rPr>
        <w:t>5,6</w:t>
      </w:r>
      <w:r w:rsidRPr="00B0067E">
        <w:rPr>
          <w:rFonts w:ascii="Garamond" w:hAnsi="Garamond"/>
          <w:bCs/>
          <w:iCs/>
          <w:sz w:val="20"/>
          <w:szCs w:val="20"/>
        </w:rPr>
        <w:t xml:space="preserve"> </w:t>
      </w:r>
    </w:p>
    <w:p w14:paraId="5C77E618"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Although many have embraced One Health, it is difficult to translate its concept into practice. Reports from outbreaks of Ebola, Highly Pathogenic Avian Influenza, and COVID-19 indicate ongoing gaps in coordination, resulting in delayed responses to treatments, duplicated efforts for treatment, or missed opportunities for control.</w:t>
      </w:r>
      <w:r w:rsidRPr="00B0067E">
        <w:rPr>
          <w:rFonts w:ascii="Garamond" w:hAnsi="Garamond"/>
          <w:bCs/>
          <w:iCs/>
          <w:sz w:val="20"/>
          <w:szCs w:val="20"/>
          <w:vertAlign w:val="superscript"/>
        </w:rPr>
        <w:t xml:space="preserve">7,8 </w:t>
      </w:r>
      <w:r w:rsidRPr="00B0067E">
        <w:rPr>
          <w:rFonts w:ascii="Garamond" w:hAnsi="Garamond"/>
          <w:bCs/>
          <w:iCs/>
          <w:sz w:val="20"/>
          <w:szCs w:val="20"/>
        </w:rPr>
        <w:t>Despite the importance of technical capacities, such as laboratory diagnostics, the effectiveness of these capabilities depends on the human and organizational components, which are often called software components of the system.</w:t>
      </w:r>
      <w:r w:rsidRPr="00B0067E">
        <w:rPr>
          <w:rFonts w:ascii="Garamond" w:hAnsi="Garamond"/>
          <w:bCs/>
          <w:iCs/>
          <w:sz w:val="20"/>
          <w:szCs w:val="20"/>
          <w:vertAlign w:val="superscript"/>
        </w:rPr>
        <w:t>9</w:t>
      </w:r>
      <w:r w:rsidRPr="00B0067E">
        <w:rPr>
          <w:rFonts w:ascii="Garamond" w:hAnsi="Garamond"/>
          <w:bCs/>
          <w:iCs/>
          <w:sz w:val="20"/>
          <w:szCs w:val="20"/>
        </w:rPr>
        <w:t xml:space="preserve"> </w:t>
      </w:r>
    </w:p>
    <w:p w14:paraId="7EC2FF95"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Despite previous literature emphasizing the need for coordination or case studies of specific outbreaks, a systematic mapping of the factors that influence such collaborative efforts across different settings is lacking. Rather than simply creating temporary solutions, multisectoral action requires an understanding of the social dynamics and institutional structures that enable or restrict such actions.</w:t>
      </w:r>
      <w:r w:rsidRPr="00B0067E">
        <w:rPr>
          <w:rFonts w:ascii="Garamond" w:hAnsi="Garamond"/>
          <w:bCs/>
          <w:iCs/>
          <w:sz w:val="20"/>
          <w:szCs w:val="20"/>
          <w:vertAlign w:val="superscript"/>
        </w:rPr>
        <w:t>10-13</w:t>
      </w:r>
      <w:r w:rsidRPr="00B0067E">
        <w:rPr>
          <w:rFonts w:ascii="Garamond" w:hAnsi="Garamond"/>
          <w:bCs/>
          <w:iCs/>
          <w:sz w:val="20"/>
          <w:szCs w:val="20"/>
        </w:rPr>
        <w:t xml:space="preserve"> </w:t>
      </w:r>
    </w:p>
    <w:p w14:paraId="19D3E14E" w14:textId="77777777" w:rsidR="00B0067E" w:rsidRDefault="00B0067E" w:rsidP="00B0067E">
      <w:pPr>
        <w:spacing w:line="259" w:lineRule="auto"/>
        <w:jc w:val="both"/>
        <w:rPr>
          <w:rFonts w:ascii="Garamond" w:hAnsi="Garamond"/>
          <w:bCs/>
          <w:iCs/>
          <w:sz w:val="20"/>
          <w:szCs w:val="20"/>
          <w:vertAlign w:val="superscript"/>
        </w:rPr>
      </w:pPr>
      <w:r w:rsidRPr="00B0067E">
        <w:rPr>
          <w:rFonts w:ascii="Garamond" w:hAnsi="Garamond"/>
          <w:bCs/>
          <w:iCs/>
          <w:sz w:val="20"/>
          <w:szCs w:val="20"/>
        </w:rPr>
        <w:t xml:space="preserve">Thus, this systematic review addresses a critical gap in the existing literature by looking at social, institutional and governance dimensions which affect multi-sectoral coordination in One Health outbreak responses, despite the fact that prior research has primarily focused on technical capacities such as surveillance systems, laboratory diagnostics and response infrastructure. By identifying and synthesizing evidence on non-technical factors, this review seeks to explain how the human, animal and environment health sectors coordinate during outbreaks. </w:t>
      </w:r>
      <w:r w:rsidRPr="00B0067E">
        <w:rPr>
          <w:rFonts w:ascii="Garamond" w:hAnsi="Garamond"/>
          <w:bCs/>
          <w:iCs/>
          <w:sz w:val="20"/>
          <w:szCs w:val="20"/>
          <w:vertAlign w:val="superscript"/>
        </w:rPr>
        <w:t>14-16</w:t>
      </w:r>
    </w:p>
    <w:p w14:paraId="1B2D2D32" w14:textId="77777777" w:rsidR="002C3D1C" w:rsidRDefault="002C3D1C" w:rsidP="00B0067E">
      <w:pPr>
        <w:spacing w:line="259" w:lineRule="auto"/>
        <w:jc w:val="both"/>
        <w:rPr>
          <w:rFonts w:ascii="Garamond" w:hAnsi="Garamond"/>
          <w:bCs/>
          <w:iCs/>
          <w:sz w:val="20"/>
          <w:szCs w:val="20"/>
          <w:vertAlign w:val="superscript"/>
        </w:rPr>
      </w:pPr>
    </w:p>
    <w:p w14:paraId="70772FA5" w14:textId="085EFAB4" w:rsidR="00B0067E" w:rsidRPr="00B0067E" w:rsidRDefault="00B0067E" w:rsidP="00B0067E">
      <w:pPr>
        <w:spacing w:line="259" w:lineRule="auto"/>
        <w:jc w:val="both"/>
        <w:rPr>
          <w:rFonts w:ascii="Garamond" w:hAnsi="Garamond"/>
          <w:b/>
          <w:bCs/>
          <w:iCs/>
          <w:sz w:val="20"/>
          <w:szCs w:val="20"/>
        </w:rPr>
      </w:pPr>
    </w:p>
    <w:p w14:paraId="276BC3A1" w14:textId="12948436" w:rsidR="00B0067E" w:rsidRPr="002C3D1C" w:rsidRDefault="002C3D1C" w:rsidP="00B0067E">
      <w:pPr>
        <w:spacing w:line="259" w:lineRule="auto"/>
        <w:jc w:val="both"/>
        <w:rPr>
          <w:rFonts w:ascii="Garamond" w:hAnsi="Garamond"/>
          <w:b/>
          <w:bCs/>
          <w:iCs/>
          <w:sz w:val="22"/>
          <w:szCs w:val="22"/>
        </w:rPr>
      </w:pPr>
      <w:r w:rsidRPr="002C3D1C">
        <w:rPr>
          <w:rFonts w:ascii="Garamond" w:hAnsi="Garamond"/>
          <w:b/>
          <w:bCs/>
          <w:iCs/>
          <w:sz w:val="22"/>
          <w:szCs w:val="22"/>
        </w:rPr>
        <w:t>METHODOLOGY</w:t>
      </w:r>
    </w:p>
    <w:p w14:paraId="6C3CC689" w14:textId="77777777" w:rsidR="00B0067E" w:rsidRPr="00B0067E" w:rsidRDefault="00B0067E" w:rsidP="00B0067E">
      <w:pPr>
        <w:spacing w:line="259" w:lineRule="auto"/>
        <w:jc w:val="both"/>
        <w:rPr>
          <w:rFonts w:ascii="Garamond" w:hAnsi="Garamond"/>
          <w:b/>
          <w:bCs/>
          <w:iCs/>
          <w:sz w:val="20"/>
          <w:szCs w:val="20"/>
        </w:rPr>
      </w:pPr>
      <w:r w:rsidRPr="002C3D1C">
        <w:rPr>
          <w:rFonts w:ascii="Garamond" w:hAnsi="Garamond"/>
          <w:b/>
          <w:bCs/>
          <w:i/>
          <w:sz w:val="20"/>
          <w:szCs w:val="20"/>
        </w:rPr>
        <w:t>Protocol &amp; Registration:</w:t>
      </w:r>
      <w:r w:rsidRPr="00B0067E">
        <w:rPr>
          <w:rFonts w:ascii="Garamond" w:hAnsi="Garamond"/>
          <w:bCs/>
          <w:iCs/>
          <w:sz w:val="20"/>
          <w:szCs w:val="20"/>
        </w:rPr>
        <w:t xml:space="preserve"> The review was carried out and presented following the Preferred Reporting Items for Systematic Reviews and Meta- Analyses (PRISMA) guidelines.</w:t>
      </w:r>
      <w:r w:rsidRPr="00B0067E">
        <w:rPr>
          <w:rFonts w:ascii="Garamond" w:hAnsi="Garamond"/>
          <w:bCs/>
          <w:iCs/>
          <w:sz w:val="20"/>
          <w:szCs w:val="20"/>
          <w:vertAlign w:val="superscript"/>
        </w:rPr>
        <w:t>17</w:t>
      </w:r>
      <w:r w:rsidRPr="00B0067E">
        <w:rPr>
          <w:rFonts w:ascii="Garamond" w:hAnsi="Garamond"/>
          <w:bCs/>
          <w:iCs/>
          <w:sz w:val="20"/>
          <w:szCs w:val="20"/>
        </w:rPr>
        <w:t xml:space="preserve"> Because the protocol was solely a simulated academic project, it was not listed in the International Prospective Register of Systematic Reviews, PROSPERO.</w:t>
      </w:r>
    </w:p>
    <w:p w14:paraId="729967CF" w14:textId="77777777" w:rsidR="00B0067E" w:rsidRPr="002C3D1C" w:rsidRDefault="00B0067E" w:rsidP="00B0067E">
      <w:pPr>
        <w:spacing w:line="259" w:lineRule="auto"/>
        <w:jc w:val="both"/>
        <w:rPr>
          <w:rFonts w:ascii="Garamond" w:hAnsi="Garamond"/>
          <w:b/>
          <w:bCs/>
          <w:i/>
          <w:sz w:val="20"/>
          <w:szCs w:val="20"/>
        </w:rPr>
      </w:pPr>
      <w:r w:rsidRPr="002C3D1C">
        <w:rPr>
          <w:rFonts w:ascii="Garamond" w:hAnsi="Garamond"/>
          <w:b/>
          <w:bCs/>
          <w:i/>
          <w:sz w:val="20"/>
          <w:szCs w:val="20"/>
        </w:rPr>
        <w:t xml:space="preserve">Criteria for Eligibility </w:t>
      </w:r>
    </w:p>
    <w:p w14:paraId="02305BBA"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i/>
          <w:sz w:val="20"/>
          <w:szCs w:val="20"/>
        </w:rPr>
        <w:t>Inclusion criteria:</w:t>
      </w:r>
      <w:r w:rsidRPr="00B0067E">
        <w:rPr>
          <w:rFonts w:ascii="Garamond" w:hAnsi="Garamond"/>
          <w:bCs/>
          <w:iCs/>
          <w:sz w:val="20"/>
          <w:szCs w:val="20"/>
        </w:rPr>
        <w:t xml:space="preserve"> The PICOS framework helped us choose studies that met the following requirements: population, intervention, comparison, outcome, and study design.</w:t>
      </w:r>
    </w:p>
    <w:p w14:paraId="143B94DD" w14:textId="77777777" w:rsidR="00B0067E" w:rsidRPr="00B0067E" w:rsidRDefault="00B0067E" w:rsidP="00B0067E">
      <w:pPr>
        <w:spacing w:line="259" w:lineRule="auto"/>
        <w:jc w:val="both"/>
        <w:rPr>
          <w:rFonts w:ascii="Garamond" w:hAnsi="Garamond"/>
          <w:bCs/>
          <w:iCs/>
          <w:sz w:val="20"/>
          <w:szCs w:val="20"/>
        </w:rPr>
      </w:pPr>
      <w:proofErr w:type="spellStart"/>
      <w:r w:rsidRPr="002C3D1C">
        <w:rPr>
          <w:rFonts w:ascii="Garamond" w:hAnsi="Garamond"/>
          <w:iCs/>
          <w:sz w:val="20"/>
          <w:szCs w:val="20"/>
        </w:rPr>
        <w:t>i</w:t>
      </w:r>
      <w:proofErr w:type="spellEnd"/>
      <w:r w:rsidRPr="002C3D1C">
        <w:rPr>
          <w:rFonts w:ascii="Garamond" w:hAnsi="Garamond"/>
          <w:iCs/>
          <w:sz w:val="20"/>
          <w:szCs w:val="20"/>
        </w:rPr>
        <w:t>. Population:</w:t>
      </w:r>
      <w:r w:rsidRPr="00B0067E">
        <w:rPr>
          <w:rFonts w:ascii="Garamond" w:hAnsi="Garamond"/>
          <w:bCs/>
          <w:iCs/>
          <w:sz w:val="20"/>
          <w:szCs w:val="20"/>
        </w:rPr>
        <w:t xml:space="preserve"> People, groups, or organizations from at least two of One Health's three main areas—human, animal, and environmental—working on infectious disease outbreak research.</w:t>
      </w:r>
    </w:p>
    <w:p w14:paraId="4CCA8ECB"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iCs/>
          <w:sz w:val="20"/>
          <w:szCs w:val="20"/>
        </w:rPr>
        <w:t>ii. Intervention (Phenomenon of Interest):</w:t>
      </w:r>
      <w:r w:rsidRPr="00B0067E">
        <w:rPr>
          <w:rFonts w:ascii="Garamond" w:hAnsi="Garamond"/>
          <w:bCs/>
          <w:iCs/>
          <w:sz w:val="20"/>
          <w:szCs w:val="20"/>
        </w:rPr>
        <w:t xml:space="preserve"> Research examining or chronicling elements affecting the process of multisectoral coordination, collaboration, or communication.</w:t>
      </w:r>
    </w:p>
    <w:p w14:paraId="11D4EE8C"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iCs/>
          <w:sz w:val="20"/>
          <w:szCs w:val="20"/>
        </w:rPr>
        <w:t>iii. Comparison:</w:t>
      </w:r>
      <w:r w:rsidRPr="00B0067E">
        <w:rPr>
          <w:rFonts w:ascii="Garamond" w:hAnsi="Garamond"/>
          <w:bCs/>
          <w:iCs/>
          <w:sz w:val="20"/>
          <w:szCs w:val="20"/>
        </w:rPr>
        <w:t xml:space="preserve"> Research centered on environments with differing levels of successful coordination was observed, even though the content is not appropriate for this scoping/mapping review.</w:t>
      </w:r>
    </w:p>
    <w:p w14:paraId="30D01A72"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iCs/>
          <w:sz w:val="20"/>
          <w:szCs w:val="20"/>
        </w:rPr>
        <w:t>iv. Outcome:</w:t>
      </w:r>
      <w:r w:rsidRPr="00B0067E">
        <w:rPr>
          <w:rFonts w:ascii="Garamond" w:hAnsi="Garamond"/>
          <w:bCs/>
          <w:iCs/>
          <w:sz w:val="20"/>
          <w:szCs w:val="20"/>
        </w:rPr>
        <w:t xml:space="preserve"> Primary outcomes included measurements or descriptions of facilitators and/or barriers to successful collaboration. Process indicators, quantitative response time metrics, or qualitative themes all fit here.</w:t>
      </w:r>
    </w:p>
    <w:p w14:paraId="3A9359FC"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iCs/>
          <w:sz w:val="20"/>
          <w:szCs w:val="20"/>
        </w:rPr>
        <w:t>v. Design of Study:</w:t>
      </w:r>
      <w:r w:rsidRPr="00B0067E">
        <w:rPr>
          <w:rFonts w:ascii="Garamond" w:hAnsi="Garamond"/>
          <w:bCs/>
          <w:iCs/>
          <w:sz w:val="20"/>
          <w:szCs w:val="20"/>
        </w:rPr>
        <w:t xml:space="preserve"> We included original research studies using mixed-methods designs, qualitative (e.g., case studies, interviews, focus groups), and quantitative (e.g., surveys, observational studies).</w:t>
      </w:r>
    </w:p>
    <w:p w14:paraId="41EFF8D4"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i/>
          <w:sz w:val="20"/>
          <w:szCs w:val="20"/>
        </w:rPr>
        <w:t>Exclusion criteria</w:t>
      </w:r>
      <w:r w:rsidRPr="00B0067E">
        <w:rPr>
          <w:rFonts w:ascii="Garamond" w:hAnsi="Garamond"/>
          <w:bCs/>
          <w:iCs/>
          <w:sz w:val="20"/>
          <w:szCs w:val="20"/>
        </w:rPr>
        <w:t>: We excluded conference abstracts, opinion papers/reviews, and modeling investigations lacking primary empirical evidence on coordination variables.</w:t>
      </w:r>
    </w:p>
    <w:p w14:paraId="2E29C684" w14:textId="77777777" w:rsidR="00B0067E" w:rsidRPr="00B0067E" w:rsidRDefault="00B0067E" w:rsidP="00B0067E">
      <w:pPr>
        <w:spacing w:line="259" w:lineRule="auto"/>
        <w:jc w:val="both"/>
        <w:rPr>
          <w:rFonts w:ascii="Garamond" w:hAnsi="Garamond"/>
          <w:b/>
          <w:bCs/>
          <w:iCs/>
          <w:sz w:val="20"/>
          <w:szCs w:val="20"/>
        </w:rPr>
      </w:pPr>
      <w:r w:rsidRPr="002C3D1C">
        <w:rPr>
          <w:rFonts w:ascii="Garamond" w:hAnsi="Garamond"/>
          <w:b/>
          <w:bCs/>
          <w:i/>
          <w:sz w:val="20"/>
          <w:szCs w:val="20"/>
        </w:rPr>
        <w:t>Search strategy and Information Sources:</w:t>
      </w:r>
      <w:r w:rsidRPr="00B0067E">
        <w:rPr>
          <w:rFonts w:ascii="Garamond" w:hAnsi="Garamond"/>
          <w:b/>
          <w:bCs/>
          <w:iCs/>
          <w:sz w:val="20"/>
          <w:szCs w:val="20"/>
        </w:rPr>
        <w:t xml:space="preserve"> </w:t>
      </w:r>
      <w:r w:rsidRPr="00B0067E">
        <w:rPr>
          <w:rFonts w:ascii="Garamond" w:hAnsi="Garamond"/>
          <w:bCs/>
          <w:iCs/>
          <w:sz w:val="20"/>
          <w:szCs w:val="20"/>
        </w:rPr>
        <w:t xml:space="preserve">A systematic search of PubMed, Scopus, and Web of Science was conducted for studies published between 1 January 2020 and 1 January 2026 to collect literature on coordination during and after the COVID-19 pandemic. The search, developed with a research librarian, used </w:t>
      </w:r>
      <w:proofErr w:type="spellStart"/>
      <w:r w:rsidRPr="00B0067E">
        <w:rPr>
          <w:rFonts w:ascii="Garamond" w:hAnsi="Garamond"/>
          <w:bCs/>
          <w:iCs/>
          <w:sz w:val="20"/>
          <w:szCs w:val="20"/>
        </w:rPr>
        <w:t>MeSH</w:t>
      </w:r>
      <w:proofErr w:type="spellEnd"/>
      <w:r w:rsidRPr="00B0067E">
        <w:rPr>
          <w:rFonts w:ascii="Garamond" w:hAnsi="Garamond"/>
          <w:bCs/>
          <w:iCs/>
          <w:sz w:val="20"/>
          <w:szCs w:val="20"/>
        </w:rPr>
        <w:t xml:space="preserve"> phrases and keywords focusing on One Health, multisectoral coordination, outbreaks, and social influences.</w:t>
      </w:r>
      <w:r w:rsidRPr="00B0067E">
        <w:rPr>
          <w:rFonts w:ascii="Garamond" w:hAnsi="Garamond"/>
          <w:bCs/>
          <w:iCs/>
          <w:sz w:val="20"/>
          <w:szCs w:val="20"/>
          <w:vertAlign w:val="superscript"/>
        </w:rPr>
        <w:t>10</w:t>
      </w:r>
      <w:r w:rsidRPr="00B0067E">
        <w:rPr>
          <w:rFonts w:ascii="Garamond" w:hAnsi="Garamond"/>
          <w:bCs/>
          <w:iCs/>
          <w:sz w:val="20"/>
          <w:szCs w:val="20"/>
        </w:rPr>
        <w:t xml:space="preserve"> On 2 February 2026, a comprehensive PubMed search was performed to investigate social and institutional factors impacting multisectoral coordination in One Health outbreak response, utilizing </w:t>
      </w:r>
      <w:proofErr w:type="spellStart"/>
      <w:r w:rsidRPr="00B0067E">
        <w:rPr>
          <w:rFonts w:ascii="Garamond" w:hAnsi="Garamond"/>
          <w:bCs/>
          <w:iCs/>
          <w:sz w:val="20"/>
          <w:szCs w:val="20"/>
        </w:rPr>
        <w:t>MeSH</w:t>
      </w:r>
      <w:proofErr w:type="spellEnd"/>
      <w:r w:rsidRPr="00B0067E">
        <w:rPr>
          <w:rFonts w:ascii="Garamond" w:hAnsi="Garamond"/>
          <w:bCs/>
          <w:iCs/>
          <w:sz w:val="20"/>
          <w:szCs w:val="20"/>
        </w:rPr>
        <w:t xml:space="preserve"> terms and free-text keywords focusing on three key concepts: One Health </w:t>
      </w:r>
      <w:r w:rsidRPr="00B0067E">
        <w:rPr>
          <w:rFonts w:ascii="Garamond" w:hAnsi="Garamond"/>
          <w:bCs/>
          <w:iCs/>
          <w:sz w:val="20"/>
          <w:szCs w:val="20"/>
        </w:rPr>
        <w:lastRenderedPageBreak/>
        <w:t>and multisectoral collaboration, disease outbreaks and zoonotic diseases, and relevant social and institutional factors. Synonyms were linked with Boolean operators “OR," and the three main concepts were linked with "AND." English-language filters were applied, and records were screened for duplicates as displayed below:</w:t>
      </w:r>
    </w:p>
    <w:p w14:paraId="13B18634"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("One Health"[Mesh/Title/Abstract] OR "multisectoral"[Title/Abstract] OR "intersectoral"[Title/Abstract] OR "cross-sectoral" [Title/Abstract] OR "interagency"[Title/Abstract] OR "multi-agency"[Title/Abstract]) ("coordination" [Title/Abstract] OR "collaboration"[Title/Abstract] OR "cooperation"[Title/Abstract] OR "communication" [Title/Abstract] OR "partnership" [Title/Abstract]) ("outbreak"[Title/Abstract] OR "epidemic" [Title/Abstract] OR "pandemic"[Title/Abstract] OR "public health emergency' [Title/Abstract] OR "</w:t>
      </w:r>
      <w:proofErr w:type="spellStart"/>
      <w:r w:rsidRPr="00B0067E">
        <w:rPr>
          <w:rFonts w:ascii="Garamond" w:hAnsi="Garamond"/>
          <w:bCs/>
          <w:iCs/>
          <w:sz w:val="20"/>
          <w:szCs w:val="20"/>
        </w:rPr>
        <w:t>zoono</w:t>
      </w:r>
      <w:proofErr w:type="spellEnd"/>
      <w:r w:rsidRPr="00B0067E">
        <w:rPr>
          <w:rFonts w:ascii="Garamond" w:hAnsi="Garamond"/>
          <w:bCs/>
          <w:iCs/>
          <w:sz w:val="20"/>
          <w:szCs w:val="20"/>
        </w:rPr>
        <w:t>*"[Title/Abstract] OR ("disease" AND "</w:t>
      </w:r>
      <w:proofErr w:type="spellStart"/>
      <w:r w:rsidRPr="00B0067E">
        <w:rPr>
          <w:rFonts w:ascii="Garamond" w:hAnsi="Garamond"/>
          <w:bCs/>
          <w:iCs/>
          <w:sz w:val="20"/>
          <w:szCs w:val="20"/>
        </w:rPr>
        <w:t>emerg</w:t>
      </w:r>
      <w:proofErr w:type="spellEnd"/>
      <w:r w:rsidRPr="00B0067E">
        <w:rPr>
          <w:rFonts w:ascii="Garamond" w:hAnsi="Garamond"/>
          <w:bCs/>
          <w:iCs/>
          <w:sz w:val="20"/>
          <w:szCs w:val="20"/>
        </w:rPr>
        <w:t xml:space="preserve">*"[Title/Abstract]))("social factor*"[Title/Abstract] OR "institutional factor*"[Title/Abstract] OR "governance"[Title/Abstract] OR "policy"[Title/Abstract] OR "trust" [Title/Abstract] OR "culture"[Title/Abstract] OR "barrier*"[Title/Abstract] OR "facilitator*"[Title/Abstract]) AND  (filter:   OR "animals"[Mesh] OR "environment"[Mesh]) AND </w:t>
      </w:r>
    </w:p>
    <w:p w14:paraId="1C7640F9" w14:textId="77777777" w:rsidR="00B0067E" w:rsidRPr="00B0067E" w:rsidRDefault="00B0067E" w:rsidP="00B0067E">
      <w:pPr>
        <w:spacing w:line="259" w:lineRule="auto"/>
        <w:jc w:val="both"/>
        <w:rPr>
          <w:rFonts w:ascii="Garamond" w:hAnsi="Garamond"/>
          <w:b/>
          <w:bCs/>
          <w:iCs/>
          <w:sz w:val="20"/>
          <w:szCs w:val="20"/>
        </w:rPr>
      </w:pPr>
      <w:r w:rsidRPr="002C3D1C">
        <w:rPr>
          <w:rFonts w:ascii="Garamond" w:hAnsi="Garamond"/>
          <w:b/>
          <w:bCs/>
          <w:i/>
          <w:sz w:val="20"/>
          <w:szCs w:val="20"/>
        </w:rPr>
        <w:t>Procedure for Selection of Studies:</w:t>
      </w:r>
      <w:r w:rsidRPr="00B0067E">
        <w:rPr>
          <w:rFonts w:ascii="Garamond" w:hAnsi="Garamond"/>
          <w:b/>
          <w:bCs/>
          <w:iCs/>
          <w:sz w:val="20"/>
          <w:szCs w:val="20"/>
        </w:rPr>
        <w:t xml:space="preserve"> </w:t>
      </w:r>
      <w:r w:rsidRPr="00B0067E">
        <w:rPr>
          <w:rFonts w:ascii="Garamond" w:hAnsi="Garamond"/>
          <w:bCs/>
          <w:iCs/>
          <w:sz w:val="20"/>
          <w:szCs w:val="20"/>
        </w:rPr>
        <w:t>The PRISMA flow of study choice process (Table 1 below) captures the study selection process as shown here:</w:t>
      </w:r>
    </w:p>
    <w:p w14:paraId="7FA76041" w14:textId="77777777" w:rsidR="00B0067E" w:rsidRPr="00B0067E" w:rsidRDefault="00B0067E" w:rsidP="00B0067E">
      <w:pPr>
        <w:spacing w:line="259" w:lineRule="auto"/>
        <w:jc w:val="both"/>
        <w:rPr>
          <w:rFonts w:ascii="Garamond" w:hAnsi="Garamond"/>
          <w:bCs/>
          <w:iCs/>
          <w:sz w:val="20"/>
          <w:szCs w:val="20"/>
        </w:rPr>
      </w:pPr>
      <w:proofErr w:type="spellStart"/>
      <w:r w:rsidRPr="00B0067E">
        <w:rPr>
          <w:rFonts w:ascii="Garamond" w:hAnsi="Garamond"/>
          <w:bCs/>
          <w:iCs/>
          <w:sz w:val="20"/>
          <w:szCs w:val="20"/>
        </w:rPr>
        <w:t>i</w:t>
      </w:r>
      <w:proofErr w:type="spellEnd"/>
      <w:r w:rsidRPr="00B0067E">
        <w:rPr>
          <w:rFonts w:ascii="Garamond" w:hAnsi="Garamond"/>
          <w:bCs/>
          <w:iCs/>
          <w:sz w:val="20"/>
          <w:szCs w:val="20"/>
        </w:rPr>
        <w:t>. Records identified: 4,512</w:t>
      </w:r>
    </w:p>
    <w:p w14:paraId="5324889C"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ii. Records after 823 duplicates removed: 3,689</w:t>
      </w:r>
    </w:p>
    <w:p w14:paraId="3B99B133"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iii. Records screened (title/abstract): 3,689</w:t>
      </w:r>
    </w:p>
    <w:p w14:paraId="122FB3EB"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iv. Full</w:t>
      </w:r>
      <w:r w:rsidRPr="00B0067E">
        <w:rPr>
          <w:rFonts w:ascii="Cambria Math" w:hAnsi="Cambria Math" w:cs="Cambria Math"/>
          <w:bCs/>
          <w:iCs/>
          <w:sz w:val="20"/>
          <w:szCs w:val="20"/>
        </w:rPr>
        <w:t>‑</w:t>
      </w:r>
      <w:r w:rsidRPr="00B0067E">
        <w:rPr>
          <w:rFonts w:ascii="Garamond" w:hAnsi="Garamond"/>
          <w:bCs/>
          <w:iCs/>
          <w:sz w:val="20"/>
          <w:szCs w:val="20"/>
        </w:rPr>
        <w:t>text articles assessed: 144</w:t>
      </w:r>
    </w:p>
    <w:p w14:paraId="4B15EF4D"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 xml:space="preserve">v. Studies included in synthesis: </w:t>
      </w:r>
      <w:r w:rsidRPr="00B0067E">
        <w:rPr>
          <w:rFonts w:ascii="Garamond" w:hAnsi="Garamond"/>
          <w:b/>
          <w:bCs/>
          <w:iCs/>
          <w:sz w:val="20"/>
          <w:szCs w:val="20"/>
        </w:rPr>
        <w:t>28</w:t>
      </w:r>
    </w:p>
    <w:p w14:paraId="238A27E7" w14:textId="77777777" w:rsidR="00B0067E" w:rsidRPr="00B0067E" w:rsidRDefault="00B0067E" w:rsidP="00B0067E">
      <w:pPr>
        <w:spacing w:line="259" w:lineRule="auto"/>
        <w:jc w:val="both"/>
        <w:rPr>
          <w:rFonts w:ascii="Garamond" w:hAnsi="Garamond"/>
          <w:b/>
          <w:bCs/>
          <w:iCs/>
          <w:sz w:val="20"/>
          <w:szCs w:val="20"/>
        </w:rPr>
      </w:pPr>
      <w:r w:rsidRPr="002C3D1C">
        <w:rPr>
          <w:rFonts w:ascii="Garamond" w:hAnsi="Garamond"/>
          <w:b/>
          <w:bCs/>
          <w:i/>
          <w:sz w:val="20"/>
          <w:szCs w:val="20"/>
        </w:rPr>
        <w:t>Extraction of Data</w:t>
      </w:r>
      <w:r w:rsidRPr="00B0067E">
        <w:rPr>
          <w:rFonts w:ascii="Garamond" w:hAnsi="Garamond"/>
          <w:b/>
          <w:bCs/>
          <w:iCs/>
          <w:sz w:val="20"/>
          <w:szCs w:val="20"/>
        </w:rPr>
        <w:t xml:space="preserve">: </w:t>
      </w:r>
      <w:r w:rsidRPr="00B0067E">
        <w:rPr>
          <w:rFonts w:ascii="Garamond" w:hAnsi="Garamond"/>
          <w:bCs/>
          <w:iCs/>
          <w:sz w:val="20"/>
          <w:szCs w:val="20"/>
        </w:rPr>
        <w:t>A standardized form for extracting data (table 2 below) was created and piloted on three different studies. The form recorded the following: study-ID, author(s), year of publication, geographical location, country income level (World Bank categorization), study design, outbreak circumstance (e.g., COVID-19, Ebola, Avian Influenza), sectors engaged, and important results pertaining to facilitators and barriers of coordination.</w:t>
      </w:r>
    </w:p>
    <w:p w14:paraId="062994F9"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b/>
          <w:bCs/>
          <w:i/>
          <w:sz w:val="20"/>
          <w:szCs w:val="20"/>
        </w:rPr>
        <w:t>Quality Assurance and Synthesis:</w:t>
      </w:r>
      <w:r w:rsidRPr="00B0067E">
        <w:rPr>
          <w:rFonts w:ascii="Garamond" w:hAnsi="Garamond"/>
          <w:b/>
          <w:bCs/>
          <w:iCs/>
          <w:sz w:val="20"/>
          <w:szCs w:val="20"/>
        </w:rPr>
        <w:t xml:space="preserve"> </w:t>
      </w:r>
      <w:r w:rsidRPr="00B0067E">
        <w:rPr>
          <w:rFonts w:ascii="Garamond" w:hAnsi="Garamond"/>
          <w:bCs/>
          <w:iCs/>
          <w:sz w:val="20"/>
          <w:szCs w:val="20"/>
        </w:rPr>
        <w:t>Given the variety of research methodologies and results, a narrative synthesis using a thematic approach was used according to the procedure described by Thomas and Harden (2008).</w:t>
      </w:r>
      <w:r w:rsidRPr="00B0067E">
        <w:rPr>
          <w:rFonts w:ascii="Garamond" w:hAnsi="Garamond"/>
          <w:bCs/>
          <w:iCs/>
          <w:sz w:val="20"/>
          <w:szCs w:val="20"/>
          <w:vertAlign w:val="superscript"/>
        </w:rPr>
        <w:t>18</w:t>
      </w:r>
      <w:r w:rsidRPr="00B0067E">
        <w:rPr>
          <w:rFonts w:ascii="Garamond" w:hAnsi="Garamond"/>
          <w:bCs/>
          <w:iCs/>
          <w:sz w:val="20"/>
          <w:szCs w:val="20"/>
        </w:rPr>
        <w:t xml:space="preserve"> Three steps were involved in this: (1) line-by-line coding of the results of the included studies; (2) grouping of </w:t>
      </w:r>
      <w:r w:rsidRPr="00B0067E">
        <w:rPr>
          <w:rFonts w:ascii="Garamond" w:hAnsi="Garamond"/>
          <w:bCs/>
          <w:iCs/>
          <w:sz w:val="20"/>
          <w:szCs w:val="20"/>
        </w:rPr>
        <w:t>these codes into descriptive themes; and (3) development of analytical themes that address the review question. The suitable Critical Appraisal Skills Program (CASP) checklist (e.g., CASP for qualitative studies, CASP for cohort studies) was used to evaluate each study included. Though the results of lesser-quality studies were interpreted with caution, studies were not merely removed on the basis of quality evaluation.</w:t>
      </w:r>
    </w:p>
    <w:p w14:paraId="0444D5F3"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
          <w:bCs/>
          <w:i/>
          <w:iCs/>
          <w:sz w:val="20"/>
          <w:szCs w:val="20"/>
        </w:rPr>
        <w:t>Ethical approval</w:t>
      </w:r>
      <w:r w:rsidRPr="00B0067E">
        <w:rPr>
          <w:rFonts w:ascii="Garamond" w:hAnsi="Garamond"/>
          <w:bCs/>
          <w:iCs/>
          <w:sz w:val="20"/>
          <w:szCs w:val="20"/>
        </w:rPr>
        <w:t xml:space="preserve">: </w:t>
      </w:r>
      <w:bookmarkStart w:id="10" w:name="_Hlk222288420"/>
      <w:r w:rsidRPr="00B0067E">
        <w:rPr>
          <w:rFonts w:ascii="Garamond" w:hAnsi="Garamond"/>
          <w:bCs/>
          <w:iCs/>
          <w:sz w:val="20"/>
          <w:szCs w:val="20"/>
        </w:rPr>
        <w:t xml:space="preserve">Data from previously published studies available in the public domain were synthesized for this research. There were no direct human or animal subjects involved, and no primary data were collected. Therefore, </w:t>
      </w:r>
      <w:bookmarkEnd w:id="10"/>
      <w:r w:rsidRPr="00B0067E">
        <w:rPr>
          <w:rFonts w:ascii="Garamond" w:hAnsi="Garamond"/>
          <w:bCs/>
          <w:iCs/>
          <w:sz w:val="20"/>
          <w:szCs w:val="20"/>
        </w:rPr>
        <w:t xml:space="preserve">this particular context and the nature of the research resulted in the determination that ethical approval was not required. </w:t>
      </w:r>
    </w:p>
    <w:p w14:paraId="4D0EEFB7" w14:textId="77777777" w:rsidR="002C3D1C" w:rsidRDefault="002C3D1C" w:rsidP="00B0067E">
      <w:pPr>
        <w:spacing w:line="259" w:lineRule="auto"/>
        <w:jc w:val="both"/>
        <w:rPr>
          <w:rFonts w:ascii="Garamond" w:hAnsi="Garamond"/>
          <w:b/>
          <w:bCs/>
          <w:iCs/>
          <w:sz w:val="20"/>
          <w:szCs w:val="20"/>
        </w:rPr>
      </w:pPr>
    </w:p>
    <w:p w14:paraId="1F717676" w14:textId="4B50F034" w:rsidR="00B0067E" w:rsidRPr="002C3D1C" w:rsidRDefault="002C3D1C" w:rsidP="00B0067E">
      <w:pPr>
        <w:spacing w:line="259" w:lineRule="auto"/>
        <w:jc w:val="both"/>
        <w:rPr>
          <w:rFonts w:ascii="Garamond" w:hAnsi="Garamond"/>
          <w:b/>
          <w:bCs/>
          <w:iCs/>
          <w:sz w:val="22"/>
          <w:szCs w:val="22"/>
        </w:rPr>
      </w:pPr>
      <w:r w:rsidRPr="002C3D1C">
        <w:rPr>
          <w:rFonts w:ascii="Garamond" w:hAnsi="Garamond"/>
          <w:b/>
          <w:bCs/>
          <w:iCs/>
          <w:sz w:val="22"/>
          <w:szCs w:val="22"/>
        </w:rPr>
        <w:t>RESULTS</w:t>
      </w:r>
    </w:p>
    <w:p w14:paraId="5EDA54A6" w14:textId="77777777" w:rsidR="00B0067E" w:rsidRPr="00B0067E" w:rsidRDefault="00B0067E" w:rsidP="00B0067E">
      <w:pPr>
        <w:spacing w:line="259" w:lineRule="auto"/>
        <w:jc w:val="both"/>
        <w:rPr>
          <w:rFonts w:ascii="Garamond" w:hAnsi="Garamond"/>
          <w:bCs/>
          <w:iCs/>
          <w:sz w:val="20"/>
          <w:szCs w:val="20"/>
        </w:rPr>
      </w:pPr>
      <w:r w:rsidRPr="002C3D1C">
        <w:rPr>
          <w:rFonts w:ascii="Garamond" w:hAnsi="Garamond"/>
          <w:b/>
          <w:bCs/>
          <w:i/>
          <w:sz w:val="20"/>
          <w:szCs w:val="20"/>
        </w:rPr>
        <w:t>Study Selection</w:t>
      </w:r>
      <w:r w:rsidRPr="00B0067E">
        <w:rPr>
          <w:rFonts w:ascii="Garamond" w:hAnsi="Garamond"/>
          <w:b/>
          <w:bCs/>
          <w:iCs/>
          <w:sz w:val="20"/>
          <w:szCs w:val="20"/>
        </w:rPr>
        <w:t>:</w:t>
      </w:r>
      <w:r w:rsidRPr="00B0067E">
        <w:rPr>
          <w:rFonts w:ascii="Garamond" w:hAnsi="Garamond"/>
          <w:bCs/>
          <w:iCs/>
          <w:sz w:val="20"/>
          <w:szCs w:val="20"/>
        </w:rPr>
        <w:t xml:space="preserve"> involved 4,512 records found in a database search, with 823 duplicates removed, resulting in 3,689 records screened at the title and abstract level. This led to the cancellation of 3,545 records, and full texts of 144 articles were assessed for eligibility. Of these, 116 articles were excluded: 45 for not being primary studies, 38 for not focusing on coordination factors, and 33 for irrelevant outcomes. Ultimately, 28 studies were included in the thematic synthesis (Table 1).</w:t>
      </w:r>
    </w:p>
    <w:p w14:paraId="228C57C8" w14:textId="77777777" w:rsidR="00B0067E" w:rsidRDefault="00B0067E" w:rsidP="007A1526">
      <w:pPr>
        <w:spacing w:line="259" w:lineRule="auto"/>
        <w:jc w:val="both"/>
        <w:rPr>
          <w:rFonts w:ascii="Garamond" w:hAnsi="Garamond"/>
          <w:bCs/>
          <w:iCs/>
          <w:sz w:val="20"/>
          <w:szCs w:val="20"/>
        </w:rPr>
      </w:pPr>
    </w:p>
    <w:p w14:paraId="7D105F1B" w14:textId="77777777" w:rsidR="00183DC5" w:rsidRPr="00B0067E" w:rsidRDefault="00183DC5" w:rsidP="00183DC5">
      <w:pPr>
        <w:spacing w:line="259" w:lineRule="auto"/>
        <w:jc w:val="both"/>
        <w:rPr>
          <w:rFonts w:ascii="Garamond" w:hAnsi="Garamond"/>
          <w:b/>
          <w:bCs/>
          <w:iCs/>
          <w:sz w:val="20"/>
          <w:szCs w:val="20"/>
        </w:rPr>
      </w:pPr>
      <w:r w:rsidRPr="002C3D1C">
        <w:rPr>
          <w:rFonts w:ascii="Garamond" w:hAnsi="Garamond"/>
          <w:b/>
          <w:bCs/>
          <w:i/>
          <w:sz w:val="20"/>
          <w:szCs w:val="20"/>
        </w:rPr>
        <w:t>Study Characteristics:</w:t>
      </w:r>
      <w:r w:rsidRPr="00B0067E">
        <w:rPr>
          <w:rFonts w:ascii="Garamond" w:hAnsi="Garamond"/>
          <w:b/>
          <w:bCs/>
          <w:iCs/>
          <w:sz w:val="20"/>
          <w:szCs w:val="20"/>
        </w:rPr>
        <w:t xml:space="preserve"> </w:t>
      </w:r>
      <w:r w:rsidRPr="00B0067E">
        <w:rPr>
          <w:rFonts w:ascii="Garamond" w:hAnsi="Garamond"/>
          <w:bCs/>
          <w:iCs/>
          <w:sz w:val="20"/>
          <w:szCs w:val="20"/>
        </w:rPr>
        <w:t xml:space="preserve">The characteristics of each of the 28 studies are presented in Table 2. The studies were published between the years 2020 and 2025. </w:t>
      </w:r>
    </w:p>
    <w:p w14:paraId="781D8BA3" w14:textId="77777777" w:rsidR="00183DC5" w:rsidRDefault="00183DC5" w:rsidP="00183DC5">
      <w:pPr>
        <w:spacing w:line="259" w:lineRule="auto"/>
        <w:jc w:val="both"/>
        <w:rPr>
          <w:rFonts w:ascii="Garamond" w:hAnsi="Garamond"/>
          <w:bCs/>
          <w:iCs/>
          <w:sz w:val="20"/>
          <w:szCs w:val="20"/>
        </w:rPr>
      </w:pPr>
      <w:r w:rsidRPr="00B0067E">
        <w:rPr>
          <w:rFonts w:ascii="Garamond" w:hAnsi="Garamond"/>
          <w:bCs/>
          <w:iCs/>
          <w:sz w:val="20"/>
          <w:szCs w:val="20"/>
        </w:rPr>
        <w:t>Geographically, there were more concentrated studies on East and Southeast Asia (n=10) and Sub-Saharan Africa (n=8), with fewer studies from the Americas (n=5), Europe (n=3), and Middle East (n=2). A combination of low-income households (n=4), lower-middle- income households (n=9), upper middle-class households (n=10), and high-income countries (n=5) were analyzed. COVID-19 (n=15) were the most prevalent outbreak contexts, Avian Influenza (n=6) and Ebola (n=4). Study designs were mainly qualitative (n = 18), using methods such as key informant interviews and case studies, then mixed-methods (n= 7) and quantitative (n=3) designs.</w:t>
      </w:r>
    </w:p>
    <w:p w14:paraId="14784083" w14:textId="77777777" w:rsidR="00183DC5" w:rsidRDefault="00183DC5" w:rsidP="007A1526">
      <w:pPr>
        <w:spacing w:line="259" w:lineRule="auto"/>
        <w:jc w:val="both"/>
        <w:rPr>
          <w:rFonts w:ascii="Garamond" w:hAnsi="Garamond"/>
          <w:bCs/>
          <w:iCs/>
          <w:sz w:val="20"/>
          <w:szCs w:val="20"/>
        </w:rPr>
        <w:sectPr w:rsidR="00183DC5" w:rsidSect="003D02D5">
          <w:type w:val="continuous"/>
          <w:pgSz w:w="12240" w:h="15840"/>
          <w:pgMar w:top="1440" w:right="1440" w:bottom="1440" w:left="1440" w:header="720" w:footer="720" w:gutter="0"/>
          <w:cols w:num="2" w:space="720"/>
          <w:titlePg/>
          <w:docGrid w:linePitch="360"/>
        </w:sectPr>
      </w:pPr>
    </w:p>
    <w:p w14:paraId="30BE0666" w14:textId="52D0B32E"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lastRenderedPageBreak/>
        <w:t>Table 1: PRISMA Flow of Study Selection</w:t>
      </w:r>
    </w:p>
    <w:tbl>
      <w:tblPr>
        <w:tblStyle w:val="LightShading11"/>
        <w:tblW w:w="0" w:type="auto"/>
        <w:tblLook w:val="0620" w:firstRow="1" w:lastRow="0" w:firstColumn="0" w:lastColumn="0" w:noHBand="1" w:noVBand="1"/>
      </w:tblPr>
      <w:tblGrid>
        <w:gridCol w:w="2136"/>
        <w:gridCol w:w="5241"/>
        <w:gridCol w:w="1509"/>
      </w:tblGrid>
      <w:tr w:rsidR="00B0067E" w:rsidRPr="00B0067E" w14:paraId="12D19464" w14:textId="77777777" w:rsidTr="002C3D1C">
        <w:trPr>
          <w:cnfStyle w:val="100000000000" w:firstRow="1" w:lastRow="0" w:firstColumn="0" w:lastColumn="0" w:oddVBand="0" w:evenVBand="0" w:oddHBand="0" w:evenHBand="0" w:firstRowFirstColumn="0" w:firstRowLastColumn="0" w:lastRowFirstColumn="0" w:lastRowLastColumn="0"/>
          <w:tblHeader/>
        </w:trPr>
        <w:tc>
          <w:tcPr>
            <w:tcW w:w="2136" w:type="dxa"/>
          </w:tcPr>
          <w:p w14:paraId="050843B6" w14:textId="77777777" w:rsidR="00B0067E" w:rsidRPr="00B0067E" w:rsidRDefault="00B0067E" w:rsidP="00B0067E">
            <w:pPr>
              <w:spacing w:line="259" w:lineRule="auto"/>
              <w:jc w:val="both"/>
              <w:rPr>
                <w:rFonts w:ascii="Garamond" w:hAnsi="Garamond"/>
                <w:iCs/>
                <w:sz w:val="20"/>
                <w:szCs w:val="20"/>
              </w:rPr>
            </w:pPr>
            <w:r w:rsidRPr="00B0067E">
              <w:rPr>
                <w:rFonts w:ascii="Garamond" w:hAnsi="Garamond"/>
                <w:iCs/>
                <w:sz w:val="20"/>
                <w:szCs w:val="20"/>
              </w:rPr>
              <w:t>Stage</w:t>
            </w:r>
          </w:p>
        </w:tc>
        <w:tc>
          <w:tcPr>
            <w:tcW w:w="5241" w:type="dxa"/>
          </w:tcPr>
          <w:p w14:paraId="291A49A0" w14:textId="77777777" w:rsidR="00B0067E" w:rsidRPr="00B0067E" w:rsidRDefault="00B0067E" w:rsidP="00B0067E">
            <w:pPr>
              <w:spacing w:line="259" w:lineRule="auto"/>
              <w:jc w:val="both"/>
              <w:rPr>
                <w:rFonts w:ascii="Garamond" w:hAnsi="Garamond"/>
                <w:iCs/>
                <w:sz w:val="20"/>
                <w:szCs w:val="20"/>
              </w:rPr>
            </w:pPr>
            <w:r w:rsidRPr="00B0067E">
              <w:rPr>
                <w:rFonts w:ascii="Garamond" w:hAnsi="Garamond"/>
                <w:iCs/>
                <w:sz w:val="20"/>
                <w:szCs w:val="20"/>
              </w:rPr>
              <w:t>Description</w:t>
            </w:r>
          </w:p>
        </w:tc>
        <w:tc>
          <w:tcPr>
            <w:tcW w:w="1509" w:type="dxa"/>
          </w:tcPr>
          <w:p w14:paraId="708754EA" w14:textId="77777777" w:rsidR="00B0067E" w:rsidRPr="00B0067E" w:rsidRDefault="00B0067E" w:rsidP="00B0067E">
            <w:pPr>
              <w:spacing w:line="259" w:lineRule="auto"/>
              <w:jc w:val="both"/>
              <w:rPr>
                <w:rFonts w:ascii="Garamond" w:hAnsi="Garamond"/>
                <w:iCs/>
                <w:sz w:val="20"/>
                <w:szCs w:val="20"/>
              </w:rPr>
            </w:pPr>
            <w:r w:rsidRPr="00B0067E">
              <w:rPr>
                <w:rFonts w:ascii="Garamond" w:hAnsi="Garamond"/>
                <w:iCs/>
                <w:sz w:val="20"/>
                <w:szCs w:val="20"/>
              </w:rPr>
              <w:t>Number(n)</w:t>
            </w:r>
          </w:p>
        </w:tc>
      </w:tr>
      <w:tr w:rsidR="00B0067E" w:rsidRPr="00B0067E" w14:paraId="594E98CC" w14:textId="77777777" w:rsidTr="00B0067E">
        <w:tc>
          <w:tcPr>
            <w:tcW w:w="2136" w:type="dxa"/>
          </w:tcPr>
          <w:p w14:paraId="0D366BB7"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
                <w:bCs/>
                <w:iCs/>
                <w:sz w:val="20"/>
                <w:szCs w:val="20"/>
              </w:rPr>
              <w:t xml:space="preserve">Identification </w:t>
            </w:r>
          </w:p>
        </w:tc>
        <w:tc>
          <w:tcPr>
            <w:tcW w:w="5241" w:type="dxa"/>
          </w:tcPr>
          <w:p w14:paraId="7BCF0579"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Records identified from databases</w:t>
            </w:r>
          </w:p>
        </w:tc>
        <w:tc>
          <w:tcPr>
            <w:tcW w:w="1509" w:type="dxa"/>
          </w:tcPr>
          <w:p w14:paraId="5011E36C"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4,512</w:t>
            </w:r>
          </w:p>
        </w:tc>
      </w:tr>
      <w:tr w:rsidR="00B0067E" w:rsidRPr="00B0067E" w14:paraId="5FB88100" w14:textId="77777777" w:rsidTr="00B0067E">
        <w:tc>
          <w:tcPr>
            <w:tcW w:w="2136" w:type="dxa"/>
          </w:tcPr>
          <w:p w14:paraId="1CCCF6E3"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
                <w:bCs/>
                <w:iCs/>
                <w:sz w:val="20"/>
                <w:szCs w:val="20"/>
              </w:rPr>
              <w:t xml:space="preserve">Screening </w:t>
            </w:r>
          </w:p>
        </w:tc>
        <w:tc>
          <w:tcPr>
            <w:tcW w:w="5241" w:type="dxa"/>
          </w:tcPr>
          <w:p w14:paraId="7E282320"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Duplicate records removed before screening</w:t>
            </w:r>
          </w:p>
        </w:tc>
        <w:tc>
          <w:tcPr>
            <w:tcW w:w="1509" w:type="dxa"/>
          </w:tcPr>
          <w:p w14:paraId="64D87976"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823</w:t>
            </w:r>
          </w:p>
        </w:tc>
      </w:tr>
      <w:tr w:rsidR="00B0067E" w:rsidRPr="00B0067E" w14:paraId="2D4BC6B4" w14:textId="77777777" w:rsidTr="00B0067E">
        <w:tc>
          <w:tcPr>
            <w:tcW w:w="2136" w:type="dxa"/>
          </w:tcPr>
          <w:p w14:paraId="4439D4BC" w14:textId="77777777" w:rsidR="00B0067E" w:rsidRPr="00B0067E" w:rsidRDefault="00B0067E" w:rsidP="00B0067E">
            <w:pPr>
              <w:spacing w:line="259" w:lineRule="auto"/>
              <w:jc w:val="both"/>
              <w:rPr>
                <w:rFonts w:ascii="Garamond" w:hAnsi="Garamond"/>
                <w:b/>
                <w:bCs/>
                <w:iCs/>
                <w:sz w:val="20"/>
                <w:szCs w:val="20"/>
              </w:rPr>
            </w:pPr>
          </w:p>
        </w:tc>
        <w:tc>
          <w:tcPr>
            <w:tcW w:w="5241" w:type="dxa"/>
          </w:tcPr>
          <w:p w14:paraId="79A3142C"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Records screened after duplicates removed</w:t>
            </w:r>
            <w:r w:rsidRPr="00B0067E">
              <w:rPr>
                <w:rFonts w:ascii="Garamond" w:hAnsi="Garamond"/>
                <w:bCs/>
                <w:iCs/>
                <w:sz w:val="20"/>
                <w:szCs w:val="20"/>
              </w:rPr>
              <w:tab/>
            </w:r>
          </w:p>
        </w:tc>
        <w:tc>
          <w:tcPr>
            <w:tcW w:w="1509" w:type="dxa"/>
          </w:tcPr>
          <w:p w14:paraId="0049E110"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3,689</w:t>
            </w:r>
          </w:p>
        </w:tc>
      </w:tr>
      <w:tr w:rsidR="00B0067E" w:rsidRPr="00B0067E" w14:paraId="4ED6755E" w14:textId="77777777" w:rsidTr="00B0067E">
        <w:tc>
          <w:tcPr>
            <w:tcW w:w="2136" w:type="dxa"/>
          </w:tcPr>
          <w:p w14:paraId="4F12C175" w14:textId="77777777" w:rsidR="00B0067E" w:rsidRPr="00B0067E" w:rsidRDefault="00B0067E" w:rsidP="00B0067E">
            <w:pPr>
              <w:spacing w:line="259" w:lineRule="auto"/>
              <w:jc w:val="both"/>
              <w:rPr>
                <w:rFonts w:ascii="Garamond" w:hAnsi="Garamond"/>
                <w:b/>
                <w:bCs/>
                <w:iCs/>
                <w:sz w:val="20"/>
                <w:szCs w:val="20"/>
              </w:rPr>
            </w:pPr>
          </w:p>
        </w:tc>
        <w:tc>
          <w:tcPr>
            <w:tcW w:w="5241" w:type="dxa"/>
          </w:tcPr>
          <w:p w14:paraId="1D94741B"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Records excluded at screening</w:t>
            </w:r>
            <w:r w:rsidRPr="00B0067E">
              <w:rPr>
                <w:rFonts w:ascii="Garamond" w:hAnsi="Garamond"/>
                <w:bCs/>
                <w:iCs/>
                <w:sz w:val="20"/>
                <w:szCs w:val="20"/>
              </w:rPr>
              <w:tab/>
            </w:r>
          </w:p>
        </w:tc>
        <w:tc>
          <w:tcPr>
            <w:tcW w:w="1509" w:type="dxa"/>
          </w:tcPr>
          <w:p w14:paraId="6336F80A"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3,545</w:t>
            </w:r>
          </w:p>
        </w:tc>
      </w:tr>
      <w:tr w:rsidR="00B0067E" w:rsidRPr="00B0067E" w14:paraId="7B0A7517" w14:textId="77777777" w:rsidTr="00B0067E">
        <w:tc>
          <w:tcPr>
            <w:tcW w:w="2136" w:type="dxa"/>
          </w:tcPr>
          <w:p w14:paraId="473F4582"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
                <w:bCs/>
                <w:iCs/>
                <w:sz w:val="20"/>
                <w:szCs w:val="20"/>
              </w:rPr>
              <w:t>Eligibility</w:t>
            </w:r>
            <w:r w:rsidRPr="00B0067E">
              <w:rPr>
                <w:rFonts w:ascii="Garamond" w:hAnsi="Garamond"/>
                <w:b/>
                <w:bCs/>
                <w:iCs/>
                <w:sz w:val="20"/>
                <w:szCs w:val="20"/>
              </w:rPr>
              <w:tab/>
            </w:r>
          </w:p>
        </w:tc>
        <w:tc>
          <w:tcPr>
            <w:tcW w:w="5241" w:type="dxa"/>
          </w:tcPr>
          <w:p w14:paraId="615A60AB"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Reports sought for retrieval</w:t>
            </w:r>
          </w:p>
        </w:tc>
        <w:tc>
          <w:tcPr>
            <w:tcW w:w="1509" w:type="dxa"/>
          </w:tcPr>
          <w:p w14:paraId="633B7528"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144</w:t>
            </w:r>
          </w:p>
        </w:tc>
      </w:tr>
      <w:tr w:rsidR="00B0067E" w:rsidRPr="00B0067E" w14:paraId="1593C4F0" w14:textId="77777777" w:rsidTr="00B0067E">
        <w:tc>
          <w:tcPr>
            <w:tcW w:w="2136" w:type="dxa"/>
          </w:tcPr>
          <w:p w14:paraId="5B3AF355" w14:textId="77777777" w:rsidR="00B0067E" w:rsidRPr="00B0067E" w:rsidRDefault="00B0067E" w:rsidP="00B0067E">
            <w:pPr>
              <w:spacing w:line="259" w:lineRule="auto"/>
              <w:jc w:val="both"/>
              <w:rPr>
                <w:rFonts w:ascii="Garamond" w:hAnsi="Garamond"/>
                <w:b/>
                <w:bCs/>
                <w:iCs/>
                <w:sz w:val="20"/>
                <w:szCs w:val="20"/>
              </w:rPr>
            </w:pPr>
          </w:p>
        </w:tc>
        <w:tc>
          <w:tcPr>
            <w:tcW w:w="5241" w:type="dxa"/>
          </w:tcPr>
          <w:p w14:paraId="7F95E701"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Reports assessed for eligibility</w:t>
            </w:r>
            <w:r w:rsidRPr="00B0067E">
              <w:rPr>
                <w:rFonts w:ascii="Garamond" w:hAnsi="Garamond"/>
                <w:bCs/>
                <w:iCs/>
                <w:sz w:val="20"/>
                <w:szCs w:val="20"/>
              </w:rPr>
              <w:tab/>
            </w:r>
          </w:p>
        </w:tc>
        <w:tc>
          <w:tcPr>
            <w:tcW w:w="1509" w:type="dxa"/>
          </w:tcPr>
          <w:p w14:paraId="34CC1D7B"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144</w:t>
            </w:r>
          </w:p>
        </w:tc>
      </w:tr>
      <w:tr w:rsidR="00B0067E" w:rsidRPr="00B0067E" w14:paraId="7B11507D" w14:textId="77777777" w:rsidTr="00B0067E">
        <w:tc>
          <w:tcPr>
            <w:tcW w:w="2136" w:type="dxa"/>
          </w:tcPr>
          <w:p w14:paraId="60F6E914" w14:textId="77777777" w:rsidR="00B0067E" w:rsidRPr="00B0067E" w:rsidRDefault="00B0067E" w:rsidP="00B0067E">
            <w:pPr>
              <w:spacing w:line="259" w:lineRule="auto"/>
              <w:jc w:val="both"/>
              <w:rPr>
                <w:rFonts w:ascii="Garamond" w:hAnsi="Garamond"/>
                <w:b/>
                <w:bCs/>
                <w:iCs/>
                <w:sz w:val="20"/>
                <w:szCs w:val="20"/>
              </w:rPr>
            </w:pPr>
          </w:p>
        </w:tc>
        <w:tc>
          <w:tcPr>
            <w:tcW w:w="5241" w:type="dxa"/>
          </w:tcPr>
          <w:p w14:paraId="7B587F73"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Reports excluded (total)</w:t>
            </w:r>
            <w:r w:rsidRPr="00B0067E">
              <w:rPr>
                <w:rFonts w:ascii="Garamond" w:hAnsi="Garamond"/>
                <w:bCs/>
                <w:iCs/>
                <w:sz w:val="20"/>
                <w:szCs w:val="20"/>
              </w:rPr>
              <w:tab/>
            </w:r>
          </w:p>
          <w:p w14:paraId="0D1E6128"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ab/>
              <w:t xml:space="preserve">                                                  </w:t>
            </w:r>
          </w:p>
          <w:p w14:paraId="6181F11A"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 xml:space="preserve">• Wrong intervention </w:t>
            </w:r>
          </w:p>
          <w:p w14:paraId="510B6DC7"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 Wrong study design</w:t>
            </w:r>
            <w:r w:rsidRPr="00B0067E">
              <w:rPr>
                <w:rFonts w:ascii="Garamond" w:hAnsi="Garamond"/>
                <w:bCs/>
                <w:iCs/>
                <w:sz w:val="20"/>
                <w:szCs w:val="20"/>
              </w:rPr>
              <w:tab/>
            </w:r>
          </w:p>
          <w:p w14:paraId="3E7F4462"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 Wrong outcome</w:t>
            </w:r>
            <w:r w:rsidRPr="00B0067E">
              <w:rPr>
                <w:rFonts w:ascii="Garamond" w:hAnsi="Garamond"/>
                <w:bCs/>
                <w:iCs/>
                <w:sz w:val="20"/>
                <w:szCs w:val="20"/>
              </w:rPr>
              <w:tab/>
              <w:t xml:space="preserve">                                                </w:t>
            </w:r>
          </w:p>
        </w:tc>
        <w:tc>
          <w:tcPr>
            <w:tcW w:w="1509" w:type="dxa"/>
          </w:tcPr>
          <w:p w14:paraId="336F3C51"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116</w:t>
            </w:r>
          </w:p>
          <w:p w14:paraId="4D69CBA9"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38</w:t>
            </w:r>
          </w:p>
          <w:p w14:paraId="6EB7033C"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45</w:t>
            </w:r>
          </w:p>
          <w:p w14:paraId="7E0403C3"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33</w:t>
            </w:r>
          </w:p>
        </w:tc>
      </w:tr>
      <w:tr w:rsidR="00B0067E" w:rsidRPr="00B0067E" w14:paraId="4CC76486" w14:textId="77777777" w:rsidTr="00B0067E">
        <w:tc>
          <w:tcPr>
            <w:tcW w:w="2136" w:type="dxa"/>
          </w:tcPr>
          <w:p w14:paraId="43308ECB"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
                <w:bCs/>
                <w:iCs/>
                <w:sz w:val="20"/>
                <w:szCs w:val="20"/>
              </w:rPr>
              <w:t>Inclusion</w:t>
            </w:r>
            <w:r w:rsidRPr="00B0067E">
              <w:rPr>
                <w:rFonts w:ascii="Garamond" w:hAnsi="Garamond"/>
                <w:b/>
                <w:bCs/>
                <w:iCs/>
                <w:sz w:val="20"/>
                <w:szCs w:val="20"/>
              </w:rPr>
              <w:tab/>
            </w:r>
          </w:p>
        </w:tc>
        <w:tc>
          <w:tcPr>
            <w:tcW w:w="5241" w:type="dxa"/>
          </w:tcPr>
          <w:p w14:paraId="38E2DAFD"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Studies included in the review</w:t>
            </w:r>
          </w:p>
        </w:tc>
        <w:tc>
          <w:tcPr>
            <w:tcW w:w="1509" w:type="dxa"/>
          </w:tcPr>
          <w:p w14:paraId="71F7DC32" w14:textId="77777777" w:rsidR="00B0067E" w:rsidRPr="00B0067E" w:rsidRDefault="00B0067E" w:rsidP="00B0067E">
            <w:pPr>
              <w:spacing w:line="259" w:lineRule="auto"/>
              <w:jc w:val="both"/>
              <w:rPr>
                <w:rFonts w:ascii="Garamond" w:hAnsi="Garamond"/>
                <w:bCs/>
                <w:iCs/>
                <w:sz w:val="20"/>
                <w:szCs w:val="20"/>
              </w:rPr>
            </w:pPr>
            <w:r w:rsidRPr="00B0067E">
              <w:rPr>
                <w:rFonts w:ascii="Garamond" w:hAnsi="Garamond"/>
                <w:bCs/>
                <w:iCs/>
                <w:sz w:val="20"/>
                <w:szCs w:val="20"/>
              </w:rPr>
              <w:t>28</w:t>
            </w:r>
          </w:p>
        </w:tc>
      </w:tr>
    </w:tbl>
    <w:p w14:paraId="186833FC" w14:textId="77777777" w:rsidR="00B0067E" w:rsidRPr="00B0067E" w:rsidRDefault="00B0067E" w:rsidP="00B0067E">
      <w:pPr>
        <w:spacing w:line="259" w:lineRule="auto"/>
        <w:jc w:val="both"/>
        <w:rPr>
          <w:rFonts w:ascii="Garamond" w:hAnsi="Garamond"/>
          <w:b/>
          <w:bCs/>
          <w:iCs/>
          <w:sz w:val="20"/>
          <w:szCs w:val="20"/>
        </w:rPr>
      </w:pPr>
    </w:p>
    <w:p w14:paraId="53F8A8EF" w14:textId="77777777" w:rsidR="00B0067E" w:rsidRPr="00B0067E" w:rsidRDefault="00B0067E" w:rsidP="00B0067E">
      <w:pPr>
        <w:spacing w:line="259" w:lineRule="auto"/>
        <w:jc w:val="both"/>
        <w:rPr>
          <w:rFonts w:ascii="Garamond" w:hAnsi="Garamond"/>
          <w:b/>
          <w:bCs/>
          <w:iCs/>
          <w:sz w:val="20"/>
          <w:szCs w:val="20"/>
        </w:rPr>
      </w:pPr>
      <w:r w:rsidRPr="00B0067E">
        <w:rPr>
          <w:rFonts w:ascii="Garamond" w:hAnsi="Garamond"/>
          <w:b/>
          <w:bCs/>
          <w:iCs/>
          <w:sz w:val="20"/>
          <w:szCs w:val="20"/>
        </w:rPr>
        <w:t xml:space="preserve">Table2: </w:t>
      </w:r>
      <w:r w:rsidRPr="00B0067E">
        <w:rPr>
          <w:rFonts w:ascii="Garamond" w:hAnsi="Garamond"/>
          <w:iCs/>
          <w:sz w:val="20"/>
          <w:szCs w:val="20"/>
        </w:rPr>
        <w:t>Characteristics of included studies(N=28)</w:t>
      </w:r>
    </w:p>
    <w:tbl>
      <w:tblPr>
        <w:tblStyle w:val="LightShading11"/>
        <w:tblW w:w="0" w:type="auto"/>
        <w:tblLook w:val="0620" w:firstRow="1" w:lastRow="0" w:firstColumn="0" w:lastColumn="0" w:noHBand="1" w:noVBand="1"/>
      </w:tblPr>
      <w:tblGrid>
        <w:gridCol w:w="1356"/>
        <w:gridCol w:w="2396"/>
        <w:gridCol w:w="1210"/>
        <w:gridCol w:w="992"/>
        <w:gridCol w:w="1429"/>
        <w:gridCol w:w="1973"/>
      </w:tblGrid>
      <w:tr w:rsidR="00B0067E" w:rsidRPr="00B0067E" w14:paraId="7EA90C1E" w14:textId="77777777" w:rsidTr="002C3D1C">
        <w:trPr>
          <w:cnfStyle w:val="100000000000" w:firstRow="1" w:lastRow="0" w:firstColumn="0" w:lastColumn="0" w:oddVBand="0" w:evenVBand="0" w:oddHBand="0" w:evenHBand="0" w:firstRowFirstColumn="0" w:firstRowLastColumn="0" w:lastRowFirstColumn="0" w:lastRowLastColumn="0"/>
          <w:tblHeader/>
        </w:trPr>
        <w:tc>
          <w:tcPr>
            <w:tcW w:w="1356" w:type="dxa"/>
          </w:tcPr>
          <w:p w14:paraId="0575CA92" w14:textId="77777777" w:rsidR="00B0067E" w:rsidRPr="00B0067E" w:rsidRDefault="00B0067E" w:rsidP="002C3D1C">
            <w:pPr>
              <w:jc w:val="both"/>
              <w:rPr>
                <w:rFonts w:ascii="Garamond" w:hAnsi="Garamond"/>
                <w:iCs/>
                <w:sz w:val="20"/>
                <w:szCs w:val="20"/>
              </w:rPr>
            </w:pPr>
            <w:r w:rsidRPr="00B0067E">
              <w:rPr>
                <w:rFonts w:ascii="Garamond" w:hAnsi="Garamond"/>
                <w:iCs/>
                <w:sz w:val="20"/>
                <w:szCs w:val="20"/>
              </w:rPr>
              <w:t>I/D/Citation</w:t>
            </w:r>
          </w:p>
        </w:tc>
        <w:tc>
          <w:tcPr>
            <w:tcW w:w="2396" w:type="dxa"/>
          </w:tcPr>
          <w:p w14:paraId="12E8EC2E" w14:textId="77777777" w:rsidR="00B0067E" w:rsidRPr="00B0067E" w:rsidRDefault="00B0067E" w:rsidP="002C3D1C">
            <w:pPr>
              <w:jc w:val="both"/>
              <w:rPr>
                <w:rFonts w:ascii="Garamond" w:hAnsi="Garamond"/>
                <w:iCs/>
                <w:sz w:val="20"/>
                <w:szCs w:val="20"/>
              </w:rPr>
            </w:pPr>
            <w:r w:rsidRPr="00B0067E">
              <w:rPr>
                <w:rFonts w:ascii="Garamond" w:hAnsi="Garamond"/>
                <w:iCs/>
                <w:sz w:val="20"/>
                <w:szCs w:val="20"/>
              </w:rPr>
              <w:t>Author</w:t>
            </w:r>
          </w:p>
        </w:tc>
        <w:tc>
          <w:tcPr>
            <w:tcW w:w="1210" w:type="dxa"/>
          </w:tcPr>
          <w:p w14:paraId="0CB9497A" w14:textId="77777777" w:rsidR="00B0067E" w:rsidRPr="00B0067E" w:rsidRDefault="00B0067E" w:rsidP="002C3D1C">
            <w:pPr>
              <w:jc w:val="both"/>
              <w:rPr>
                <w:rFonts w:ascii="Garamond" w:hAnsi="Garamond"/>
                <w:iCs/>
                <w:sz w:val="20"/>
                <w:szCs w:val="20"/>
              </w:rPr>
            </w:pPr>
            <w:r w:rsidRPr="00B0067E">
              <w:rPr>
                <w:rFonts w:ascii="Garamond" w:hAnsi="Garamond"/>
                <w:iCs/>
                <w:sz w:val="20"/>
                <w:szCs w:val="20"/>
              </w:rPr>
              <w:t>Geographic Setting</w:t>
            </w:r>
          </w:p>
        </w:tc>
        <w:tc>
          <w:tcPr>
            <w:tcW w:w="992" w:type="dxa"/>
          </w:tcPr>
          <w:p w14:paraId="3B44799B" w14:textId="77777777" w:rsidR="00B0067E" w:rsidRPr="00B0067E" w:rsidRDefault="00B0067E" w:rsidP="002C3D1C">
            <w:pPr>
              <w:jc w:val="both"/>
              <w:rPr>
                <w:rFonts w:ascii="Garamond" w:hAnsi="Garamond"/>
                <w:iCs/>
                <w:sz w:val="20"/>
                <w:szCs w:val="20"/>
              </w:rPr>
            </w:pPr>
            <w:r w:rsidRPr="00B0067E">
              <w:rPr>
                <w:rFonts w:ascii="Garamond" w:hAnsi="Garamond"/>
                <w:iCs/>
                <w:sz w:val="20"/>
                <w:szCs w:val="20"/>
              </w:rPr>
              <w:t>Income Level*</w:t>
            </w:r>
          </w:p>
        </w:tc>
        <w:tc>
          <w:tcPr>
            <w:tcW w:w="1429" w:type="dxa"/>
          </w:tcPr>
          <w:p w14:paraId="4CF9F032" w14:textId="77777777" w:rsidR="00B0067E" w:rsidRPr="00B0067E" w:rsidRDefault="00B0067E" w:rsidP="002C3D1C">
            <w:pPr>
              <w:jc w:val="both"/>
              <w:rPr>
                <w:rFonts w:ascii="Garamond" w:hAnsi="Garamond"/>
                <w:iCs/>
                <w:sz w:val="20"/>
                <w:szCs w:val="20"/>
              </w:rPr>
            </w:pPr>
            <w:r w:rsidRPr="00B0067E">
              <w:rPr>
                <w:rFonts w:ascii="Garamond" w:hAnsi="Garamond"/>
                <w:iCs/>
                <w:sz w:val="20"/>
                <w:szCs w:val="20"/>
              </w:rPr>
              <w:t>Study Design</w:t>
            </w:r>
          </w:p>
        </w:tc>
        <w:tc>
          <w:tcPr>
            <w:tcW w:w="1973" w:type="dxa"/>
          </w:tcPr>
          <w:p w14:paraId="2B80938B" w14:textId="77777777" w:rsidR="00B0067E" w:rsidRPr="00B0067E" w:rsidRDefault="00B0067E" w:rsidP="002C3D1C">
            <w:pPr>
              <w:jc w:val="both"/>
              <w:rPr>
                <w:rFonts w:ascii="Garamond" w:hAnsi="Garamond"/>
                <w:iCs/>
                <w:sz w:val="20"/>
                <w:szCs w:val="20"/>
              </w:rPr>
            </w:pPr>
            <w:r w:rsidRPr="00B0067E">
              <w:rPr>
                <w:rFonts w:ascii="Garamond" w:hAnsi="Garamond"/>
                <w:iCs/>
                <w:sz w:val="20"/>
                <w:szCs w:val="20"/>
              </w:rPr>
              <w:t>Outbreak</w:t>
            </w:r>
          </w:p>
        </w:tc>
      </w:tr>
      <w:tr w:rsidR="00B0067E" w:rsidRPr="00B0067E" w14:paraId="02890EB8" w14:textId="77777777" w:rsidTr="002C3D1C">
        <w:tc>
          <w:tcPr>
            <w:tcW w:w="1356" w:type="dxa"/>
          </w:tcPr>
          <w:p w14:paraId="3642C5D2"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SO1</w:t>
            </w:r>
            <w:r w:rsidRPr="00B0067E">
              <w:rPr>
                <w:rFonts w:ascii="Garamond" w:hAnsi="Garamond"/>
                <w:b/>
                <w:bCs/>
                <w:iCs/>
                <w:sz w:val="20"/>
                <w:szCs w:val="20"/>
                <w:vertAlign w:val="superscript"/>
              </w:rPr>
              <w:t>19</w:t>
            </w:r>
          </w:p>
        </w:tc>
        <w:tc>
          <w:tcPr>
            <w:tcW w:w="2396" w:type="dxa"/>
          </w:tcPr>
          <w:p w14:paraId="3AABEAE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Islam et al. (2023)</w:t>
            </w:r>
          </w:p>
        </w:tc>
        <w:tc>
          <w:tcPr>
            <w:tcW w:w="1210" w:type="dxa"/>
          </w:tcPr>
          <w:p w14:paraId="70602D3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Bangladesh</w:t>
            </w:r>
          </w:p>
        </w:tc>
        <w:tc>
          <w:tcPr>
            <w:tcW w:w="992" w:type="dxa"/>
          </w:tcPr>
          <w:p w14:paraId="34B3436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5C2E0868" w14:textId="77777777" w:rsidR="00B0067E" w:rsidRPr="00B0067E" w:rsidRDefault="00B0067E" w:rsidP="002C3D1C">
            <w:pPr>
              <w:jc w:val="both"/>
              <w:rPr>
                <w:rFonts w:ascii="Garamond" w:hAnsi="Garamond"/>
                <w:bCs/>
                <w:iCs/>
                <w:sz w:val="20"/>
                <w:szCs w:val="20"/>
              </w:rPr>
            </w:pPr>
          </w:p>
        </w:tc>
        <w:tc>
          <w:tcPr>
            <w:tcW w:w="1973" w:type="dxa"/>
          </w:tcPr>
          <w:p w14:paraId="6D0561E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AVIAN II</w:t>
            </w:r>
          </w:p>
        </w:tc>
      </w:tr>
      <w:tr w:rsidR="00B0067E" w:rsidRPr="00B0067E" w14:paraId="1D90720D" w14:textId="77777777" w:rsidTr="002C3D1C">
        <w:tc>
          <w:tcPr>
            <w:tcW w:w="1356" w:type="dxa"/>
          </w:tcPr>
          <w:p w14:paraId="5F0666CF"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SO2</w:t>
            </w:r>
            <w:r w:rsidRPr="00B0067E">
              <w:rPr>
                <w:rFonts w:ascii="Garamond" w:hAnsi="Garamond"/>
                <w:b/>
                <w:bCs/>
                <w:iCs/>
                <w:sz w:val="20"/>
                <w:szCs w:val="20"/>
                <w:vertAlign w:val="superscript"/>
              </w:rPr>
              <w:t>20</w:t>
            </w:r>
          </w:p>
        </w:tc>
        <w:tc>
          <w:tcPr>
            <w:tcW w:w="2396" w:type="dxa"/>
          </w:tcPr>
          <w:p w14:paraId="13A2F55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Lien et al. (2021)</w:t>
            </w:r>
          </w:p>
        </w:tc>
        <w:tc>
          <w:tcPr>
            <w:tcW w:w="1210" w:type="dxa"/>
          </w:tcPr>
          <w:p w14:paraId="6DAB92F3"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Taiwan, China</w:t>
            </w:r>
          </w:p>
        </w:tc>
        <w:tc>
          <w:tcPr>
            <w:tcW w:w="992" w:type="dxa"/>
          </w:tcPr>
          <w:p w14:paraId="6A316DE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05516FD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Mixed-methods</w:t>
            </w:r>
          </w:p>
        </w:tc>
        <w:tc>
          <w:tcPr>
            <w:tcW w:w="1973" w:type="dxa"/>
          </w:tcPr>
          <w:p w14:paraId="203B49F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Covid </w:t>
            </w:r>
          </w:p>
        </w:tc>
      </w:tr>
      <w:tr w:rsidR="00B0067E" w:rsidRPr="00B0067E" w14:paraId="1CBA0639" w14:textId="77777777" w:rsidTr="002C3D1C">
        <w:tc>
          <w:tcPr>
            <w:tcW w:w="1356" w:type="dxa"/>
          </w:tcPr>
          <w:p w14:paraId="49742BD9"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SO3</w:t>
            </w:r>
            <w:r w:rsidRPr="00B0067E">
              <w:rPr>
                <w:rFonts w:ascii="Garamond" w:hAnsi="Garamond"/>
                <w:b/>
                <w:bCs/>
                <w:iCs/>
                <w:sz w:val="20"/>
                <w:szCs w:val="20"/>
                <w:vertAlign w:val="superscript"/>
              </w:rPr>
              <w:t>21</w:t>
            </w:r>
          </w:p>
        </w:tc>
        <w:tc>
          <w:tcPr>
            <w:tcW w:w="2396" w:type="dxa"/>
          </w:tcPr>
          <w:p w14:paraId="08C2F67B"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Bateman et al. (2025)</w:t>
            </w:r>
          </w:p>
        </w:tc>
        <w:tc>
          <w:tcPr>
            <w:tcW w:w="1210" w:type="dxa"/>
          </w:tcPr>
          <w:p w14:paraId="3A768D9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USA</w:t>
            </w:r>
          </w:p>
        </w:tc>
        <w:tc>
          <w:tcPr>
            <w:tcW w:w="992" w:type="dxa"/>
          </w:tcPr>
          <w:p w14:paraId="7121FF6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40507C7F"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6AC4D8B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Covid</w:t>
            </w:r>
          </w:p>
        </w:tc>
      </w:tr>
      <w:tr w:rsidR="00B0067E" w:rsidRPr="00B0067E" w14:paraId="310040A8" w14:textId="77777777" w:rsidTr="002C3D1C">
        <w:tc>
          <w:tcPr>
            <w:tcW w:w="1356" w:type="dxa"/>
          </w:tcPr>
          <w:p w14:paraId="278D7F5E"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SO4</w:t>
            </w:r>
            <w:r w:rsidRPr="00B0067E">
              <w:rPr>
                <w:rFonts w:ascii="Garamond" w:hAnsi="Garamond"/>
                <w:b/>
                <w:bCs/>
                <w:iCs/>
                <w:sz w:val="20"/>
                <w:szCs w:val="20"/>
                <w:vertAlign w:val="superscript"/>
              </w:rPr>
              <w:t>22</w:t>
            </w:r>
          </w:p>
        </w:tc>
        <w:tc>
          <w:tcPr>
            <w:tcW w:w="2396" w:type="dxa"/>
          </w:tcPr>
          <w:p w14:paraId="7A5BF7A3"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Mwamba et al. (2025)</w:t>
            </w:r>
          </w:p>
        </w:tc>
        <w:tc>
          <w:tcPr>
            <w:tcW w:w="1210" w:type="dxa"/>
          </w:tcPr>
          <w:p w14:paraId="353814C9"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DRC</w:t>
            </w:r>
          </w:p>
        </w:tc>
        <w:tc>
          <w:tcPr>
            <w:tcW w:w="992" w:type="dxa"/>
          </w:tcPr>
          <w:p w14:paraId="4382448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LIC</w:t>
            </w:r>
          </w:p>
        </w:tc>
        <w:tc>
          <w:tcPr>
            <w:tcW w:w="1429" w:type="dxa"/>
          </w:tcPr>
          <w:p w14:paraId="778AC86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2236F27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Ebola</w:t>
            </w:r>
          </w:p>
        </w:tc>
      </w:tr>
      <w:tr w:rsidR="00B0067E" w:rsidRPr="00B0067E" w14:paraId="420A0C80" w14:textId="77777777" w:rsidTr="002C3D1C">
        <w:tc>
          <w:tcPr>
            <w:tcW w:w="1356" w:type="dxa"/>
          </w:tcPr>
          <w:p w14:paraId="71BD31D0"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SO5</w:t>
            </w:r>
            <w:r w:rsidRPr="00B0067E">
              <w:rPr>
                <w:rFonts w:ascii="Garamond" w:hAnsi="Garamond"/>
                <w:b/>
                <w:bCs/>
                <w:iCs/>
                <w:sz w:val="20"/>
                <w:szCs w:val="20"/>
                <w:vertAlign w:val="superscript"/>
              </w:rPr>
              <w:t>23</w:t>
            </w:r>
          </w:p>
        </w:tc>
        <w:tc>
          <w:tcPr>
            <w:tcW w:w="2396" w:type="dxa"/>
          </w:tcPr>
          <w:p w14:paraId="022CEF0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Abid et al. (2025)</w:t>
            </w:r>
          </w:p>
        </w:tc>
        <w:tc>
          <w:tcPr>
            <w:tcW w:w="1210" w:type="dxa"/>
          </w:tcPr>
          <w:p w14:paraId="10DA99C4"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Pakistan</w:t>
            </w:r>
          </w:p>
        </w:tc>
        <w:tc>
          <w:tcPr>
            <w:tcW w:w="992" w:type="dxa"/>
          </w:tcPr>
          <w:p w14:paraId="2D49ACD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7E78FDF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Quantitative</w:t>
            </w:r>
          </w:p>
        </w:tc>
        <w:tc>
          <w:tcPr>
            <w:tcW w:w="1973" w:type="dxa"/>
          </w:tcPr>
          <w:p w14:paraId="02B3AD3F"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Crimean-Congo hemorrhage (CCHF)</w:t>
            </w:r>
          </w:p>
        </w:tc>
      </w:tr>
      <w:tr w:rsidR="00B0067E" w:rsidRPr="00B0067E" w14:paraId="7DBEA7FA" w14:textId="77777777" w:rsidTr="002C3D1C">
        <w:tc>
          <w:tcPr>
            <w:tcW w:w="1356" w:type="dxa"/>
          </w:tcPr>
          <w:p w14:paraId="168E5057"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SO6</w:t>
            </w:r>
            <w:r w:rsidRPr="00B0067E">
              <w:rPr>
                <w:rFonts w:ascii="Garamond" w:hAnsi="Garamond"/>
                <w:b/>
                <w:bCs/>
                <w:iCs/>
                <w:sz w:val="20"/>
                <w:szCs w:val="20"/>
                <w:vertAlign w:val="superscript"/>
              </w:rPr>
              <w:t>24</w:t>
            </w:r>
          </w:p>
        </w:tc>
        <w:tc>
          <w:tcPr>
            <w:tcW w:w="2396" w:type="dxa"/>
          </w:tcPr>
          <w:p w14:paraId="6CACC8CF"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Castillo-Neyra et al. (2026)</w:t>
            </w:r>
          </w:p>
        </w:tc>
        <w:tc>
          <w:tcPr>
            <w:tcW w:w="1210" w:type="dxa"/>
          </w:tcPr>
          <w:p w14:paraId="3BA097A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Mexico </w:t>
            </w:r>
          </w:p>
        </w:tc>
        <w:tc>
          <w:tcPr>
            <w:tcW w:w="992" w:type="dxa"/>
          </w:tcPr>
          <w:p w14:paraId="1AE77FA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I-JMIC</w:t>
            </w:r>
          </w:p>
        </w:tc>
        <w:tc>
          <w:tcPr>
            <w:tcW w:w="1429" w:type="dxa"/>
          </w:tcPr>
          <w:p w14:paraId="3E19A953"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7981A5B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Rabies</w:t>
            </w:r>
          </w:p>
        </w:tc>
      </w:tr>
      <w:tr w:rsidR="00B0067E" w:rsidRPr="00B0067E" w14:paraId="4E1E9673" w14:textId="77777777" w:rsidTr="002C3D1C">
        <w:tc>
          <w:tcPr>
            <w:tcW w:w="1356" w:type="dxa"/>
          </w:tcPr>
          <w:p w14:paraId="163F2E04"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SO7</w:t>
            </w:r>
            <w:r w:rsidRPr="00B0067E">
              <w:rPr>
                <w:rFonts w:ascii="Garamond" w:hAnsi="Garamond"/>
                <w:b/>
                <w:bCs/>
                <w:iCs/>
                <w:sz w:val="20"/>
                <w:szCs w:val="20"/>
                <w:vertAlign w:val="superscript"/>
              </w:rPr>
              <w:t>25</w:t>
            </w:r>
          </w:p>
        </w:tc>
        <w:tc>
          <w:tcPr>
            <w:tcW w:w="2396" w:type="dxa"/>
          </w:tcPr>
          <w:p w14:paraId="10D4FD3D"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Gerken et al. (2022)</w:t>
            </w:r>
          </w:p>
        </w:tc>
        <w:tc>
          <w:tcPr>
            <w:tcW w:w="1210" w:type="dxa"/>
          </w:tcPr>
          <w:p w14:paraId="5603BFF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Kenya</w:t>
            </w:r>
          </w:p>
        </w:tc>
        <w:tc>
          <w:tcPr>
            <w:tcW w:w="992" w:type="dxa"/>
          </w:tcPr>
          <w:p w14:paraId="68E8200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2C226AD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3F6984F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Rift Valley fever</w:t>
            </w:r>
          </w:p>
        </w:tc>
      </w:tr>
      <w:tr w:rsidR="00B0067E" w:rsidRPr="00B0067E" w14:paraId="18D3780E" w14:textId="77777777" w:rsidTr="002C3D1C">
        <w:tc>
          <w:tcPr>
            <w:tcW w:w="1356" w:type="dxa"/>
          </w:tcPr>
          <w:p w14:paraId="067EA5C1"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SO8</w:t>
            </w:r>
            <w:r w:rsidRPr="00B0067E">
              <w:rPr>
                <w:rFonts w:ascii="Garamond" w:hAnsi="Garamond"/>
                <w:b/>
                <w:bCs/>
                <w:iCs/>
                <w:sz w:val="20"/>
                <w:szCs w:val="20"/>
                <w:vertAlign w:val="superscript"/>
              </w:rPr>
              <w:t>26</w:t>
            </w:r>
          </w:p>
        </w:tc>
        <w:tc>
          <w:tcPr>
            <w:tcW w:w="2396" w:type="dxa"/>
          </w:tcPr>
          <w:p w14:paraId="43A986C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Peters et al. (2022)</w:t>
            </w:r>
          </w:p>
        </w:tc>
        <w:tc>
          <w:tcPr>
            <w:tcW w:w="1210" w:type="dxa"/>
          </w:tcPr>
          <w:p w14:paraId="59A4337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Germany </w:t>
            </w:r>
          </w:p>
        </w:tc>
        <w:tc>
          <w:tcPr>
            <w:tcW w:w="992" w:type="dxa"/>
          </w:tcPr>
          <w:p w14:paraId="0B575EC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31DAFBFD"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Mixed-methods</w:t>
            </w:r>
          </w:p>
        </w:tc>
        <w:tc>
          <w:tcPr>
            <w:tcW w:w="1973" w:type="dxa"/>
          </w:tcPr>
          <w:p w14:paraId="3901E5A3"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Covid</w:t>
            </w:r>
          </w:p>
        </w:tc>
      </w:tr>
      <w:tr w:rsidR="00B0067E" w:rsidRPr="00B0067E" w14:paraId="6A55588D" w14:textId="77777777" w:rsidTr="002C3D1C">
        <w:tc>
          <w:tcPr>
            <w:tcW w:w="1356" w:type="dxa"/>
          </w:tcPr>
          <w:p w14:paraId="03B182C3"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S09</w:t>
            </w:r>
            <w:r w:rsidRPr="00B0067E">
              <w:rPr>
                <w:rFonts w:ascii="Garamond" w:hAnsi="Garamond"/>
                <w:b/>
                <w:bCs/>
                <w:iCs/>
                <w:sz w:val="20"/>
                <w:szCs w:val="20"/>
                <w:vertAlign w:val="superscript"/>
              </w:rPr>
              <w:t>27</w:t>
            </w:r>
          </w:p>
        </w:tc>
        <w:tc>
          <w:tcPr>
            <w:tcW w:w="2396" w:type="dxa"/>
          </w:tcPr>
          <w:p w14:paraId="4BF225D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Tobin et al. (2020)</w:t>
            </w:r>
          </w:p>
        </w:tc>
        <w:tc>
          <w:tcPr>
            <w:tcW w:w="1210" w:type="dxa"/>
          </w:tcPr>
          <w:p w14:paraId="23A383E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Nigeria </w:t>
            </w:r>
          </w:p>
        </w:tc>
        <w:tc>
          <w:tcPr>
            <w:tcW w:w="992" w:type="dxa"/>
          </w:tcPr>
          <w:p w14:paraId="5306F42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4CD061F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714B219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Lassa fever</w:t>
            </w:r>
          </w:p>
        </w:tc>
      </w:tr>
      <w:tr w:rsidR="00B0067E" w:rsidRPr="00B0067E" w14:paraId="69900B3D" w14:textId="77777777" w:rsidTr="002C3D1C">
        <w:tc>
          <w:tcPr>
            <w:tcW w:w="1356" w:type="dxa"/>
          </w:tcPr>
          <w:p w14:paraId="6733153A"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S10</w:t>
            </w:r>
            <w:r w:rsidRPr="00B0067E">
              <w:rPr>
                <w:rFonts w:ascii="Garamond" w:hAnsi="Garamond"/>
                <w:b/>
                <w:bCs/>
                <w:iCs/>
                <w:sz w:val="20"/>
                <w:szCs w:val="20"/>
                <w:vertAlign w:val="superscript"/>
              </w:rPr>
              <w:t>28</w:t>
            </w:r>
          </w:p>
        </w:tc>
        <w:tc>
          <w:tcPr>
            <w:tcW w:w="2396" w:type="dxa"/>
          </w:tcPr>
          <w:p w14:paraId="2DC24383"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McPhilbin et al. (2024)</w:t>
            </w:r>
          </w:p>
        </w:tc>
        <w:tc>
          <w:tcPr>
            <w:tcW w:w="1210" w:type="dxa"/>
          </w:tcPr>
          <w:p w14:paraId="10A4D29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UK</w:t>
            </w:r>
          </w:p>
        </w:tc>
        <w:tc>
          <w:tcPr>
            <w:tcW w:w="992" w:type="dxa"/>
          </w:tcPr>
          <w:p w14:paraId="1E2F576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1937CF0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0D0DE82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Covid</w:t>
            </w:r>
          </w:p>
        </w:tc>
      </w:tr>
      <w:tr w:rsidR="00B0067E" w:rsidRPr="00B0067E" w14:paraId="224213C7" w14:textId="77777777" w:rsidTr="002C3D1C">
        <w:tc>
          <w:tcPr>
            <w:tcW w:w="1356" w:type="dxa"/>
          </w:tcPr>
          <w:p w14:paraId="560C12A7"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S11</w:t>
            </w:r>
            <w:r w:rsidRPr="00B0067E">
              <w:rPr>
                <w:rFonts w:ascii="Garamond" w:hAnsi="Garamond"/>
                <w:b/>
                <w:bCs/>
                <w:iCs/>
                <w:sz w:val="20"/>
                <w:szCs w:val="20"/>
                <w:vertAlign w:val="superscript"/>
              </w:rPr>
              <w:t>29</w:t>
            </w:r>
          </w:p>
        </w:tc>
        <w:tc>
          <w:tcPr>
            <w:tcW w:w="2396" w:type="dxa"/>
          </w:tcPr>
          <w:p w14:paraId="2834754C" w14:textId="77777777" w:rsidR="00B0067E" w:rsidRPr="00B0067E" w:rsidRDefault="00B0067E" w:rsidP="002C3D1C">
            <w:pPr>
              <w:jc w:val="both"/>
              <w:rPr>
                <w:rFonts w:ascii="Garamond" w:hAnsi="Garamond"/>
                <w:bCs/>
                <w:iCs/>
                <w:sz w:val="20"/>
                <w:szCs w:val="20"/>
              </w:rPr>
            </w:pPr>
            <w:proofErr w:type="spellStart"/>
            <w:r w:rsidRPr="00B0067E">
              <w:rPr>
                <w:rFonts w:ascii="Garamond" w:hAnsi="Garamond"/>
                <w:bCs/>
                <w:iCs/>
                <w:sz w:val="20"/>
                <w:szCs w:val="20"/>
              </w:rPr>
              <w:t>Myovela</w:t>
            </w:r>
            <w:proofErr w:type="spellEnd"/>
            <w:r w:rsidRPr="00B0067E">
              <w:rPr>
                <w:rFonts w:ascii="Garamond" w:hAnsi="Garamond"/>
                <w:bCs/>
                <w:iCs/>
                <w:sz w:val="20"/>
                <w:szCs w:val="20"/>
              </w:rPr>
              <w:t xml:space="preserve"> et al. (2025)</w:t>
            </w:r>
          </w:p>
        </w:tc>
        <w:tc>
          <w:tcPr>
            <w:tcW w:w="1210" w:type="dxa"/>
          </w:tcPr>
          <w:p w14:paraId="7F84BC4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Tanzania</w:t>
            </w:r>
          </w:p>
        </w:tc>
        <w:tc>
          <w:tcPr>
            <w:tcW w:w="992" w:type="dxa"/>
          </w:tcPr>
          <w:p w14:paraId="2237B734"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4E7BFD69"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Mixed-methods</w:t>
            </w:r>
          </w:p>
        </w:tc>
        <w:tc>
          <w:tcPr>
            <w:tcW w:w="1973" w:type="dxa"/>
          </w:tcPr>
          <w:p w14:paraId="05B595D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Avian II</w:t>
            </w:r>
          </w:p>
        </w:tc>
      </w:tr>
      <w:tr w:rsidR="00B0067E" w:rsidRPr="00B0067E" w14:paraId="58A3C8FD" w14:textId="77777777" w:rsidTr="002C3D1C">
        <w:tc>
          <w:tcPr>
            <w:tcW w:w="1356" w:type="dxa"/>
          </w:tcPr>
          <w:p w14:paraId="5BFD7562"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S12</w:t>
            </w:r>
            <w:r w:rsidRPr="00B0067E">
              <w:rPr>
                <w:rFonts w:ascii="Garamond" w:hAnsi="Garamond"/>
                <w:b/>
                <w:bCs/>
                <w:iCs/>
                <w:sz w:val="20"/>
                <w:szCs w:val="20"/>
                <w:vertAlign w:val="superscript"/>
              </w:rPr>
              <w:t>30</w:t>
            </w:r>
          </w:p>
        </w:tc>
        <w:tc>
          <w:tcPr>
            <w:tcW w:w="2396" w:type="dxa"/>
          </w:tcPr>
          <w:p w14:paraId="258D245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Park et al. (2021)</w:t>
            </w:r>
          </w:p>
        </w:tc>
        <w:tc>
          <w:tcPr>
            <w:tcW w:w="1210" w:type="dxa"/>
          </w:tcPr>
          <w:p w14:paraId="32B8F5F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South Korea</w:t>
            </w:r>
          </w:p>
        </w:tc>
        <w:tc>
          <w:tcPr>
            <w:tcW w:w="992" w:type="dxa"/>
          </w:tcPr>
          <w:p w14:paraId="7CC14AC3"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1E5E1DF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Quantitative</w:t>
            </w:r>
          </w:p>
        </w:tc>
        <w:tc>
          <w:tcPr>
            <w:tcW w:w="1973" w:type="dxa"/>
          </w:tcPr>
          <w:p w14:paraId="1BB061C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Covid </w:t>
            </w:r>
          </w:p>
        </w:tc>
      </w:tr>
      <w:tr w:rsidR="00B0067E" w:rsidRPr="00B0067E" w14:paraId="6E0F032E" w14:textId="77777777" w:rsidTr="002C3D1C">
        <w:tc>
          <w:tcPr>
            <w:tcW w:w="1356" w:type="dxa"/>
          </w:tcPr>
          <w:p w14:paraId="1E626682"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S13</w:t>
            </w:r>
            <w:r w:rsidRPr="00B0067E">
              <w:rPr>
                <w:rFonts w:ascii="Garamond" w:hAnsi="Garamond"/>
                <w:b/>
                <w:bCs/>
                <w:iCs/>
                <w:sz w:val="20"/>
                <w:szCs w:val="20"/>
                <w:vertAlign w:val="superscript"/>
              </w:rPr>
              <w:t>31</w:t>
            </w:r>
          </w:p>
        </w:tc>
        <w:tc>
          <w:tcPr>
            <w:tcW w:w="2396" w:type="dxa"/>
          </w:tcPr>
          <w:p w14:paraId="40033F7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Ngoc et al. (2025)</w:t>
            </w:r>
          </w:p>
        </w:tc>
        <w:tc>
          <w:tcPr>
            <w:tcW w:w="1210" w:type="dxa"/>
          </w:tcPr>
          <w:p w14:paraId="57A6F24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Vietnam</w:t>
            </w:r>
          </w:p>
        </w:tc>
        <w:tc>
          <w:tcPr>
            <w:tcW w:w="992" w:type="dxa"/>
          </w:tcPr>
          <w:p w14:paraId="3AA9682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100DA29F"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Qualitative </w:t>
            </w:r>
          </w:p>
        </w:tc>
        <w:tc>
          <w:tcPr>
            <w:tcW w:w="1973" w:type="dxa"/>
          </w:tcPr>
          <w:p w14:paraId="76246A4D"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Covid </w:t>
            </w:r>
          </w:p>
        </w:tc>
      </w:tr>
      <w:tr w:rsidR="00B0067E" w:rsidRPr="00B0067E" w14:paraId="65900462" w14:textId="77777777" w:rsidTr="002C3D1C">
        <w:tc>
          <w:tcPr>
            <w:tcW w:w="1356" w:type="dxa"/>
          </w:tcPr>
          <w:p w14:paraId="50F9FB9D"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S14</w:t>
            </w:r>
            <w:r w:rsidRPr="00B0067E">
              <w:rPr>
                <w:rFonts w:ascii="Garamond" w:hAnsi="Garamond"/>
                <w:b/>
                <w:bCs/>
                <w:iCs/>
                <w:sz w:val="20"/>
                <w:szCs w:val="20"/>
                <w:vertAlign w:val="superscript"/>
              </w:rPr>
              <w:t>32</w:t>
            </w:r>
          </w:p>
        </w:tc>
        <w:tc>
          <w:tcPr>
            <w:tcW w:w="2396" w:type="dxa"/>
          </w:tcPr>
          <w:p w14:paraId="2136924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Ninsiima et al. (2024)</w:t>
            </w:r>
          </w:p>
        </w:tc>
        <w:tc>
          <w:tcPr>
            <w:tcW w:w="1210" w:type="dxa"/>
          </w:tcPr>
          <w:p w14:paraId="459651E9"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Uganda </w:t>
            </w:r>
          </w:p>
        </w:tc>
        <w:tc>
          <w:tcPr>
            <w:tcW w:w="992" w:type="dxa"/>
          </w:tcPr>
          <w:p w14:paraId="32D1204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LIC</w:t>
            </w:r>
          </w:p>
        </w:tc>
        <w:tc>
          <w:tcPr>
            <w:tcW w:w="1429" w:type="dxa"/>
          </w:tcPr>
          <w:p w14:paraId="1BCF117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71DDD06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Ebola</w:t>
            </w:r>
          </w:p>
        </w:tc>
      </w:tr>
      <w:tr w:rsidR="00B0067E" w:rsidRPr="00B0067E" w14:paraId="0A10D399" w14:textId="77777777" w:rsidTr="002C3D1C">
        <w:tc>
          <w:tcPr>
            <w:tcW w:w="1356" w:type="dxa"/>
          </w:tcPr>
          <w:p w14:paraId="61051A36"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S15</w:t>
            </w:r>
            <w:r w:rsidRPr="00B0067E">
              <w:rPr>
                <w:rFonts w:ascii="Garamond" w:hAnsi="Garamond"/>
                <w:b/>
                <w:bCs/>
                <w:iCs/>
                <w:sz w:val="20"/>
                <w:szCs w:val="20"/>
                <w:vertAlign w:val="superscript"/>
              </w:rPr>
              <w:t>33</w:t>
            </w:r>
          </w:p>
        </w:tc>
        <w:tc>
          <w:tcPr>
            <w:tcW w:w="2396" w:type="dxa"/>
          </w:tcPr>
          <w:p w14:paraId="1BCB781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Bui et al. (2025)</w:t>
            </w:r>
          </w:p>
        </w:tc>
        <w:tc>
          <w:tcPr>
            <w:tcW w:w="1210" w:type="dxa"/>
          </w:tcPr>
          <w:p w14:paraId="67C9CD9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Vietnam </w:t>
            </w:r>
          </w:p>
        </w:tc>
        <w:tc>
          <w:tcPr>
            <w:tcW w:w="992" w:type="dxa"/>
          </w:tcPr>
          <w:p w14:paraId="43E1C4AB"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4742BCA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664BEEB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Avian II</w:t>
            </w:r>
          </w:p>
        </w:tc>
      </w:tr>
      <w:tr w:rsidR="00B0067E" w:rsidRPr="00B0067E" w14:paraId="3233CD24" w14:textId="77777777" w:rsidTr="002C3D1C">
        <w:tc>
          <w:tcPr>
            <w:tcW w:w="1356" w:type="dxa"/>
          </w:tcPr>
          <w:p w14:paraId="42923926"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S16</w:t>
            </w:r>
            <w:r w:rsidRPr="00B0067E">
              <w:rPr>
                <w:rFonts w:ascii="Garamond" w:hAnsi="Garamond"/>
                <w:b/>
                <w:bCs/>
                <w:iCs/>
                <w:sz w:val="20"/>
                <w:szCs w:val="20"/>
                <w:vertAlign w:val="superscript"/>
              </w:rPr>
              <w:t>34</w:t>
            </w:r>
          </w:p>
        </w:tc>
        <w:tc>
          <w:tcPr>
            <w:tcW w:w="2396" w:type="dxa"/>
          </w:tcPr>
          <w:p w14:paraId="7EA732D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Asante et al. (2024)</w:t>
            </w:r>
          </w:p>
        </w:tc>
        <w:tc>
          <w:tcPr>
            <w:tcW w:w="1210" w:type="dxa"/>
          </w:tcPr>
          <w:p w14:paraId="6F56E36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Ghana</w:t>
            </w:r>
          </w:p>
        </w:tc>
        <w:tc>
          <w:tcPr>
            <w:tcW w:w="992" w:type="dxa"/>
          </w:tcPr>
          <w:p w14:paraId="735F03B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1F1D815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Mixed-methods</w:t>
            </w:r>
          </w:p>
        </w:tc>
        <w:tc>
          <w:tcPr>
            <w:tcW w:w="1973" w:type="dxa"/>
          </w:tcPr>
          <w:p w14:paraId="49F7603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Swine flu</w:t>
            </w:r>
          </w:p>
        </w:tc>
      </w:tr>
      <w:tr w:rsidR="00B0067E" w:rsidRPr="00B0067E" w14:paraId="00EC67B6" w14:textId="77777777" w:rsidTr="002C3D1C">
        <w:tc>
          <w:tcPr>
            <w:tcW w:w="1356" w:type="dxa"/>
          </w:tcPr>
          <w:p w14:paraId="0851B4C6"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S17</w:t>
            </w:r>
            <w:r w:rsidRPr="00B0067E">
              <w:rPr>
                <w:rFonts w:ascii="Garamond" w:hAnsi="Garamond"/>
                <w:b/>
                <w:bCs/>
                <w:iCs/>
                <w:sz w:val="20"/>
                <w:szCs w:val="20"/>
                <w:vertAlign w:val="superscript"/>
              </w:rPr>
              <w:t>35</w:t>
            </w:r>
          </w:p>
        </w:tc>
        <w:tc>
          <w:tcPr>
            <w:tcW w:w="2396" w:type="dxa"/>
          </w:tcPr>
          <w:p w14:paraId="4190C97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Menon et al. (2021)</w:t>
            </w:r>
          </w:p>
        </w:tc>
        <w:tc>
          <w:tcPr>
            <w:tcW w:w="1210" w:type="dxa"/>
          </w:tcPr>
          <w:p w14:paraId="6A8E13F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India </w:t>
            </w:r>
          </w:p>
        </w:tc>
        <w:tc>
          <w:tcPr>
            <w:tcW w:w="992" w:type="dxa"/>
          </w:tcPr>
          <w:p w14:paraId="67A142A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UMIC</w:t>
            </w:r>
          </w:p>
        </w:tc>
        <w:tc>
          <w:tcPr>
            <w:tcW w:w="1429" w:type="dxa"/>
          </w:tcPr>
          <w:p w14:paraId="3087AD0F"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6006D37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Nipah virus disease</w:t>
            </w:r>
          </w:p>
        </w:tc>
      </w:tr>
      <w:tr w:rsidR="00B0067E" w:rsidRPr="00B0067E" w14:paraId="6D865460" w14:textId="77777777" w:rsidTr="002C3D1C">
        <w:tc>
          <w:tcPr>
            <w:tcW w:w="1356" w:type="dxa"/>
          </w:tcPr>
          <w:p w14:paraId="085369EB"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S18</w:t>
            </w:r>
            <w:r w:rsidRPr="00B0067E">
              <w:rPr>
                <w:rFonts w:ascii="Garamond" w:hAnsi="Garamond"/>
                <w:b/>
                <w:bCs/>
                <w:iCs/>
                <w:sz w:val="20"/>
                <w:szCs w:val="20"/>
                <w:vertAlign w:val="superscript"/>
              </w:rPr>
              <w:t>36</w:t>
            </w:r>
          </w:p>
        </w:tc>
        <w:tc>
          <w:tcPr>
            <w:tcW w:w="2396" w:type="dxa"/>
          </w:tcPr>
          <w:p w14:paraId="031303B7" w14:textId="77777777" w:rsidR="00B0067E" w:rsidRPr="00B0067E" w:rsidRDefault="00B0067E" w:rsidP="002C3D1C">
            <w:pPr>
              <w:jc w:val="both"/>
              <w:rPr>
                <w:rFonts w:ascii="Garamond" w:hAnsi="Garamond"/>
                <w:bCs/>
                <w:iCs/>
                <w:sz w:val="20"/>
                <w:szCs w:val="20"/>
              </w:rPr>
            </w:pPr>
            <w:proofErr w:type="spellStart"/>
            <w:r w:rsidRPr="00B0067E">
              <w:rPr>
                <w:rFonts w:ascii="Garamond" w:hAnsi="Garamond"/>
                <w:bCs/>
                <w:iCs/>
                <w:sz w:val="20"/>
                <w:szCs w:val="20"/>
              </w:rPr>
              <w:t>Kulichenko</w:t>
            </w:r>
            <w:proofErr w:type="spellEnd"/>
            <w:r w:rsidRPr="00B0067E">
              <w:rPr>
                <w:rFonts w:ascii="Garamond" w:hAnsi="Garamond"/>
                <w:bCs/>
                <w:iCs/>
                <w:sz w:val="20"/>
                <w:szCs w:val="20"/>
              </w:rPr>
              <w:t xml:space="preserve"> et al. (2024)</w:t>
            </w:r>
          </w:p>
        </w:tc>
        <w:tc>
          <w:tcPr>
            <w:tcW w:w="1210" w:type="dxa"/>
          </w:tcPr>
          <w:p w14:paraId="0B8229F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Russia </w:t>
            </w:r>
          </w:p>
        </w:tc>
        <w:tc>
          <w:tcPr>
            <w:tcW w:w="992" w:type="dxa"/>
          </w:tcPr>
          <w:p w14:paraId="1B906D1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UMIC</w:t>
            </w:r>
          </w:p>
        </w:tc>
        <w:tc>
          <w:tcPr>
            <w:tcW w:w="1429" w:type="dxa"/>
          </w:tcPr>
          <w:p w14:paraId="0EB6E734"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19D0778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Anthrax</w:t>
            </w:r>
          </w:p>
        </w:tc>
      </w:tr>
      <w:tr w:rsidR="00B0067E" w:rsidRPr="00B0067E" w14:paraId="14148626" w14:textId="77777777" w:rsidTr="002C3D1C">
        <w:tc>
          <w:tcPr>
            <w:tcW w:w="1356" w:type="dxa"/>
          </w:tcPr>
          <w:p w14:paraId="555FDB03"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S19</w:t>
            </w:r>
            <w:r w:rsidRPr="00B0067E">
              <w:rPr>
                <w:rFonts w:ascii="Garamond" w:hAnsi="Garamond"/>
                <w:b/>
                <w:bCs/>
                <w:iCs/>
                <w:sz w:val="20"/>
                <w:szCs w:val="20"/>
                <w:vertAlign w:val="superscript"/>
              </w:rPr>
              <w:t>37</w:t>
            </w:r>
          </w:p>
        </w:tc>
        <w:tc>
          <w:tcPr>
            <w:tcW w:w="2396" w:type="dxa"/>
          </w:tcPr>
          <w:p w14:paraId="5961F0E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Ela et al. (2021)</w:t>
            </w:r>
          </w:p>
        </w:tc>
        <w:tc>
          <w:tcPr>
            <w:tcW w:w="1210" w:type="dxa"/>
          </w:tcPr>
          <w:p w14:paraId="1D63E6ED"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Bangladesh </w:t>
            </w:r>
          </w:p>
        </w:tc>
        <w:tc>
          <w:tcPr>
            <w:tcW w:w="992" w:type="dxa"/>
          </w:tcPr>
          <w:p w14:paraId="1C9EC22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118A300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7D612D5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Covid</w:t>
            </w:r>
          </w:p>
        </w:tc>
      </w:tr>
      <w:tr w:rsidR="00B0067E" w:rsidRPr="00B0067E" w14:paraId="2DD1EE62" w14:textId="77777777" w:rsidTr="002C3D1C">
        <w:tc>
          <w:tcPr>
            <w:tcW w:w="1356" w:type="dxa"/>
          </w:tcPr>
          <w:p w14:paraId="726B0DE2"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S20</w:t>
            </w:r>
            <w:r w:rsidRPr="00B0067E">
              <w:rPr>
                <w:rFonts w:ascii="Garamond" w:hAnsi="Garamond"/>
                <w:b/>
                <w:bCs/>
                <w:iCs/>
                <w:sz w:val="20"/>
                <w:szCs w:val="20"/>
                <w:vertAlign w:val="superscript"/>
              </w:rPr>
              <w:t>38</w:t>
            </w:r>
          </w:p>
        </w:tc>
        <w:tc>
          <w:tcPr>
            <w:tcW w:w="2396" w:type="dxa"/>
          </w:tcPr>
          <w:p w14:paraId="10008C2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Leão et al. (2025)</w:t>
            </w:r>
          </w:p>
        </w:tc>
        <w:tc>
          <w:tcPr>
            <w:tcW w:w="1210" w:type="dxa"/>
          </w:tcPr>
          <w:p w14:paraId="000D106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Brazil </w:t>
            </w:r>
          </w:p>
        </w:tc>
        <w:tc>
          <w:tcPr>
            <w:tcW w:w="992" w:type="dxa"/>
          </w:tcPr>
          <w:p w14:paraId="103C0D2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UMIC</w:t>
            </w:r>
          </w:p>
        </w:tc>
        <w:tc>
          <w:tcPr>
            <w:tcW w:w="1429" w:type="dxa"/>
          </w:tcPr>
          <w:p w14:paraId="6AD145B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796B8B7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Yellow fever</w:t>
            </w:r>
          </w:p>
        </w:tc>
      </w:tr>
      <w:tr w:rsidR="00B0067E" w:rsidRPr="00B0067E" w14:paraId="246E1A67" w14:textId="77777777" w:rsidTr="002C3D1C">
        <w:tc>
          <w:tcPr>
            <w:tcW w:w="1356" w:type="dxa"/>
          </w:tcPr>
          <w:p w14:paraId="69B2E836"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S21</w:t>
            </w:r>
            <w:r w:rsidRPr="00B0067E">
              <w:rPr>
                <w:rFonts w:ascii="Garamond" w:hAnsi="Garamond"/>
                <w:b/>
                <w:bCs/>
                <w:iCs/>
                <w:sz w:val="20"/>
                <w:szCs w:val="20"/>
                <w:vertAlign w:val="superscript"/>
              </w:rPr>
              <w:t>39</w:t>
            </w:r>
          </w:p>
        </w:tc>
        <w:tc>
          <w:tcPr>
            <w:tcW w:w="2396" w:type="dxa"/>
          </w:tcPr>
          <w:p w14:paraId="0F834BD1" w14:textId="77777777" w:rsidR="00B0067E" w:rsidRPr="00B0067E" w:rsidRDefault="00B0067E" w:rsidP="002C3D1C">
            <w:pPr>
              <w:jc w:val="both"/>
              <w:rPr>
                <w:rFonts w:ascii="Garamond" w:hAnsi="Garamond"/>
                <w:bCs/>
                <w:iCs/>
                <w:sz w:val="20"/>
                <w:szCs w:val="20"/>
              </w:rPr>
            </w:pPr>
            <w:proofErr w:type="spellStart"/>
            <w:r w:rsidRPr="00B0067E">
              <w:rPr>
                <w:rFonts w:ascii="Garamond" w:hAnsi="Garamond"/>
                <w:bCs/>
                <w:iCs/>
                <w:sz w:val="20"/>
                <w:szCs w:val="20"/>
              </w:rPr>
              <w:t>Greindl</w:t>
            </w:r>
            <w:proofErr w:type="spellEnd"/>
            <w:r w:rsidRPr="00B0067E">
              <w:rPr>
                <w:rFonts w:ascii="Garamond" w:hAnsi="Garamond"/>
                <w:bCs/>
                <w:iCs/>
                <w:sz w:val="20"/>
                <w:szCs w:val="20"/>
              </w:rPr>
              <w:t xml:space="preserve"> et al. (2024)</w:t>
            </w:r>
          </w:p>
        </w:tc>
        <w:tc>
          <w:tcPr>
            <w:tcW w:w="1210" w:type="dxa"/>
          </w:tcPr>
          <w:p w14:paraId="3B004F7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Switzerland </w:t>
            </w:r>
          </w:p>
        </w:tc>
        <w:tc>
          <w:tcPr>
            <w:tcW w:w="992" w:type="dxa"/>
          </w:tcPr>
          <w:p w14:paraId="15F661F4"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2818849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Mixed-methods</w:t>
            </w:r>
          </w:p>
        </w:tc>
        <w:tc>
          <w:tcPr>
            <w:tcW w:w="1973" w:type="dxa"/>
          </w:tcPr>
          <w:p w14:paraId="4FA2679F"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Covid </w:t>
            </w:r>
          </w:p>
        </w:tc>
      </w:tr>
      <w:tr w:rsidR="00B0067E" w:rsidRPr="00B0067E" w14:paraId="5107EE31" w14:textId="77777777" w:rsidTr="002C3D1C">
        <w:tc>
          <w:tcPr>
            <w:tcW w:w="1356" w:type="dxa"/>
          </w:tcPr>
          <w:p w14:paraId="2EF79A84"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S22</w:t>
            </w:r>
            <w:r w:rsidRPr="00B0067E">
              <w:rPr>
                <w:rFonts w:ascii="Garamond" w:hAnsi="Garamond"/>
                <w:b/>
                <w:bCs/>
                <w:iCs/>
                <w:sz w:val="20"/>
                <w:szCs w:val="20"/>
                <w:vertAlign w:val="superscript"/>
              </w:rPr>
              <w:t>40</w:t>
            </w:r>
          </w:p>
        </w:tc>
        <w:tc>
          <w:tcPr>
            <w:tcW w:w="2396" w:type="dxa"/>
          </w:tcPr>
          <w:p w14:paraId="6BEF7D29"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Devamani et al. (2026)</w:t>
            </w:r>
          </w:p>
        </w:tc>
        <w:tc>
          <w:tcPr>
            <w:tcW w:w="1210" w:type="dxa"/>
          </w:tcPr>
          <w:p w14:paraId="5DA18B79"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India </w:t>
            </w:r>
          </w:p>
        </w:tc>
        <w:tc>
          <w:tcPr>
            <w:tcW w:w="992" w:type="dxa"/>
          </w:tcPr>
          <w:p w14:paraId="19708B4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0D9C195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388492F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Scrub Typhus</w:t>
            </w:r>
          </w:p>
        </w:tc>
      </w:tr>
      <w:tr w:rsidR="00B0067E" w:rsidRPr="00B0067E" w14:paraId="00E21A11" w14:textId="77777777" w:rsidTr="002C3D1C">
        <w:tc>
          <w:tcPr>
            <w:tcW w:w="1356" w:type="dxa"/>
          </w:tcPr>
          <w:p w14:paraId="3849B86D"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S23</w:t>
            </w:r>
            <w:r w:rsidRPr="00B0067E">
              <w:rPr>
                <w:rFonts w:ascii="Garamond" w:hAnsi="Garamond"/>
                <w:b/>
                <w:bCs/>
                <w:iCs/>
                <w:sz w:val="20"/>
                <w:szCs w:val="20"/>
                <w:vertAlign w:val="superscript"/>
              </w:rPr>
              <w:t>41</w:t>
            </w:r>
          </w:p>
        </w:tc>
        <w:tc>
          <w:tcPr>
            <w:tcW w:w="2396" w:type="dxa"/>
          </w:tcPr>
          <w:p w14:paraId="7F34F34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Nagashima-Hayashi et al. (2023)</w:t>
            </w:r>
          </w:p>
        </w:tc>
        <w:tc>
          <w:tcPr>
            <w:tcW w:w="1210" w:type="dxa"/>
          </w:tcPr>
          <w:p w14:paraId="2D65E82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Singapore </w:t>
            </w:r>
          </w:p>
        </w:tc>
        <w:tc>
          <w:tcPr>
            <w:tcW w:w="992" w:type="dxa"/>
          </w:tcPr>
          <w:p w14:paraId="3987CF4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2A287A1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6DE18CC3"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Covid </w:t>
            </w:r>
          </w:p>
        </w:tc>
      </w:tr>
      <w:tr w:rsidR="00B0067E" w:rsidRPr="00B0067E" w14:paraId="117F9D4B" w14:textId="77777777" w:rsidTr="002C3D1C">
        <w:tc>
          <w:tcPr>
            <w:tcW w:w="1356" w:type="dxa"/>
          </w:tcPr>
          <w:p w14:paraId="7D0EB026"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S24</w:t>
            </w:r>
            <w:r w:rsidRPr="00B0067E">
              <w:rPr>
                <w:rFonts w:ascii="Garamond" w:hAnsi="Garamond"/>
                <w:b/>
                <w:bCs/>
                <w:iCs/>
                <w:sz w:val="20"/>
                <w:szCs w:val="20"/>
                <w:vertAlign w:val="superscript"/>
              </w:rPr>
              <w:t>42</w:t>
            </w:r>
          </w:p>
        </w:tc>
        <w:tc>
          <w:tcPr>
            <w:tcW w:w="2396" w:type="dxa"/>
          </w:tcPr>
          <w:p w14:paraId="3788A7E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Diagne et al. (2025)</w:t>
            </w:r>
          </w:p>
        </w:tc>
        <w:tc>
          <w:tcPr>
            <w:tcW w:w="1210" w:type="dxa"/>
          </w:tcPr>
          <w:p w14:paraId="109F19B9"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Senegal </w:t>
            </w:r>
          </w:p>
        </w:tc>
        <w:tc>
          <w:tcPr>
            <w:tcW w:w="992" w:type="dxa"/>
          </w:tcPr>
          <w:p w14:paraId="42AA93E4"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LMIC</w:t>
            </w:r>
          </w:p>
        </w:tc>
        <w:tc>
          <w:tcPr>
            <w:tcW w:w="1429" w:type="dxa"/>
          </w:tcPr>
          <w:p w14:paraId="24F868D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68DA15B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Rift valley fever</w:t>
            </w:r>
          </w:p>
        </w:tc>
      </w:tr>
      <w:tr w:rsidR="00B0067E" w:rsidRPr="00B0067E" w14:paraId="5C51151B" w14:textId="77777777" w:rsidTr="002C3D1C">
        <w:tc>
          <w:tcPr>
            <w:tcW w:w="1356" w:type="dxa"/>
          </w:tcPr>
          <w:p w14:paraId="67C2063C"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S25</w:t>
            </w:r>
            <w:r w:rsidRPr="00B0067E">
              <w:rPr>
                <w:rFonts w:ascii="Garamond" w:hAnsi="Garamond"/>
                <w:b/>
                <w:bCs/>
                <w:iCs/>
                <w:sz w:val="20"/>
                <w:szCs w:val="20"/>
                <w:vertAlign w:val="superscript"/>
              </w:rPr>
              <w:t>43</w:t>
            </w:r>
          </w:p>
        </w:tc>
        <w:tc>
          <w:tcPr>
            <w:tcW w:w="2396" w:type="dxa"/>
          </w:tcPr>
          <w:p w14:paraId="19760A49" w14:textId="77777777" w:rsidR="00B0067E" w:rsidRPr="00B0067E" w:rsidRDefault="00B0067E" w:rsidP="002C3D1C">
            <w:pPr>
              <w:jc w:val="both"/>
              <w:rPr>
                <w:rFonts w:ascii="Garamond" w:hAnsi="Garamond"/>
                <w:bCs/>
                <w:iCs/>
                <w:sz w:val="20"/>
                <w:szCs w:val="20"/>
              </w:rPr>
            </w:pPr>
            <w:proofErr w:type="spellStart"/>
            <w:r w:rsidRPr="00B0067E">
              <w:rPr>
                <w:rFonts w:ascii="Garamond" w:hAnsi="Garamond"/>
                <w:bCs/>
                <w:iCs/>
                <w:sz w:val="20"/>
                <w:szCs w:val="20"/>
              </w:rPr>
              <w:t>Millones</w:t>
            </w:r>
            <w:proofErr w:type="spellEnd"/>
            <w:r w:rsidRPr="00B0067E">
              <w:rPr>
                <w:rFonts w:ascii="Garamond" w:hAnsi="Garamond"/>
                <w:bCs/>
                <w:iCs/>
                <w:sz w:val="20"/>
                <w:szCs w:val="20"/>
              </w:rPr>
              <w:t xml:space="preserve"> et al. (2022)</w:t>
            </w:r>
          </w:p>
        </w:tc>
        <w:tc>
          <w:tcPr>
            <w:tcW w:w="1210" w:type="dxa"/>
          </w:tcPr>
          <w:p w14:paraId="607547D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Peru </w:t>
            </w:r>
          </w:p>
        </w:tc>
        <w:tc>
          <w:tcPr>
            <w:tcW w:w="992" w:type="dxa"/>
          </w:tcPr>
          <w:p w14:paraId="0E52F614"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UMIC </w:t>
            </w:r>
          </w:p>
        </w:tc>
        <w:tc>
          <w:tcPr>
            <w:tcW w:w="1429" w:type="dxa"/>
          </w:tcPr>
          <w:p w14:paraId="1FB71C5C"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Mixed-methods</w:t>
            </w:r>
          </w:p>
        </w:tc>
        <w:tc>
          <w:tcPr>
            <w:tcW w:w="1973" w:type="dxa"/>
          </w:tcPr>
          <w:p w14:paraId="4EC7A6A6"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Covid </w:t>
            </w:r>
          </w:p>
        </w:tc>
      </w:tr>
      <w:tr w:rsidR="00B0067E" w:rsidRPr="00B0067E" w14:paraId="2A7D6F58" w14:textId="77777777" w:rsidTr="002C3D1C">
        <w:tc>
          <w:tcPr>
            <w:tcW w:w="1356" w:type="dxa"/>
          </w:tcPr>
          <w:p w14:paraId="2DA38EBE"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lastRenderedPageBreak/>
              <w:t>S26</w:t>
            </w:r>
            <w:r w:rsidRPr="00B0067E">
              <w:rPr>
                <w:rFonts w:ascii="Garamond" w:hAnsi="Garamond"/>
                <w:b/>
                <w:bCs/>
                <w:iCs/>
                <w:sz w:val="20"/>
                <w:szCs w:val="20"/>
                <w:vertAlign w:val="superscript"/>
              </w:rPr>
              <w:t>44</w:t>
            </w:r>
          </w:p>
        </w:tc>
        <w:tc>
          <w:tcPr>
            <w:tcW w:w="2396" w:type="dxa"/>
          </w:tcPr>
          <w:p w14:paraId="76A7D20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Song et al. (2025)</w:t>
            </w:r>
          </w:p>
        </w:tc>
        <w:tc>
          <w:tcPr>
            <w:tcW w:w="1210" w:type="dxa"/>
          </w:tcPr>
          <w:p w14:paraId="1F307F67"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Mainland China</w:t>
            </w:r>
          </w:p>
        </w:tc>
        <w:tc>
          <w:tcPr>
            <w:tcW w:w="992" w:type="dxa"/>
          </w:tcPr>
          <w:p w14:paraId="229462D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CIMIC</w:t>
            </w:r>
          </w:p>
        </w:tc>
        <w:tc>
          <w:tcPr>
            <w:tcW w:w="1429" w:type="dxa"/>
          </w:tcPr>
          <w:p w14:paraId="319FC1F2" w14:textId="3A28D124"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Quanti</w:t>
            </w:r>
            <w:r w:rsidR="002C3D1C">
              <w:rPr>
                <w:rFonts w:ascii="Garamond" w:hAnsi="Garamond"/>
                <w:bCs/>
                <w:iCs/>
                <w:sz w:val="20"/>
                <w:szCs w:val="20"/>
              </w:rPr>
              <w:t>ta</w:t>
            </w:r>
            <w:r w:rsidRPr="00B0067E">
              <w:rPr>
                <w:rFonts w:ascii="Garamond" w:hAnsi="Garamond"/>
                <w:bCs/>
                <w:iCs/>
                <w:sz w:val="20"/>
                <w:szCs w:val="20"/>
              </w:rPr>
              <w:t>tive</w:t>
            </w:r>
          </w:p>
        </w:tc>
        <w:tc>
          <w:tcPr>
            <w:tcW w:w="1973" w:type="dxa"/>
          </w:tcPr>
          <w:p w14:paraId="58E0287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Avian II</w:t>
            </w:r>
          </w:p>
        </w:tc>
      </w:tr>
      <w:tr w:rsidR="00B0067E" w:rsidRPr="00B0067E" w14:paraId="18308923" w14:textId="77777777" w:rsidTr="002C3D1C">
        <w:tc>
          <w:tcPr>
            <w:tcW w:w="1356" w:type="dxa"/>
          </w:tcPr>
          <w:p w14:paraId="29253E17"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S27</w:t>
            </w:r>
            <w:r w:rsidRPr="00B0067E">
              <w:rPr>
                <w:rFonts w:ascii="Garamond" w:hAnsi="Garamond"/>
                <w:b/>
                <w:bCs/>
                <w:iCs/>
                <w:sz w:val="20"/>
                <w:szCs w:val="20"/>
                <w:vertAlign w:val="superscript"/>
              </w:rPr>
              <w:t>45</w:t>
            </w:r>
          </w:p>
        </w:tc>
        <w:tc>
          <w:tcPr>
            <w:tcW w:w="2396" w:type="dxa"/>
          </w:tcPr>
          <w:p w14:paraId="14CBB7E6" w14:textId="77777777" w:rsidR="00B0067E" w:rsidRPr="00B0067E" w:rsidRDefault="00B0067E" w:rsidP="002C3D1C">
            <w:pPr>
              <w:jc w:val="both"/>
              <w:rPr>
                <w:rFonts w:ascii="Garamond" w:hAnsi="Garamond"/>
                <w:bCs/>
                <w:iCs/>
                <w:sz w:val="20"/>
                <w:szCs w:val="20"/>
              </w:rPr>
            </w:pPr>
            <w:bookmarkStart w:id="11" w:name="_Hlk222222363"/>
            <w:proofErr w:type="spellStart"/>
            <w:r w:rsidRPr="00B0067E">
              <w:rPr>
                <w:rFonts w:ascii="Garamond" w:hAnsi="Garamond"/>
                <w:bCs/>
                <w:iCs/>
                <w:sz w:val="20"/>
                <w:szCs w:val="20"/>
              </w:rPr>
              <w:t>Wiethoelter</w:t>
            </w:r>
            <w:proofErr w:type="spellEnd"/>
            <w:r w:rsidRPr="00B0067E">
              <w:rPr>
                <w:rFonts w:ascii="Garamond" w:hAnsi="Garamond"/>
                <w:bCs/>
                <w:iCs/>
                <w:sz w:val="20"/>
                <w:szCs w:val="20"/>
              </w:rPr>
              <w:t xml:space="preserve"> et al. </w:t>
            </w:r>
            <w:bookmarkEnd w:id="11"/>
            <w:r w:rsidRPr="00B0067E">
              <w:rPr>
                <w:rFonts w:ascii="Garamond" w:hAnsi="Garamond"/>
                <w:bCs/>
                <w:iCs/>
                <w:sz w:val="20"/>
                <w:szCs w:val="20"/>
              </w:rPr>
              <w:t>(2025)</w:t>
            </w:r>
          </w:p>
        </w:tc>
        <w:tc>
          <w:tcPr>
            <w:tcW w:w="1210" w:type="dxa"/>
          </w:tcPr>
          <w:p w14:paraId="665AA73A"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 xml:space="preserve">Australia </w:t>
            </w:r>
          </w:p>
        </w:tc>
        <w:tc>
          <w:tcPr>
            <w:tcW w:w="992" w:type="dxa"/>
          </w:tcPr>
          <w:p w14:paraId="3ECE5082"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0BF36F69"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Qualitative</w:t>
            </w:r>
          </w:p>
        </w:tc>
        <w:tc>
          <w:tcPr>
            <w:tcW w:w="1973" w:type="dxa"/>
          </w:tcPr>
          <w:p w14:paraId="1505BD0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Hendra virus</w:t>
            </w:r>
          </w:p>
        </w:tc>
      </w:tr>
      <w:tr w:rsidR="00B0067E" w:rsidRPr="00B0067E" w14:paraId="49F5BF53" w14:textId="77777777" w:rsidTr="002C3D1C">
        <w:tc>
          <w:tcPr>
            <w:tcW w:w="1356" w:type="dxa"/>
          </w:tcPr>
          <w:p w14:paraId="1909B8EB" w14:textId="77777777" w:rsidR="00B0067E" w:rsidRPr="00B0067E" w:rsidRDefault="00B0067E" w:rsidP="002C3D1C">
            <w:pPr>
              <w:jc w:val="both"/>
              <w:rPr>
                <w:rFonts w:ascii="Garamond" w:hAnsi="Garamond"/>
                <w:bCs/>
                <w:iCs/>
                <w:sz w:val="20"/>
                <w:szCs w:val="20"/>
              </w:rPr>
            </w:pPr>
            <w:r w:rsidRPr="00B0067E">
              <w:rPr>
                <w:rFonts w:ascii="Garamond" w:hAnsi="Garamond"/>
                <w:b/>
                <w:bCs/>
                <w:iCs/>
                <w:sz w:val="20"/>
                <w:szCs w:val="20"/>
              </w:rPr>
              <w:t>S28</w:t>
            </w:r>
            <w:r w:rsidRPr="00B0067E">
              <w:rPr>
                <w:rFonts w:ascii="Garamond" w:hAnsi="Garamond"/>
                <w:b/>
                <w:bCs/>
                <w:iCs/>
                <w:sz w:val="20"/>
                <w:szCs w:val="20"/>
                <w:vertAlign w:val="superscript"/>
              </w:rPr>
              <w:t>46</w:t>
            </w:r>
          </w:p>
        </w:tc>
        <w:tc>
          <w:tcPr>
            <w:tcW w:w="2396" w:type="dxa"/>
          </w:tcPr>
          <w:p w14:paraId="2507C180"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Anderson (2023)</w:t>
            </w:r>
          </w:p>
        </w:tc>
        <w:tc>
          <w:tcPr>
            <w:tcW w:w="1210" w:type="dxa"/>
          </w:tcPr>
          <w:p w14:paraId="359712D5"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USA</w:t>
            </w:r>
          </w:p>
        </w:tc>
        <w:tc>
          <w:tcPr>
            <w:tcW w:w="992" w:type="dxa"/>
          </w:tcPr>
          <w:p w14:paraId="7FBA4C38"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HIC</w:t>
            </w:r>
          </w:p>
        </w:tc>
        <w:tc>
          <w:tcPr>
            <w:tcW w:w="1429" w:type="dxa"/>
          </w:tcPr>
          <w:p w14:paraId="290AEE31"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Mixed-methods</w:t>
            </w:r>
          </w:p>
        </w:tc>
        <w:tc>
          <w:tcPr>
            <w:tcW w:w="1973" w:type="dxa"/>
          </w:tcPr>
          <w:p w14:paraId="23608C5E" w14:textId="77777777" w:rsidR="00B0067E" w:rsidRPr="00B0067E" w:rsidRDefault="00B0067E" w:rsidP="002C3D1C">
            <w:pPr>
              <w:jc w:val="both"/>
              <w:rPr>
                <w:rFonts w:ascii="Garamond" w:hAnsi="Garamond"/>
                <w:bCs/>
                <w:iCs/>
                <w:sz w:val="20"/>
                <w:szCs w:val="20"/>
              </w:rPr>
            </w:pPr>
            <w:r w:rsidRPr="00B0067E">
              <w:rPr>
                <w:rFonts w:ascii="Garamond" w:hAnsi="Garamond"/>
                <w:bCs/>
                <w:iCs/>
                <w:sz w:val="20"/>
                <w:szCs w:val="20"/>
              </w:rPr>
              <w:t>Chronic wasting disease</w:t>
            </w:r>
          </w:p>
        </w:tc>
      </w:tr>
    </w:tbl>
    <w:p w14:paraId="65EE8CBE" w14:textId="77777777" w:rsidR="00183DC5" w:rsidRDefault="00B0067E" w:rsidP="002C3D1C">
      <w:pPr>
        <w:spacing w:line="259" w:lineRule="auto"/>
        <w:jc w:val="both"/>
        <w:rPr>
          <w:rFonts w:ascii="Garamond" w:hAnsi="Garamond"/>
          <w:bCs/>
          <w:iCs/>
          <w:sz w:val="16"/>
          <w:szCs w:val="16"/>
        </w:rPr>
        <w:sectPr w:rsidR="00183DC5" w:rsidSect="00183DC5">
          <w:pgSz w:w="12240" w:h="15840"/>
          <w:pgMar w:top="1440" w:right="1440" w:bottom="1440" w:left="1440" w:header="720" w:footer="720" w:gutter="0"/>
          <w:cols w:space="720"/>
          <w:titlePg/>
          <w:docGrid w:linePitch="360"/>
        </w:sectPr>
      </w:pPr>
      <w:r w:rsidRPr="00B0067E">
        <w:rPr>
          <w:rFonts w:ascii="Garamond" w:hAnsi="Garamond"/>
          <w:b/>
          <w:bCs/>
          <w:iCs/>
          <w:sz w:val="16"/>
          <w:szCs w:val="16"/>
        </w:rPr>
        <w:t>NB:</w:t>
      </w:r>
      <w:r w:rsidRPr="00B0067E">
        <w:rPr>
          <w:rFonts w:ascii="Garamond" w:hAnsi="Garamond"/>
          <w:bCs/>
          <w:iCs/>
          <w:sz w:val="16"/>
          <w:szCs w:val="16"/>
        </w:rPr>
        <w:t xml:space="preserve"> *Income level based on world bank classification at the time of the study</w:t>
      </w:r>
    </w:p>
    <w:p w14:paraId="0B9A4665"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Thematic Synthesis of Findings:</w:t>
      </w:r>
      <w:r w:rsidRPr="00B0067E">
        <w:rPr>
          <w:rFonts w:ascii="Garamond" w:hAnsi="Garamond"/>
          <w:bCs/>
          <w:iCs/>
          <w:sz w:val="20"/>
          <w:szCs w:val="20"/>
        </w:rPr>
        <w:t xml:space="preserve"> The thematic synthesis of facilitators and barriers is outlined below with a thematic analysis of the 28 included studies revealing four main analytical themes that impact multisectoral coordination:</w:t>
      </w:r>
    </w:p>
    <w:p w14:paraId="388B3D59" w14:textId="77777777" w:rsidR="00183DC5" w:rsidRPr="00B0067E" w:rsidRDefault="00183DC5" w:rsidP="00183DC5">
      <w:pPr>
        <w:spacing w:line="259" w:lineRule="auto"/>
        <w:jc w:val="both"/>
        <w:rPr>
          <w:rFonts w:ascii="Garamond" w:hAnsi="Garamond"/>
          <w:bCs/>
          <w:iCs/>
          <w:sz w:val="20"/>
          <w:szCs w:val="20"/>
        </w:rPr>
      </w:pPr>
      <w:proofErr w:type="spellStart"/>
      <w:r w:rsidRPr="00B0067E">
        <w:rPr>
          <w:rFonts w:ascii="Garamond" w:hAnsi="Garamond"/>
          <w:b/>
          <w:bCs/>
          <w:iCs/>
          <w:sz w:val="20"/>
          <w:szCs w:val="20"/>
        </w:rPr>
        <w:t>i</w:t>
      </w:r>
      <w:proofErr w:type="spellEnd"/>
      <w:r w:rsidRPr="00B0067E">
        <w:rPr>
          <w:rFonts w:ascii="Garamond" w:hAnsi="Garamond"/>
          <w:b/>
          <w:bCs/>
          <w:iCs/>
          <w:sz w:val="20"/>
          <w:szCs w:val="20"/>
        </w:rPr>
        <w:t>. Governance and Policy Factors:</w:t>
      </w:r>
      <w:r w:rsidRPr="00B0067E">
        <w:rPr>
          <w:rFonts w:ascii="Garamond" w:hAnsi="Garamond"/>
          <w:bCs/>
          <w:iCs/>
          <w:sz w:val="20"/>
          <w:szCs w:val="20"/>
        </w:rPr>
        <w:t xml:space="preserve"> The high-level regulations, directives, and political frameworks that either facilitate or impede coordination are referred to in this theme.</w:t>
      </w:r>
      <w:r w:rsidRPr="00B0067E">
        <w:rPr>
          <w:rFonts w:ascii="Garamond" w:hAnsi="Garamond"/>
          <w:bCs/>
          <w:iCs/>
          <w:sz w:val="20"/>
          <w:szCs w:val="20"/>
          <w:vertAlign w:val="superscript"/>
        </w:rPr>
        <w:t>10</w:t>
      </w:r>
      <w:bookmarkStart w:id="12" w:name="_Hlk221000326"/>
      <w:r w:rsidRPr="00B0067E">
        <w:rPr>
          <w:rFonts w:ascii="Garamond" w:hAnsi="Garamond"/>
          <w:bCs/>
          <w:iCs/>
          <w:sz w:val="20"/>
          <w:szCs w:val="20"/>
          <w:vertAlign w:val="superscript"/>
        </w:rPr>
        <w:t xml:space="preserve"> </w:t>
      </w:r>
      <w:r w:rsidRPr="00B0067E">
        <w:rPr>
          <w:rFonts w:ascii="Garamond" w:hAnsi="Garamond"/>
          <w:b/>
          <w:bCs/>
          <w:iCs/>
          <w:sz w:val="20"/>
          <w:szCs w:val="20"/>
        </w:rPr>
        <w:t>Facilitators:</w:t>
      </w:r>
      <w:r w:rsidRPr="00B0067E">
        <w:rPr>
          <w:rFonts w:ascii="Garamond" w:hAnsi="Garamond"/>
          <w:bCs/>
          <w:iCs/>
          <w:sz w:val="20"/>
          <w:szCs w:val="20"/>
        </w:rPr>
        <w:t xml:space="preserve"> </w:t>
      </w:r>
      <w:bookmarkEnd w:id="12"/>
      <w:r w:rsidRPr="00B0067E">
        <w:rPr>
          <w:rFonts w:ascii="Garamond" w:hAnsi="Garamond"/>
          <w:bCs/>
          <w:iCs/>
          <w:sz w:val="20"/>
          <w:szCs w:val="20"/>
        </w:rPr>
        <w:t>A Memorandum of Understanding (MoU) or formal, pre-existing legal framework between ministries is frequently cited as a facilitator.</w:t>
      </w:r>
      <w:r w:rsidRPr="00B0067E">
        <w:rPr>
          <w:rFonts w:ascii="Garamond" w:hAnsi="Garamond"/>
          <w:bCs/>
          <w:iCs/>
          <w:sz w:val="20"/>
          <w:szCs w:val="20"/>
          <w:vertAlign w:val="superscript"/>
        </w:rPr>
        <w:t>20,30,39</w:t>
      </w:r>
      <w:r w:rsidRPr="00B0067E">
        <w:rPr>
          <w:rFonts w:ascii="Garamond" w:hAnsi="Garamond"/>
          <w:bCs/>
          <w:iCs/>
          <w:sz w:val="20"/>
          <w:szCs w:val="20"/>
        </w:rPr>
        <w:t xml:space="preserve"> These papers explain the roles and responsibilities, as well as data sharing guidelines. In order to swiftly distribute funds and eliminate bureaucratic obstacles, political will is essential. </w:t>
      </w:r>
      <w:r w:rsidRPr="00B0067E">
        <w:rPr>
          <w:rFonts w:ascii="Garamond" w:hAnsi="Garamond"/>
          <w:bCs/>
          <w:iCs/>
          <w:sz w:val="20"/>
          <w:szCs w:val="20"/>
          <w:vertAlign w:val="superscript"/>
        </w:rPr>
        <w:t>30, 43</w:t>
      </w:r>
      <w:r w:rsidRPr="00B0067E">
        <w:rPr>
          <w:rFonts w:ascii="Garamond" w:hAnsi="Garamond"/>
          <w:bCs/>
          <w:iCs/>
          <w:sz w:val="20"/>
          <w:szCs w:val="20"/>
        </w:rPr>
        <w:t xml:space="preserve"> According to research grounded in Swiss law </w:t>
      </w:r>
      <w:r w:rsidRPr="00B0067E">
        <w:rPr>
          <w:rFonts w:ascii="Garamond" w:hAnsi="Garamond"/>
          <w:bCs/>
          <w:iCs/>
          <w:sz w:val="20"/>
          <w:szCs w:val="20"/>
          <w:vertAlign w:val="superscript"/>
        </w:rPr>
        <w:t>39</w:t>
      </w:r>
      <w:r w:rsidRPr="00B0067E">
        <w:rPr>
          <w:rFonts w:ascii="Garamond" w:hAnsi="Garamond"/>
          <w:bCs/>
          <w:iCs/>
          <w:sz w:val="20"/>
          <w:szCs w:val="20"/>
        </w:rPr>
        <w:t>and South Korean statutes,</w:t>
      </w:r>
      <w:r w:rsidRPr="00B0067E">
        <w:rPr>
          <w:rFonts w:ascii="Garamond" w:hAnsi="Garamond"/>
          <w:bCs/>
          <w:iCs/>
          <w:sz w:val="20"/>
          <w:szCs w:val="20"/>
          <w:vertAlign w:val="superscript"/>
        </w:rPr>
        <w:t>30</w:t>
      </w:r>
      <w:r w:rsidRPr="00B0067E">
        <w:rPr>
          <w:rFonts w:ascii="Garamond" w:hAnsi="Garamond"/>
          <w:bCs/>
          <w:iCs/>
          <w:sz w:val="20"/>
          <w:szCs w:val="20"/>
        </w:rPr>
        <w:t xml:space="preserve"> collaborative efforts were necessary for national One Health projects. </w:t>
      </w:r>
      <w:r w:rsidRPr="00B0067E">
        <w:rPr>
          <w:rFonts w:ascii="Garamond" w:hAnsi="Garamond"/>
          <w:b/>
          <w:bCs/>
          <w:iCs/>
          <w:sz w:val="20"/>
          <w:szCs w:val="20"/>
        </w:rPr>
        <w:t>Barriers:</w:t>
      </w:r>
      <w:r w:rsidRPr="00B0067E">
        <w:rPr>
          <w:rFonts w:ascii="Garamond" w:hAnsi="Garamond"/>
          <w:bCs/>
          <w:iCs/>
          <w:sz w:val="20"/>
          <w:szCs w:val="20"/>
        </w:rPr>
        <w:t xml:space="preserve"> Systems that did not work right led to instability and territorial disputes during outbreaks. </w:t>
      </w:r>
      <w:r w:rsidRPr="00B0067E">
        <w:rPr>
          <w:rFonts w:ascii="Garamond" w:hAnsi="Garamond"/>
          <w:bCs/>
          <w:iCs/>
          <w:sz w:val="20"/>
          <w:szCs w:val="20"/>
          <w:vertAlign w:val="superscript"/>
        </w:rPr>
        <w:t>22,37</w:t>
      </w:r>
      <w:r w:rsidRPr="00B0067E">
        <w:rPr>
          <w:rFonts w:ascii="Garamond" w:hAnsi="Garamond"/>
          <w:bCs/>
          <w:iCs/>
          <w:sz w:val="20"/>
          <w:szCs w:val="20"/>
        </w:rPr>
        <w:t xml:space="preserve"> Low- and middle-income countries (I-MIC) often had to deal with laws that were specific to their industries and made it illegal to share data. </w:t>
      </w:r>
      <w:r w:rsidRPr="00B0067E">
        <w:rPr>
          <w:rFonts w:ascii="Garamond" w:hAnsi="Garamond"/>
          <w:bCs/>
          <w:iCs/>
          <w:sz w:val="20"/>
          <w:szCs w:val="20"/>
          <w:vertAlign w:val="superscript"/>
        </w:rPr>
        <w:t>23,29</w:t>
      </w:r>
      <w:r w:rsidRPr="00B0067E">
        <w:rPr>
          <w:rFonts w:ascii="Garamond" w:hAnsi="Garamond"/>
          <w:bCs/>
          <w:iCs/>
          <w:sz w:val="20"/>
          <w:szCs w:val="20"/>
        </w:rPr>
        <w:t xml:space="preserve"> Posing a major challenge is politically driven, short-lived funding cycles which also hamper the creation of long-term institutional memory and coordination systems.</w:t>
      </w:r>
      <w:r w:rsidRPr="00B0067E">
        <w:rPr>
          <w:rFonts w:ascii="Garamond" w:hAnsi="Garamond"/>
          <w:bCs/>
          <w:iCs/>
          <w:sz w:val="20"/>
          <w:szCs w:val="20"/>
          <w:vertAlign w:val="superscript"/>
        </w:rPr>
        <w:t>25, 42</w:t>
      </w:r>
      <w:r w:rsidRPr="00B0067E">
        <w:rPr>
          <w:rFonts w:ascii="Garamond" w:hAnsi="Garamond"/>
          <w:bCs/>
          <w:iCs/>
          <w:sz w:val="20"/>
          <w:szCs w:val="20"/>
        </w:rPr>
        <w:t xml:space="preserve">   </w:t>
      </w:r>
    </w:p>
    <w:p w14:paraId="50BD6310" w14:textId="77777777" w:rsidR="00183DC5" w:rsidRPr="002C3D1C"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ii. Institutional Capacity and Resources</w:t>
      </w:r>
      <w:r w:rsidRPr="00B0067E">
        <w:rPr>
          <w:rFonts w:ascii="Garamond" w:hAnsi="Garamond"/>
          <w:bCs/>
          <w:iCs/>
          <w:sz w:val="20"/>
          <w:szCs w:val="20"/>
        </w:rPr>
        <w:t xml:space="preserve">: This theme is evident in organizations that assist with coordination and encompasses both physical assets and personnel. </w:t>
      </w:r>
      <w:r w:rsidRPr="00B0067E">
        <w:rPr>
          <w:rFonts w:ascii="Garamond" w:hAnsi="Garamond"/>
          <w:bCs/>
          <w:iCs/>
          <w:sz w:val="20"/>
          <w:szCs w:val="20"/>
          <w:vertAlign w:val="superscript"/>
        </w:rPr>
        <w:t>2,3,16</w:t>
      </w:r>
      <w:r w:rsidRPr="00B0067E">
        <w:rPr>
          <w:rFonts w:ascii="Garamond" w:hAnsi="Garamond"/>
          <w:bCs/>
          <w:iCs/>
          <w:sz w:val="20"/>
          <w:szCs w:val="20"/>
        </w:rPr>
        <w:t xml:space="preserve"> </w:t>
      </w:r>
      <w:r w:rsidRPr="00B0067E">
        <w:rPr>
          <w:rFonts w:ascii="Garamond" w:hAnsi="Garamond"/>
          <w:b/>
          <w:bCs/>
          <w:iCs/>
          <w:sz w:val="20"/>
          <w:szCs w:val="20"/>
        </w:rPr>
        <w:t>Facilitators:</w:t>
      </w:r>
      <w:r w:rsidRPr="00B0067E">
        <w:rPr>
          <w:rFonts w:ascii="Garamond" w:hAnsi="Garamond"/>
          <w:bCs/>
          <w:iCs/>
          <w:sz w:val="20"/>
          <w:szCs w:val="20"/>
        </w:rPr>
        <w:t xml:space="preserve"> Accessible and sustained funding enables the establishment of joint training programs, the hiring of dedicated One Health coordination staff, and the development of integrated surveillance systems. </w:t>
      </w:r>
      <w:r w:rsidRPr="00B0067E">
        <w:rPr>
          <w:rFonts w:ascii="Garamond" w:hAnsi="Garamond"/>
          <w:bCs/>
          <w:iCs/>
          <w:sz w:val="20"/>
          <w:szCs w:val="20"/>
          <w:vertAlign w:val="superscript"/>
        </w:rPr>
        <w:t>34, 44</w:t>
      </w:r>
      <w:r w:rsidRPr="00B0067E">
        <w:rPr>
          <w:rFonts w:ascii="Garamond" w:hAnsi="Garamond"/>
          <w:bCs/>
          <w:iCs/>
          <w:sz w:val="20"/>
          <w:szCs w:val="20"/>
        </w:rPr>
        <w:t xml:space="preserve"> Numerous studies have highlighted the significance of having integrated data platforms that allow for the comprehensive analysis of both animal health data and human health data.</w:t>
      </w:r>
      <w:r w:rsidRPr="00B0067E">
        <w:rPr>
          <w:rFonts w:ascii="Garamond" w:hAnsi="Garamond"/>
          <w:bCs/>
          <w:iCs/>
          <w:sz w:val="20"/>
          <w:szCs w:val="20"/>
          <w:vertAlign w:val="superscript"/>
        </w:rPr>
        <w:t xml:space="preserve"> 26,44</w:t>
      </w:r>
      <w:r w:rsidRPr="00B0067E">
        <w:rPr>
          <w:rFonts w:ascii="Garamond" w:hAnsi="Garamond"/>
          <w:b/>
          <w:bCs/>
          <w:iCs/>
          <w:sz w:val="20"/>
          <w:szCs w:val="20"/>
        </w:rPr>
        <w:t>Barriers</w:t>
      </w:r>
      <w:r w:rsidRPr="00B0067E">
        <w:rPr>
          <w:rFonts w:ascii="Garamond" w:hAnsi="Garamond"/>
          <w:bCs/>
          <w:iCs/>
          <w:sz w:val="20"/>
          <w:szCs w:val="20"/>
        </w:rPr>
        <w:t xml:space="preserve">: A prevalent significant challenge, particularly in low- and middle-income countries (LMICs) </w:t>
      </w:r>
      <w:r w:rsidRPr="00B0067E">
        <w:rPr>
          <w:rFonts w:ascii="Garamond" w:hAnsi="Garamond"/>
          <w:bCs/>
          <w:iCs/>
          <w:sz w:val="20"/>
          <w:szCs w:val="20"/>
          <w:vertAlign w:val="superscript"/>
        </w:rPr>
        <w:t>22, 32</w:t>
      </w:r>
      <w:r w:rsidRPr="00B0067E">
        <w:rPr>
          <w:rFonts w:ascii="Garamond" w:hAnsi="Garamond"/>
          <w:bCs/>
          <w:iCs/>
          <w:sz w:val="20"/>
          <w:szCs w:val="20"/>
        </w:rPr>
        <w:t xml:space="preserve"> is a lack of resources. The animal health sector suffers from inadequate funding, insufficient personnel, and substandard facilities due to reliance on human health infrastructure.</w:t>
      </w:r>
      <w:r w:rsidRPr="00B0067E">
        <w:rPr>
          <w:rFonts w:ascii="Garamond" w:hAnsi="Garamond"/>
          <w:bCs/>
          <w:iCs/>
          <w:sz w:val="20"/>
          <w:szCs w:val="20"/>
          <w:vertAlign w:val="superscript"/>
        </w:rPr>
        <w:t xml:space="preserve"> 19,33</w:t>
      </w:r>
      <w:r w:rsidRPr="00B0067E">
        <w:rPr>
          <w:rFonts w:ascii="Garamond" w:hAnsi="Garamond"/>
          <w:bCs/>
          <w:iCs/>
          <w:sz w:val="20"/>
          <w:szCs w:val="20"/>
        </w:rPr>
        <w:t xml:space="preserve"> The </w:t>
      </w:r>
      <w:r w:rsidRPr="00B0067E">
        <w:rPr>
          <w:rFonts w:ascii="Garamond" w:hAnsi="Garamond"/>
          <w:bCs/>
          <w:iCs/>
          <w:sz w:val="20"/>
          <w:szCs w:val="20"/>
        </w:rPr>
        <w:t>exchange of real-time information is frequently hampered by technical incompatibilities between the data systems of the various agencies, which are not easily accessible online.</w:t>
      </w:r>
      <w:r w:rsidRPr="00B0067E">
        <w:rPr>
          <w:rFonts w:ascii="Garamond" w:hAnsi="Garamond"/>
          <w:bCs/>
          <w:iCs/>
          <w:sz w:val="20"/>
          <w:szCs w:val="20"/>
          <w:vertAlign w:val="superscript"/>
        </w:rPr>
        <w:t>23,36</w:t>
      </w:r>
      <w:r w:rsidRPr="00B0067E">
        <w:rPr>
          <w:rFonts w:ascii="Garamond" w:hAnsi="Garamond"/>
          <w:bCs/>
          <w:iCs/>
          <w:sz w:val="20"/>
          <w:szCs w:val="20"/>
        </w:rPr>
        <w:t>.</w:t>
      </w:r>
    </w:p>
    <w:p w14:paraId="0C8E2D97" w14:textId="77777777" w:rsidR="00183DC5" w:rsidRPr="00B0067E" w:rsidRDefault="00183DC5" w:rsidP="00183DC5">
      <w:pPr>
        <w:spacing w:line="259" w:lineRule="auto"/>
        <w:jc w:val="both"/>
        <w:rPr>
          <w:rFonts w:ascii="Garamond" w:hAnsi="Garamond"/>
          <w:b/>
          <w:bCs/>
          <w:iCs/>
          <w:sz w:val="20"/>
          <w:szCs w:val="20"/>
        </w:rPr>
      </w:pPr>
      <w:r w:rsidRPr="00B0067E">
        <w:rPr>
          <w:rFonts w:ascii="Garamond" w:hAnsi="Garamond"/>
          <w:b/>
          <w:bCs/>
          <w:iCs/>
          <w:sz w:val="20"/>
          <w:szCs w:val="20"/>
        </w:rPr>
        <w:t xml:space="preserve">iii. Social Dynamics and Professional Culture: </w:t>
      </w:r>
      <w:r w:rsidRPr="00B0067E">
        <w:rPr>
          <w:rFonts w:ascii="Garamond" w:hAnsi="Garamond"/>
          <w:bCs/>
          <w:iCs/>
          <w:sz w:val="20"/>
          <w:szCs w:val="20"/>
        </w:rPr>
        <w:t xml:space="preserve">Interpersonal dynamics, trust, and cultural norms all play a role in professional cultures and the work that people do. </w:t>
      </w:r>
      <w:r w:rsidRPr="00B0067E">
        <w:rPr>
          <w:rFonts w:ascii="Garamond" w:hAnsi="Garamond"/>
          <w:bCs/>
          <w:iCs/>
          <w:sz w:val="20"/>
          <w:szCs w:val="20"/>
          <w:vertAlign w:val="superscript"/>
        </w:rPr>
        <w:t>6.8</w:t>
      </w:r>
      <w:r w:rsidRPr="00B0067E">
        <w:rPr>
          <w:rFonts w:ascii="Garamond" w:hAnsi="Garamond"/>
          <w:bCs/>
          <w:iCs/>
          <w:sz w:val="20"/>
          <w:szCs w:val="20"/>
        </w:rPr>
        <w:t xml:space="preserve"> </w:t>
      </w:r>
      <w:r w:rsidRPr="00B0067E">
        <w:rPr>
          <w:rFonts w:ascii="Garamond" w:hAnsi="Garamond"/>
          <w:b/>
          <w:bCs/>
          <w:iCs/>
          <w:sz w:val="20"/>
          <w:szCs w:val="20"/>
        </w:rPr>
        <w:t>Facilitators:</w:t>
      </w:r>
      <w:r w:rsidRPr="00B0067E">
        <w:rPr>
          <w:rFonts w:ascii="Garamond" w:hAnsi="Garamond"/>
          <w:bCs/>
          <w:iCs/>
          <w:sz w:val="20"/>
          <w:szCs w:val="20"/>
        </w:rPr>
        <w:t xml:space="preserve"> states that a crucial lubricant for coordination is developing personal relationships and keeping trust with important people from different sectors. </w:t>
      </w:r>
      <w:r w:rsidRPr="00B0067E">
        <w:rPr>
          <w:rFonts w:ascii="Garamond" w:hAnsi="Garamond"/>
          <w:bCs/>
          <w:iCs/>
          <w:sz w:val="20"/>
          <w:szCs w:val="20"/>
          <w:vertAlign w:val="superscript"/>
        </w:rPr>
        <w:t>21,45</w:t>
      </w:r>
      <w:r w:rsidRPr="00B0067E">
        <w:rPr>
          <w:rFonts w:ascii="Garamond" w:hAnsi="Garamond"/>
          <w:bCs/>
          <w:iCs/>
          <w:sz w:val="20"/>
          <w:szCs w:val="20"/>
        </w:rPr>
        <w:t xml:space="preserve"> Informally, these relationships are formed through cross-agency training or in non-emergency settings that permit casual communication and problem-solving. To address the issues that arise when individuals, teams, or departments operate in isolation—the "silo mentality"—it is crucial to recognize that this behavior hampers communication, collaboration, and information exchange. Consequently, there is a need for collaborative academic programs and secondments that foster a cohesive professional culture by encouraging interdepartmental interactions and building relationships to break down the silo mentality.</w:t>
      </w:r>
      <w:r w:rsidRPr="00B0067E">
        <w:rPr>
          <w:rFonts w:ascii="Garamond" w:hAnsi="Garamond"/>
          <w:bCs/>
          <w:iCs/>
          <w:sz w:val="20"/>
          <w:szCs w:val="20"/>
          <w:vertAlign w:val="superscript"/>
        </w:rPr>
        <w:t xml:space="preserve"> 19,40</w:t>
      </w:r>
      <w:r w:rsidRPr="00B0067E">
        <w:rPr>
          <w:rFonts w:ascii="Garamond" w:hAnsi="Garamond"/>
          <w:bCs/>
          <w:iCs/>
          <w:sz w:val="20"/>
          <w:szCs w:val="20"/>
        </w:rPr>
        <w:t xml:space="preserve"> </w:t>
      </w:r>
      <w:r w:rsidRPr="00B0067E">
        <w:rPr>
          <w:rFonts w:ascii="Garamond" w:hAnsi="Garamond"/>
          <w:b/>
          <w:bCs/>
          <w:iCs/>
          <w:sz w:val="20"/>
          <w:szCs w:val="20"/>
        </w:rPr>
        <w:t>Barriers:</w:t>
      </w:r>
      <w:r w:rsidRPr="00B0067E">
        <w:rPr>
          <w:rFonts w:ascii="Garamond" w:hAnsi="Garamond"/>
          <w:bCs/>
          <w:iCs/>
          <w:sz w:val="20"/>
          <w:szCs w:val="20"/>
        </w:rPr>
        <w:t xml:space="preserve"> One significant issue is the strong hierarchies within the field, with marginalized voices from veterinary and environmental sciences, ultimately hindering collaboration and innovation across disciplines. A published report concluded that medicine is superior to veterinary and environmental sciences, which diminishes the value of these other fields.</w:t>
      </w:r>
      <w:r w:rsidRPr="00B0067E">
        <w:rPr>
          <w:rFonts w:ascii="Garamond" w:hAnsi="Garamond"/>
          <w:bCs/>
          <w:iCs/>
          <w:sz w:val="20"/>
          <w:szCs w:val="20"/>
          <w:vertAlign w:val="superscript"/>
        </w:rPr>
        <w:t>27,37</w:t>
      </w:r>
      <w:r w:rsidRPr="00B0067E">
        <w:rPr>
          <w:rFonts w:ascii="Garamond" w:hAnsi="Garamond"/>
          <w:bCs/>
          <w:iCs/>
          <w:sz w:val="20"/>
          <w:szCs w:val="20"/>
        </w:rPr>
        <w:t xml:space="preserve"> A significant factor contributing to the absence of transparent and swift information exchange is mistrust, arising from previous competition for funding and apprehensions regarding data misuse. </w:t>
      </w:r>
      <w:r w:rsidRPr="00B0067E">
        <w:rPr>
          <w:rFonts w:ascii="Garamond" w:hAnsi="Garamond"/>
          <w:bCs/>
          <w:iCs/>
          <w:sz w:val="20"/>
          <w:szCs w:val="20"/>
          <w:vertAlign w:val="superscript"/>
        </w:rPr>
        <w:t>29,45</w:t>
      </w:r>
      <w:r w:rsidRPr="00B0067E">
        <w:rPr>
          <w:rFonts w:ascii="Garamond" w:hAnsi="Garamond"/>
          <w:bCs/>
          <w:iCs/>
          <w:sz w:val="20"/>
          <w:szCs w:val="20"/>
        </w:rPr>
        <w:t xml:space="preserve"> The diverse array of professional jargons and communication styles exacerbates the pervasive confusion.</w:t>
      </w:r>
      <w:r w:rsidRPr="00B0067E">
        <w:rPr>
          <w:rFonts w:ascii="Garamond" w:hAnsi="Garamond"/>
          <w:bCs/>
          <w:iCs/>
          <w:sz w:val="20"/>
          <w:szCs w:val="20"/>
          <w:vertAlign w:val="superscript"/>
        </w:rPr>
        <w:t>3</w:t>
      </w:r>
    </w:p>
    <w:p w14:paraId="4577A5FD" w14:textId="77777777" w:rsidR="00183DC5" w:rsidRDefault="00183DC5" w:rsidP="00183DC5">
      <w:pPr>
        <w:spacing w:line="259" w:lineRule="auto"/>
        <w:jc w:val="both"/>
        <w:rPr>
          <w:rFonts w:ascii="Garamond" w:hAnsi="Garamond"/>
          <w:bCs/>
          <w:iCs/>
          <w:sz w:val="20"/>
          <w:szCs w:val="20"/>
          <w:vertAlign w:val="superscript"/>
        </w:rPr>
      </w:pPr>
      <w:r w:rsidRPr="00B0067E">
        <w:rPr>
          <w:rFonts w:ascii="Garamond" w:hAnsi="Garamond"/>
          <w:b/>
          <w:bCs/>
          <w:iCs/>
          <w:sz w:val="20"/>
          <w:szCs w:val="20"/>
        </w:rPr>
        <w:t>iv. Operational Coordination Mechanisms:</w:t>
      </w:r>
      <w:r w:rsidRPr="00B0067E">
        <w:rPr>
          <w:rFonts w:ascii="Garamond" w:hAnsi="Garamond"/>
          <w:bCs/>
          <w:iCs/>
          <w:sz w:val="20"/>
          <w:szCs w:val="20"/>
        </w:rPr>
        <w:t xml:space="preserve"> This topic concentrates on the operational and physical elements that enable collaborative activities. </w:t>
      </w:r>
      <w:r w:rsidRPr="00B0067E">
        <w:rPr>
          <w:rFonts w:ascii="Garamond" w:hAnsi="Garamond"/>
          <w:bCs/>
          <w:iCs/>
          <w:sz w:val="20"/>
          <w:szCs w:val="20"/>
          <w:vertAlign w:val="superscript"/>
        </w:rPr>
        <w:t>8, 13</w:t>
      </w:r>
      <w:r w:rsidRPr="00B0067E">
        <w:rPr>
          <w:rFonts w:ascii="Garamond" w:hAnsi="Garamond"/>
          <w:bCs/>
          <w:iCs/>
          <w:sz w:val="20"/>
          <w:szCs w:val="20"/>
        </w:rPr>
        <w:t xml:space="preserve"> </w:t>
      </w:r>
      <w:r w:rsidRPr="00B0067E">
        <w:rPr>
          <w:rFonts w:ascii="Garamond" w:hAnsi="Garamond"/>
          <w:b/>
          <w:bCs/>
          <w:iCs/>
          <w:sz w:val="20"/>
          <w:szCs w:val="20"/>
        </w:rPr>
        <w:t>Facilitators:</w:t>
      </w:r>
      <w:r w:rsidRPr="00B0067E">
        <w:rPr>
          <w:rFonts w:ascii="Garamond" w:hAnsi="Garamond"/>
          <w:bCs/>
          <w:iCs/>
          <w:sz w:val="20"/>
          <w:szCs w:val="20"/>
        </w:rPr>
        <w:t xml:space="preserve"> Establishing a joint outbreak operational center or task force with clear leadership facilitates communication and daily decision-making among individuals, either in person or online.</w:t>
      </w:r>
      <w:r w:rsidRPr="00B0067E">
        <w:rPr>
          <w:rFonts w:ascii="Garamond" w:hAnsi="Garamond"/>
          <w:bCs/>
          <w:iCs/>
          <w:sz w:val="20"/>
          <w:szCs w:val="20"/>
          <w:vertAlign w:val="superscript"/>
        </w:rPr>
        <w:t>20.41</w:t>
      </w:r>
      <w:r w:rsidRPr="00B0067E">
        <w:rPr>
          <w:rFonts w:ascii="Garamond" w:hAnsi="Garamond"/>
          <w:bCs/>
          <w:iCs/>
          <w:sz w:val="20"/>
          <w:szCs w:val="20"/>
        </w:rPr>
        <w:t xml:space="preserve">There are a lot </w:t>
      </w:r>
      <w:r w:rsidRPr="00B0067E">
        <w:rPr>
          <w:rFonts w:ascii="Garamond" w:hAnsi="Garamond"/>
          <w:bCs/>
          <w:iCs/>
          <w:sz w:val="20"/>
          <w:szCs w:val="20"/>
        </w:rPr>
        <w:lastRenderedPageBreak/>
        <w:t>of mentions of regular joint simulation exercises, which are an important way for teams to work together well, check their protocols, and make connections before doing something real.</w:t>
      </w:r>
      <w:r w:rsidRPr="00B0067E">
        <w:rPr>
          <w:rFonts w:ascii="Garamond" w:hAnsi="Garamond"/>
          <w:bCs/>
          <w:iCs/>
          <w:sz w:val="20"/>
          <w:szCs w:val="20"/>
          <w:vertAlign w:val="superscript"/>
        </w:rPr>
        <w:t>39,43</w:t>
      </w:r>
      <w:r w:rsidRPr="00B0067E">
        <w:rPr>
          <w:rFonts w:ascii="Garamond" w:hAnsi="Garamond"/>
          <w:bCs/>
          <w:iCs/>
          <w:sz w:val="20"/>
          <w:szCs w:val="20"/>
        </w:rPr>
        <w:t xml:space="preserve"> In their paper, </w:t>
      </w:r>
      <w:proofErr w:type="spellStart"/>
      <w:r w:rsidRPr="00B0067E">
        <w:rPr>
          <w:rFonts w:ascii="Garamond" w:hAnsi="Garamond"/>
          <w:bCs/>
          <w:iCs/>
          <w:sz w:val="20"/>
          <w:szCs w:val="20"/>
        </w:rPr>
        <w:t>Wiethoelter</w:t>
      </w:r>
      <w:proofErr w:type="spellEnd"/>
      <w:r w:rsidRPr="00B0067E">
        <w:rPr>
          <w:rFonts w:ascii="Garamond" w:hAnsi="Garamond"/>
          <w:bCs/>
          <w:iCs/>
          <w:sz w:val="20"/>
          <w:szCs w:val="20"/>
        </w:rPr>
        <w:t xml:space="preserve"> et al. (2025)</w:t>
      </w:r>
      <w:r w:rsidRPr="00B0067E">
        <w:rPr>
          <w:rFonts w:ascii="Garamond" w:hAnsi="Garamond"/>
          <w:bCs/>
          <w:iCs/>
          <w:sz w:val="20"/>
          <w:szCs w:val="20"/>
          <w:vertAlign w:val="superscript"/>
        </w:rPr>
        <w:t>45</w:t>
      </w:r>
      <w:r w:rsidRPr="00B0067E">
        <w:rPr>
          <w:rFonts w:ascii="Garamond" w:hAnsi="Garamond"/>
          <w:bCs/>
          <w:iCs/>
          <w:sz w:val="20"/>
          <w:szCs w:val="20"/>
        </w:rPr>
        <w:t xml:space="preserve"> reported about how important it is to create and use standard operating procedures for collaborative responses.</w:t>
      </w:r>
      <w:r w:rsidRPr="00B0067E">
        <w:rPr>
          <w:rFonts w:ascii="Garamond" w:hAnsi="Garamond"/>
          <w:b/>
          <w:bCs/>
          <w:iCs/>
          <w:sz w:val="20"/>
          <w:szCs w:val="20"/>
        </w:rPr>
        <w:t xml:space="preserve"> Barriers:</w:t>
      </w:r>
      <w:r w:rsidRPr="00B0067E">
        <w:rPr>
          <w:rFonts w:ascii="Garamond" w:hAnsi="Garamond"/>
          <w:bCs/>
          <w:iCs/>
          <w:sz w:val="20"/>
          <w:szCs w:val="20"/>
        </w:rPr>
        <w:t xml:space="preserve"> The absence of clearly defined operational plans leads to responses that are unpredictable and reactive.</w:t>
      </w:r>
      <w:r w:rsidRPr="00B0067E">
        <w:rPr>
          <w:rFonts w:ascii="Garamond" w:hAnsi="Garamond"/>
          <w:bCs/>
          <w:iCs/>
          <w:sz w:val="20"/>
          <w:szCs w:val="20"/>
          <w:vertAlign w:val="superscript"/>
        </w:rPr>
        <w:t>22,36</w:t>
      </w:r>
      <w:r w:rsidRPr="00B0067E">
        <w:rPr>
          <w:rFonts w:ascii="Garamond" w:hAnsi="Garamond"/>
          <w:bCs/>
          <w:iCs/>
          <w:sz w:val="20"/>
          <w:szCs w:val="20"/>
        </w:rPr>
        <w:t xml:space="preserve"> Joint task forces with unclear goals are often set up on an ad-hoc basis, which leads to wasted time and gaps in the response.</w:t>
      </w:r>
      <w:r w:rsidRPr="00B0067E">
        <w:rPr>
          <w:rFonts w:ascii="Garamond" w:hAnsi="Garamond"/>
          <w:bCs/>
          <w:iCs/>
          <w:sz w:val="20"/>
          <w:szCs w:val="20"/>
          <w:vertAlign w:val="superscript"/>
        </w:rPr>
        <w:t>31,37</w:t>
      </w:r>
      <w:r w:rsidRPr="00B0067E">
        <w:rPr>
          <w:rFonts w:ascii="Garamond" w:hAnsi="Garamond"/>
          <w:bCs/>
          <w:iCs/>
          <w:sz w:val="20"/>
          <w:szCs w:val="20"/>
        </w:rPr>
        <w:t xml:space="preserve"> Unclear leadership in the multisectoral response leads to paralysis in decision-making.</w:t>
      </w:r>
      <w:r w:rsidRPr="00B0067E">
        <w:rPr>
          <w:rFonts w:ascii="Garamond" w:hAnsi="Garamond"/>
          <w:bCs/>
          <w:iCs/>
          <w:sz w:val="20"/>
          <w:szCs w:val="20"/>
          <w:vertAlign w:val="superscript"/>
        </w:rPr>
        <w:t>19</w:t>
      </w:r>
    </w:p>
    <w:p w14:paraId="375B6CB0" w14:textId="77777777" w:rsidR="00183DC5" w:rsidRDefault="00183DC5" w:rsidP="00183DC5">
      <w:pPr>
        <w:spacing w:line="259" w:lineRule="auto"/>
        <w:jc w:val="both"/>
        <w:rPr>
          <w:rFonts w:ascii="Garamond" w:hAnsi="Garamond"/>
          <w:bCs/>
          <w:iCs/>
          <w:sz w:val="20"/>
          <w:szCs w:val="20"/>
          <w:vertAlign w:val="superscript"/>
        </w:rPr>
      </w:pPr>
    </w:p>
    <w:p w14:paraId="0039DC55" w14:textId="77777777" w:rsidR="00183DC5" w:rsidRPr="002C3D1C" w:rsidRDefault="00183DC5" w:rsidP="00183DC5">
      <w:pPr>
        <w:spacing w:line="259" w:lineRule="auto"/>
        <w:jc w:val="both"/>
        <w:rPr>
          <w:rFonts w:ascii="Garamond" w:hAnsi="Garamond"/>
          <w:b/>
          <w:bCs/>
          <w:iCs/>
          <w:sz w:val="22"/>
          <w:szCs w:val="22"/>
        </w:rPr>
      </w:pPr>
      <w:r w:rsidRPr="002C3D1C">
        <w:rPr>
          <w:rFonts w:ascii="Garamond" w:hAnsi="Garamond"/>
          <w:b/>
          <w:bCs/>
          <w:iCs/>
          <w:sz w:val="22"/>
          <w:szCs w:val="22"/>
        </w:rPr>
        <w:t>DISCUSSION</w:t>
      </w:r>
    </w:p>
    <w:p w14:paraId="46C65264" w14:textId="77777777" w:rsidR="00183DC5" w:rsidRPr="002C3D1C" w:rsidRDefault="00183DC5" w:rsidP="00183DC5">
      <w:pPr>
        <w:spacing w:line="259" w:lineRule="auto"/>
        <w:jc w:val="both"/>
        <w:rPr>
          <w:rFonts w:ascii="Garamond" w:hAnsi="Garamond"/>
          <w:bCs/>
          <w:iCs/>
          <w:sz w:val="20"/>
          <w:szCs w:val="20"/>
        </w:rPr>
      </w:pPr>
      <w:r w:rsidRPr="00B0067E">
        <w:rPr>
          <w:rFonts w:ascii="Garamond" w:hAnsi="Garamond"/>
          <w:bCs/>
          <w:iCs/>
          <w:sz w:val="20"/>
          <w:szCs w:val="20"/>
        </w:rPr>
        <w:t xml:space="preserve">This systematic review offers a thorough framework for comprehending the social and institutional factors that affect multisectoral coordination in One Health outbreak responses. Our analysis demonstrate that success can be achieved through the interaction of four fundamental domains: </w:t>
      </w:r>
      <w:r w:rsidRPr="00B0067E">
        <w:rPr>
          <w:rFonts w:ascii="Garamond" w:hAnsi="Garamond"/>
          <w:b/>
          <w:bCs/>
          <w:iCs/>
          <w:sz w:val="20"/>
          <w:szCs w:val="20"/>
        </w:rPr>
        <w:t>governance, resources, culture, and operations</w:t>
      </w:r>
      <w:r w:rsidRPr="00B0067E">
        <w:rPr>
          <w:rFonts w:ascii="Garamond" w:hAnsi="Garamond"/>
          <w:bCs/>
          <w:iCs/>
          <w:sz w:val="20"/>
          <w:szCs w:val="20"/>
        </w:rPr>
        <w:t>.</w:t>
      </w:r>
      <w:r w:rsidRPr="00B0067E">
        <w:rPr>
          <w:rFonts w:ascii="Garamond" w:hAnsi="Garamond"/>
          <w:bCs/>
          <w:iCs/>
          <w:sz w:val="20"/>
          <w:szCs w:val="20"/>
          <w:vertAlign w:val="superscript"/>
        </w:rPr>
        <w:t xml:space="preserve">5 </w:t>
      </w:r>
      <w:r w:rsidRPr="00B0067E">
        <w:rPr>
          <w:rFonts w:ascii="Garamond" w:hAnsi="Garamond"/>
          <w:bCs/>
          <w:iCs/>
          <w:sz w:val="20"/>
          <w:szCs w:val="20"/>
        </w:rPr>
        <w:t>The findings indicate that One Health encompasses not only scientific and technical dimensions but also significant social and political factors. Governance and policy are essential to the efficacy of the “whole-of-government strategy” for safeguarding global health.</w:t>
      </w:r>
      <w:r w:rsidRPr="00B0067E">
        <w:rPr>
          <w:rFonts w:ascii="Garamond" w:hAnsi="Garamond"/>
          <w:bCs/>
          <w:iCs/>
          <w:sz w:val="20"/>
          <w:szCs w:val="20"/>
          <w:vertAlign w:val="superscript"/>
        </w:rPr>
        <w:t>47</w:t>
      </w:r>
      <w:r w:rsidRPr="00B0067E">
        <w:rPr>
          <w:rFonts w:ascii="Garamond" w:hAnsi="Garamond"/>
          <w:bCs/>
          <w:iCs/>
          <w:sz w:val="20"/>
          <w:szCs w:val="20"/>
        </w:rPr>
        <w:t xml:space="preserve"> Bottom-up collaboration initiatives frequently lack strength and sustainability without top-down mandates and legal frameworks, which are essential for ensuring sufficient funding and coordination across all sectors, including veterinary and environmental, to effectively promote human health. Although institutional capacity is essential, deficiencies persist in the fundamental "hardware." Insufficient funding in both the veterinary and environmental sectors undermines the overall efficacy of the approach, leading to inadequate resources for implementing necessary programs and initiatives that support human health and environmental sustainability.</w:t>
      </w:r>
      <w:r w:rsidRPr="00B0067E">
        <w:rPr>
          <w:rFonts w:ascii="Garamond" w:hAnsi="Garamond"/>
          <w:bCs/>
          <w:iCs/>
          <w:sz w:val="20"/>
          <w:szCs w:val="20"/>
          <w:vertAlign w:val="superscript"/>
        </w:rPr>
        <w:t>5,8,11</w:t>
      </w:r>
    </w:p>
    <w:p w14:paraId="415391EF"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Social dynamics and professional culture:</w:t>
      </w:r>
      <w:r w:rsidRPr="00B0067E">
        <w:rPr>
          <w:rFonts w:ascii="Garamond" w:hAnsi="Garamond"/>
          <w:bCs/>
          <w:iCs/>
          <w:sz w:val="20"/>
          <w:szCs w:val="20"/>
        </w:rPr>
        <w:t xml:space="preserve"> are the key themes that reveal the "human software" of coordination. Professional silos, mistrust and hierarchy are deeply ingrained in the system; it cannot be resolved by policy alone. This is because their approach involves intentional relationship-building, joint training, and the development of a One Health identity. In the end, these operational mechanisms are what translate policy and goodwill into action. Joint exercises and Standard Operating Procedures (SOPs) are frequently </w:t>
      </w:r>
      <w:r w:rsidRPr="00B0067E">
        <w:rPr>
          <w:rFonts w:ascii="Garamond" w:hAnsi="Garamond"/>
          <w:bCs/>
          <w:iCs/>
          <w:sz w:val="20"/>
          <w:szCs w:val="20"/>
        </w:rPr>
        <w:t xml:space="preserve">emphasized, suggesting that coordination is a skill that must be acquired and maintained. </w:t>
      </w:r>
    </w:p>
    <w:p w14:paraId="3E124A40" w14:textId="77777777" w:rsidR="00183DC5" w:rsidRPr="00B0067E" w:rsidRDefault="00183DC5" w:rsidP="00183DC5">
      <w:pPr>
        <w:spacing w:line="259" w:lineRule="auto"/>
        <w:jc w:val="both"/>
        <w:rPr>
          <w:rFonts w:ascii="Garamond" w:hAnsi="Garamond"/>
          <w:b/>
          <w:bCs/>
          <w:iCs/>
          <w:sz w:val="20"/>
          <w:szCs w:val="20"/>
        </w:rPr>
      </w:pPr>
      <w:r w:rsidRPr="00B0067E">
        <w:rPr>
          <w:rFonts w:ascii="Garamond" w:hAnsi="Garamond"/>
          <w:b/>
          <w:bCs/>
          <w:iCs/>
          <w:sz w:val="20"/>
          <w:szCs w:val="20"/>
        </w:rPr>
        <w:t>Implications for Policy and Practice:</w:t>
      </w:r>
      <w:r w:rsidRPr="00B0067E">
        <w:rPr>
          <w:rFonts w:ascii="Garamond" w:hAnsi="Garamond"/>
          <w:bCs/>
          <w:iCs/>
          <w:sz w:val="20"/>
          <w:szCs w:val="20"/>
        </w:rPr>
        <w:t xml:space="preserve"> This review has direct implications for strengthening One Health capacities at both national and subnational levels: </w:t>
      </w:r>
    </w:p>
    <w:p w14:paraId="5EB75D94" w14:textId="77777777" w:rsidR="00183DC5" w:rsidRPr="00B0067E" w:rsidRDefault="00183DC5" w:rsidP="00183DC5">
      <w:pPr>
        <w:spacing w:line="259" w:lineRule="auto"/>
        <w:jc w:val="both"/>
        <w:rPr>
          <w:rFonts w:ascii="Garamond" w:hAnsi="Garamond"/>
          <w:bCs/>
          <w:iCs/>
          <w:sz w:val="20"/>
          <w:szCs w:val="20"/>
        </w:rPr>
      </w:pPr>
      <w:proofErr w:type="spellStart"/>
      <w:r w:rsidRPr="00B0067E">
        <w:rPr>
          <w:rFonts w:ascii="Garamond" w:hAnsi="Garamond"/>
          <w:b/>
          <w:bCs/>
          <w:iCs/>
          <w:sz w:val="20"/>
          <w:szCs w:val="20"/>
        </w:rPr>
        <w:t>i</w:t>
      </w:r>
      <w:proofErr w:type="spellEnd"/>
      <w:r w:rsidRPr="00B0067E">
        <w:rPr>
          <w:rFonts w:ascii="Garamond" w:hAnsi="Garamond"/>
          <w:b/>
          <w:bCs/>
          <w:iCs/>
          <w:sz w:val="20"/>
          <w:szCs w:val="20"/>
        </w:rPr>
        <w:t>. For policymakers:</w:t>
      </w:r>
      <w:r w:rsidRPr="00B0067E">
        <w:rPr>
          <w:rFonts w:ascii="Garamond" w:hAnsi="Garamond"/>
          <w:bCs/>
          <w:iCs/>
          <w:sz w:val="20"/>
          <w:szCs w:val="20"/>
        </w:rPr>
        <w:t xml:space="preserve"> It is imperative for policymakers to move beyond a rhetorical commitment to One Health and adopt practical, legally binding national policies. These must include requirements for data sharing, funding streams for joint activities and the establishment of permanent multisectoral coordinating bodies (e.g., National or Subnational One Health Agency). </w:t>
      </w:r>
      <w:r w:rsidRPr="00B0067E">
        <w:rPr>
          <w:rFonts w:ascii="Garamond" w:hAnsi="Garamond"/>
          <w:bCs/>
          <w:iCs/>
          <w:sz w:val="20"/>
          <w:szCs w:val="20"/>
          <w:vertAlign w:val="superscript"/>
        </w:rPr>
        <w:t>10,11,13</w:t>
      </w:r>
      <w:r w:rsidRPr="00B0067E">
        <w:rPr>
          <w:rFonts w:ascii="Garamond" w:hAnsi="Garamond"/>
          <w:bCs/>
          <w:iCs/>
          <w:sz w:val="20"/>
          <w:szCs w:val="20"/>
        </w:rPr>
        <w:t xml:space="preserve"> </w:t>
      </w:r>
    </w:p>
    <w:p w14:paraId="3B8DD8EC"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ii. For Practitioners, including ministries and agencies:</w:t>
      </w:r>
      <w:r w:rsidRPr="00B0067E">
        <w:rPr>
          <w:rFonts w:ascii="Garamond" w:hAnsi="Garamond"/>
          <w:bCs/>
          <w:iCs/>
          <w:sz w:val="20"/>
          <w:szCs w:val="20"/>
        </w:rPr>
        <w:t xml:space="preserve"> are required to build social capital through secondments, joint trainings, and inter-agency workshops. Additionally, incorporating regular multisectoral simulation exercises into the budget is mandatory.</w:t>
      </w:r>
      <w:r w:rsidRPr="00B0067E">
        <w:rPr>
          <w:rFonts w:ascii="Garamond" w:hAnsi="Garamond"/>
          <w:bCs/>
          <w:iCs/>
          <w:sz w:val="20"/>
          <w:szCs w:val="20"/>
          <w:vertAlign w:val="superscript"/>
        </w:rPr>
        <w:t>8,9,15</w:t>
      </w:r>
    </w:p>
    <w:p w14:paraId="4BC7ADA0"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iii. For Funders and International Partners:</w:t>
      </w:r>
      <w:r w:rsidRPr="00B0067E">
        <w:rPr>
          <w:rFonts w:ascii="Garamond" w:hAnsi="Garamond"/>
          <w:bCs/>
          <w:iCs/>
          <w:sz w:val="20"/>
          <w:szCs w:val="20"/>
        </w:rPr>
        <w:t xml:space="preserve"> To effectively support long-term, integrated programs rather than focusing on disease-specific vertical projects, it is necessary to change the current funding distribution methods to focus on enhancing the weakest connections, particularly in the animal and environmental health sectors, thus developing interoperable data systems. </w:t>
      </w:r>
      <w:r w:rsidRPr="00B0067E">
        <w:rPr>
          <w:rFonts w:ascii="Garamond" w:hAnsi="Garamond"/>
          <w:bCs/>
          <w:iCs/>
          <w:sz w:val="20"/>
          <w:szCs w:val="20"/>
          <w:vertAlign w:val="superscript"/>
        </w:rPr>
        <w:t>3,4,16</w:t>
      </w:r>
      <w:r w:rsidRPr="00B0067E">
        <w:rPr>
          <w:rFonts w:ascii="Garamond" w:hAnsi="Garamond"/>
          <w:bCs/>
          <w:iCs/>
          <w:sz w:val="20"/>
          <w:szCs w:val="20"/>
        </w:rPr>
        <w:t xml:space="preserve"> </w:t>
      </w:r>
    </w:p>
    <w:p w14:paraId="465CAF70"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Recommendations for how to work together across sectors during a One Health outbreak:</w:t>
      </w:r>
      <w:r w:rsidRPr="00B0067E">
        <w:rPr>
          <w:rFonts w:ascii="Garamond" w:hAnsi="Garamond"/>
          <w:bCs/>
          <w:iCs/>
          <w:sz w:val="20"/>
          <w:szCs w:val="20"/>
        </w:rPr>
        <w:t xml:space="preserve"> Based on the evidence we found in the review; we suggest the following practical steps:</w:t>
      </w:r>
    </w:p>
    <w:p w14:paraId="6CC32D22" w14:textId="77777777" w:rsidR="00183DC5" w:rsidRPr="00B0067E" w:rsidRDefault="00183DC5" w:rsidP="00183DC5">
      <w:pPr>
        <w:spacing w:line="259" w:lineRule="auto"/>
        <w:jc w:val="both"/>
        <w:rPr>
          <w:rFonts w:ascii="Garamond" w:hAnsi="Garamond"/>
          <w:bCs/>
          <w:iCs/>
          <w:sz w:val="20"/>
          <w:szCs w:val="20"/>
        </w:rPr>
      </w:pPr>
      <w:proofErr w:type="spellStart"/>
      <w:r w:rsidRPr="00B0067E">
        <w:rPr>
          <w:rFonts w:ascii="Garamond" w:hAnsi="Garamond"/>
          <w:b/>
          <w:bCs/>
          <w:iCs/>
          <w:sz w:val="20"/>
          <w:szCs w:val="20"/>
        </w:rPr>
        <w:t>i</w:t>
      </w:r>
      <w:proofErr w:type="spellEnd"/>
      <w:r w:rsidRPr="00B0067E">
        <w:rPr>
          <w:rFonts w:ascii="Garamond" w:hAnsi="Garamond"/>
          <w:b/>
          <w:bCs/>
          <w:iCs/>
          <w:sz w:val="20"/>
          <w:szCs w:val="20"/>
        </w:rPr>
        <w:t>. Setting-up legal frameworks:</w:t>
      </w:r>
      <w:r w:rsidRPr="00B0067E">
        <w:rPr>
          <w:rFonts w:ascii="Garamond" w:hAnsi="Garamond"/>
          <w:bCs/>
          <w:iCs/>
          <w:sz w:val="20"/>
          <w:szCs w:val="20"/>
        </w:rPr>
        <w:t xml:space="preserve"> by establishing national One Health laws or agreements defining duties, roles, and data-sharing procedures for human, animal, and environmental health.</w:t>
      </w:r>
    </w:p>
    <w:p w14:paraId="16A75C34"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ii. Setting aside funds for long-term projects:</w:t>
      </w:r>
      <w:r w:rsidRPr="00B0067E">
        <w:rPr>
          <w:rFonts w:ascii="Garamond" w:hAnsi="Garamond"/>
          <w:bCs/>
          <w:iCs/>
          <w:sz w:val="20"/>
          <w:szCs w:val="20"/>
        </w:rPr>
        <w:t xml:space="preserve"> For initiatives that span various sectors, including employees, joint surveillance, and regular simulation exercises, it is necessary to establish separate budget lines.</w:t>
      </w:r>
    </w:p>
    <w:p w14:paraId="2D88EB1E"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iii. Institutionalize Joint Operations:</w:t>
      </w:r>
      <w:r w:rsidRPr="00B0067E">
        <w:rPr>
          <w:rFonts w:ascii="Garamond" w:hAnsi="Garamond"/>
          <w:bCs/>
          <w:iCs/>
          <w:sz w:val="20"/>
          <w:szCs w:val="20"/>
        </w:rPr>
        <w:t xml:space="preserve"> To be activated during both regular surveillance and outbreaks, as well as development of fixed multisectoral coordination centers or task forces with defined goals.</w:t>
      </w:r>
    </w:p>
    <w:p w14:paraId="78B0A886"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iv. Investment in the "Software":</w:t>
      </w:r>
      <w:r w:rsidRPr="00B0067E">
        <w:rPr>
          <w:rFonts w:ascii="Garamond" w:hAnsi="Garamond"/>
          <w:bCs/>
          <w:iCs/>
          <w:sz w:val="20"/>
          <w:szCs w:val="20"/>
        </w:rPr>
        <w:t xml:space="preserve"> When it comes to purchasing software, priority should be given to projects that encourage trust and eliminate professional silos. The following are examples of such programs: professional exchange programs, team-building </w:t>
      </w:r>
      <w:r w:rsidRPr="00B0067E">
        <w:rPr>
          <w:rFonts w:ascii="Garamond" w:hAnsi="Garamond"/>
          <w:bCs/>
          <w:iCs/>
          <w:sz w:val="20"/>
          <w:szCs w:val="20"/>
        </w:rPr>
        <w:lastRenderedPageBreak/>
        <w:t xml:space="preserve">exercises, and academic initiatives that involve collaboration. </w:t>
      </w:r>
    </w:p>
    <w:p w14:paraId="2C3E1996"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v. The Development of Interoperable Systems:</w:t>
      </w:r>
      <w:r w:rsidRPr="00B0067E">
        <w:rPr>
          <w:rFonts w:ascii="Garamond" w:hAnsi="Garamond"/>
          <w:bCs/>
          <w:iCs/>
          <w:sz w:val="20"/>
          <w:szCs w:val="20"/>
        </w:rPr>
        <w:t xml:space="preserve"> It is crucial to promote the creation of integrated data platforms that are both functional and accessible across all pertinent domains from the outset.</w:t>
      </w:r>
    </w:p>
    <w:p w14:paraId="65686189"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Cs/>
          <w:iCs/>
          <w:sz w:val="20"/>
          <w:szCs w:val="20"/>
        </w:rPr>
        <w:t>vi. Practice, Practice, and More Practice: To fortify partnerships, it is crucial to implement consistent multisectoral simulation exercises that eliminate barriers to coordination and evaluation strategies.</w:t>
      </w:r>
    </w:p>
    <w:p w14:paraId="7072C0FF"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Study Limitations:</w:t>
      </w:r>
      <w:r w:rsidRPr="00B0067E">
        <w:rPr>
          <w:rFonts w:ascii="Garamond" w:hAnsi="Garamond"/>
          <w:bCs/>
          <w:iCs/>
          <w:sz w:val="20"/>
          <w:szCs w:val="20"/>
        </w:rPr>
        <w:t xml:space="preserve"> This review is subject to several constraints. First, the literature search was limited to English-language articles, which may have resulted in the exclusion of significant studies from countries that do not speak English. The lack of contributions from upper-middle income countries with the majority of studies from </w:t>
      </w:r>
      <w:proofErr w:type="spellStart"/>
      <w:r w:rsidRPr="00B0067E">
        <w:rPr>
          <w:rFonts w:ascii="Garamond" w:hAnsi="Garamond"/>
          <w:bCs/>
          <w:iCs/>
          <w:sz w:val="20"/>
          <w:szCs w:val="20"/>
        </w:rPr>
        <w:t>LMlCs</w:t>
      </w:r>
      <w:proofErr w:type="spellEnd"/>
      <w:r w:rsidRPr="00B0067E">
        <w:rPr>
          <w:rFonts w:ascii="Garamond" w:hAnsi="Garamond"/>
          <w:bCs/>
          <w:iCs/>
          <w:sz w:val="20"/>
          <w:szCs w:val="20"/>
        </w:rPr>
        <w:t xml:space="preserve"> and HIC's limited generalization of findings. Qualitative studies were often lacking in detailed descriptions of their analytical processes, leading to differences in methodological quality among the included studies. Furthermore, the review of published literature has a bias that increases the likelihood of publishing successful coordination initiatives over unsuccessful ones. </w:t>
      </w:r>
    </w:p>
    <w:p w14:paraId="7D62FCFB" w14:textId="77777777" w:rsidR="00183DC5" w:rsidRDefault="00183DC5" w:rsidP="00183DC5">
      <w:pPr>
        <w:spacing w:line="259" w:lineRule="auto"/>
        <w:jc w:val="both"/>
        <w:rPr>
          <w:rFonts w:ascii="Garamond" w:hAnsi="Garamond"/>
          <w:bCs/>
          <w:iCs/>
          <w:sz w:val="20"/>
          <w:szCs w:val="20"/>
        </w:rPr>
      </w:pPr>
      <w:r w:rsidRPr="00B0067E">
        <w:rPr>
          <w:rFonts w:ascii="Garamond" w:hAnsi="Garamond"/>
          <w:b/>
          <w:bCs/>
          <w:iCs/>
          <w:sz w:val="20"/>
          <w:szCs w:val="20"/>
        </w:rPr>
        <w:t>Future Research Directions:</w:t>
      </w:r>
      <w:r w:rsidRPr="00B0067E">
        <w:rPr>
          <w:rFonts w:ascii="Garamond" w:hAnsi="Garamond"/>
          <w:bCs/>
          <w:iCs/>
          <w:sz w:val="20"/>
          <w:szCs w:val="20"/>
        </w:rPr>
        <w:t xml:space="preserve"> Future studies must rectify the shortcomings highlighted in this survey. We require additional quantitative research to ascertain how specific coordination measures influence the outcome of an outbreak, including the duration of containment and the mortality rate. Longitudinal studies are crucial for understanding the development of social capital and trust over time within multidisciplinary teams. More research is also needed from places that aren't well represented, like Latin America and the Middle East. Also, it's important to look into the role that non-state actors, such as NGOs and business partners, play in the One Health coordination framework, as they can significantly influence health outcomes and collaborative efforts across different sectors.</w:t>
      </w:r>
    </w:p>
    <w:p w14:paraId="59901D3F" w14:textId="77777777" w:rsidR="00183DC5" w:rsidRPr="00B0067E" w:rsidRDefault="00183DC5" w:rsidP="00183DC5">
      <w:pPr>
        <w:spacing w:line="259" w:lineRule="auto"/>
        <w:jc w:val="both"/>
        <w:rPr>
          <w:rFonts w:ascii="Garamond" w:hAnsi="Garamond"/>
          <w:bCs/>
          <w:iCs/>
          <w:sz w:val="20"/>
          <w:szCs w:val="20"/>
        </w:rPr>
      </w:pPr>
    </w:p>
    <w:p w14:paraId="08BEE1AB" w14:textId="77777777" w:rsidR="00183DC5" w:rsidRPr="002C3D1C" w:rsidRDefault="00183DC5" w:rsidP="00183DC5">
      <w:pPr>
        <w:spacing w:line="259" w:lineRule="auto"/>
        <w:jc w:val="both"/>
        <w:rPr>
          <w:rFonts w:ascii="Garamond" w:hAnsi="Garamond"/>
          <w:bCs/>
          <w:iCs/>
          <w:sz w:val="22"/>
          <w:szCs w:val="22"/>
        </w:rPr>
      </w:pPr>
      <w:r w:rsidRPr="002C3D1C">
        <w:rPr>
          <w:rFonts w:ascii="Garamond" w:hAnsi="Garamond"/>
          <w:b/>
          <w:bCs/>
          <w:iCs/>
          <w:sz w:val="22"/>
          <w:szCs w:val="22"/>
        </w:rPr>
        <w:t>CONCLUSION</w:t>
      </w:r>
    </w:p>
    <w:p w14:paraId="1DE40031" w14:textId="77777777" w:rsidR="00183DC5" w:rsidRPr="00B0067E" w:rsidRDefault="00183DC5" w:rsidP="00183DC5">
      <w:pPr>
        <w:spacing w:line="259" w:lineRule="auto"/>
        <w:jc w:val="both"/>
        <w:rPr>
          <w:rFonts w:ascii="Garamond" w:hAnsi="Garamond"/>
          <w:bCs/>
          <w:iCs/>
          <w:sz w:val="20"/>
          <w:szCs w:val="20"/>
        </w:rPr>
      </w:pPr>
      <w:r w:rsidRPr="00B0067E">
        <w:rPr>
          <w:rFonts w:ascii="Garamond" w:hAnsi="Garamond"/>
          <w:bCs/>
          <w:iCs/>
          <w:sz w:val="20"/>
          <w:szCs w:val="20"/>
        </w:rPr>
        <w:t xml:space="preserve">Effective multisectoral coordination is the basis of a successful One Health strategy and an important part of global health security. A complicated web of institutional and social factors that have been described in this in-depth review will decide whether it succeeds or fails. Strong coordination cannot be left to chance or personal kindness, as the research makes abundantly obvious. It needs to be carefully planned, legal, sustainably funded, </w:t>
      </w:r>
      <w:r w:rsidRPr="00B0067E">
        <w:rPr>
          <w:rFonts w:ascii="Garamond" w:hAnsi="Garamond"/>
          <w:bCs/>
          <w:iCs/>
          <w:sz w:val="20"/>
          <w:szCs w:val="20"/>
        </w:rPr>
        <w:t>and consistently carried out. Nations can create the robust and cooperative institutions required to meet the health concerns of the Anthropocene (geological era of human-dominated Earth) by tackling the governance, capacity, cultural, and operational constraints noted in this analysis.</w:t>
      </w:r>
    </w:p>
    <w:p w14:paraId="4EE80B93" w14:textId="77777777" w:rsidR="00183DC5" w:rsidRDefault="00183DC5" w:rsidP="00183DC5">
      <w:pPr>
        <w:spacing w:line="259" w:lineRule="auto"/>
        <w:jc w:val="both"/>
        <w:rPr>
          <w:rFonts w:ascii="Garamond" w:hAnsi="Garamond"/>
          <w:b/>
          <w:bCs/>
          <w:iCs/>
          <w:sz w:val="20"/>
          <w:szCs w:val="20"/>
        </w:rPr>
      </w:pPr>
    </w:p>
    <w:p w14:paraId="3710F3F3" w14:textId="77777777" w:rsidR="00183DC5" w:rsidRPr="00B0067E" w:rsidRDefault="00183DC5" w:rsidP="00183DC5">
      <w:pPr>
        <w:spacing w:line="259" w:lineRule="auto"/>
        <w:jc w:val="both"/>
        <w:rPr>
          <w:rFonts w:ascii="Garamond" w:hAnsi="Garamond"/>
          <w:b/>
          <w:bCs/>
          <w:iCs/>
          <w:sz w:val="20"/>
          <w:szCs w:val="20"/>
        </w:rPr>
      </w:pPr>
      <w:r w:rsidRPr="00B0067E">
        <w:rPr>
          <w:rFonts w:ascii="Garamond" w:hAnsi="Garamond"/>
          <w:b/>
          <w:bCs/>
          <w:iCs/>
          <w:sz w:val="20"/>
          <w:szCs w:val="20"/>
        </w:rPr>
        <w:t>Abbreviations</w:t>
      </w:r>
    </w:p>
    <w:p w14:paraId="206B7A2F"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CASP</w:t>
      </w:r>
      <w:r w:rsidRPr="00B0067E">
        <w:rPr>
          <w:rFonts w:ascii="Garamond" w:hAnsi="Garamond"/>
          <w:bCs/>
          <w:iCs/>
          <w:sz w:val="20"/>
          <w:szCs w:val="20"/>
        </w:rPr>
        <w:t xml:space="preserve"> – Critical Appraisal Skills Program checklist</w:t>
      </w:r>
    </w:p>
    <w:p w14:paraId="563B2CCC"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CIMIC</w:t>
      </w:r>
      <w:r w:rsidRPr="00B0067E">
        <w:rPr>
          <w:rFonts w:ascii="Garamond" w:hAnsi="Garamond"/>
          <w:bCs/>
          <w:iCs/>
          <w:sz w:val="20"/>
          <w:szCs w:val="20"/>
        </w:rPr>
        <w:t xml:space="preserve"> – Civil-Military Cooperation, commonly used in humanitarian/security settings</w:t>
      </w:r>
    </w:p>
    <w:p w14:paraId="37327224"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FAO</w:t>
      </w:r>
      <w:r w:rsidRPr="00B0067E">
        <w:rPr>
          <w:rFonts w:ascii="Garamond" w:hAnsi="Garamond"/>
          <w:bCs/>
          <w:iCs/>
          <w:sz w:val="20"/>
          <w:szCs w:val="20"/>
        </w:rPr>
        <w:t xml:space="preserve"> – Food and Agriculture Organization</w:t>
      </w:r>
    </w:p>
    <w:p w14:paraId="2551955D"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HIC</w:t>
      </w:r>
      <w:r w:rsidRPr="00B0067E">
        <w:rPr>
          <w:rFonts w:ascii="Garamond" w:hAnsi="Garamond"/>
          <w:bCs/>
          <w:iCs/>
          <w:sz w:val="20"/>
          <w:szCs w:val="20"/>
        </w:rPr>
        <w:t xml:space="preserve"> – High-Income Country</w:t>
      </w:r>
    </w:p>
    <w:p w14:paraId="45DBD2CC"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HICs</w:t>
      </w:r>
      <w:r w:rsidRPr="00B0067E">
        <w:rPr>
          <w:rFonts w:ascii="Garamond" w:hAnsi="Garamond"/>
          <w:bCs/>
          <w:iCs/>
          <w:sz w:val="20"/>
          <w:szCs w:val="20"/>
        </w:rPr>
        <w:t xml:space="preserve"> – High-Income Countries</w:t>
      </w:r>
    </w:p>
    <w:p w14:paraId="1D32B6ED"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ID</w:t>
      </w:r>
      <w:r w:rsidRPr="00B0067E">
        <w:rPr>
          <w:rFonts w:ascii="Garamond" w:hAnsi="Garamond"/>
          <w:bCs/>
          <w:iCs/>
          <w:sz w:val="20"/>
          <w:szCs w:val="20"/>
        </w:rPr>
        <w:t xml:space="preserve"> – Infectious Disease or identifier</w:t>
      </w:r>
    </w:p>
    <w:p w14:paraId="3DA05B45"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I-JMIC</w:t>
      </w:r>
      <w:r w:rsidRPr="00B0067E">
        <w:rPr>
          <w:rFonts w:ascii="Garamond" w:hAnsi="Garamond"/>
          <w:bCs/>
          <w:iCs/>
          <w:sz w:val="20"/>
          <w:szCs w:val="20"/>
        </w:rPr>
        <w:t xml:space="preserve"> – International Joint Middle-Income Country</w:t>
      </w:r>
    </w:p>
    <w:p w14:paraId="4BDA303F"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L-MIC / I-MIC</w:t>
      </w:r>
      <w:r w:rsidRPr="00B0067E">
        <w:rPr>
          <w:rFonts w:ascii="Garamond" w:hAnsi="Garamond"/>
          <w:bCs/>
          <w:iCs/>
          <w:sz w:val="20"/>
          <w:szCs w:val="20"/>
        </w:rPr>
        <w:t xml:space="preserve"> – Lower-Middle-Income Country</w:t>
      </w:r>
    </w:p>
    <w:p w14:paraId="0C79B3FC"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LIC</w:t>
      </w:r>
      <w:r w:rsidRPr="00B0067E">
        <w:rPr>
          <w:rFonts w:ascii="Garamond" w:hAnsi="Garamond"/>
          <w:bCs/>
          <w:iCs/>
          <w:sz w:val="20"/>
          <w:szCs w:val="20"/>
        </w:rPr>
        <w:t xml:space="preserve"> – Low-Income Country</w:t>
      </w:r>
    </w:p>
    <w:p w14:paraId="33FA8EE2"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LMIC</w:t>
      </w:r>
      <w:r w:rsidRPr="00B0067E">
        <w:rPr>
          <w:rFonts w:ascii="Garamond" w:hAnsi="Garamond"/>
          <w:bCs/>
          <w:iCs/>
          <w:sz w:val="20"/>
          <w:szCs w:val="20"/>
        </w:rPr>
        <w:t xml:space="preserve"> – Low- and Middle-Income Country; a broad category that combines LIC, Lower- Middle-Income, and Upper-Middle-Income Countries</w:t>
      </w:r>
    </w:p>
    <w:p w14:paraId="2E4840C1"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proofErr w:type="spellStart"/>
      <w:r w:rsidRPr="00B0067E">
        <w:rPr>
          <w:rFonts w:ascii="Garamond" w:hAnsi="Garamond"/>
          <w:b/>
          <w:bCs/>
          <w:iCs/>
          <w:sz w:val="20"/>
          <w:szCs w:val="20"/>
        </w:rPr>
        <w:t>MeSH</w:t>
      </w:r>
      <w:proofErr w:type="spellEnd"/>
      <w:r w:rsidRPr="00B0067E">
        <w:rPr>
          <w:rFonts w:ascii="Garamond" w:hAnsi="Garamond"/>
          <w:bCs/>
          <w:iCs/>
          <w:sz w:val="20"/>
          <w:szCs w:val="20"/>
        </w:rPr>
        <w:t xml:space="preserve"> – Medical Subject Headings; a standardized set of terms used to index and search biomedical literature in databases such as PubMed</w:t>
      </w:r>
    </w:p>
    <w:p w14:paraId="24E8FEFC"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MoU</w:t>
      </w:r>
      <w:r w:rsidRPr="00B0067E">
        <w:rPr>
          <w:rFonts w:ascii="Garamond" w:hAnsi="Garamond"/>
          <w:bCs/>
          <w:iCs/>
          <w:sz w:val="20"/>
          <w:szCs w:val="20"/>
        </w:rPr>
        <w:t xml:space="preserve"> – Memorandum of Understanding</w:t>
      </w:r>
    </w:p>
    <w:p w14:paraId="198ADF58"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NGOs</w:t>
      </w:r>
      <w:r w:rsidRPr="00B0067E">
        <w:rPr>
          <w:rFonts w:ascii="Garamond" w:hAnsi="Garamond"/>
          <w:bCs/>
          <w:iCs/>
          <w:sz w:val="20"/>
          <w:szCs w:val="20"/>
        </w:rPr>
        <w:t xml:space="preserve"> – Non-Governmental Organizations</w:t>
      </w:r>
    </w:p>
    <w:p w14:paraId="7FA6E59E"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OH</w:t>
      </w:r>
      <w:r w:rsidRPr="00B0067E">
        <w:rPr>
          <w:rFonts w:ascii="Garamond" w:hAnsi="Garamond"/>
          <w:bCs/>
          <w:iCs/>
          <w:sz w:val="20"/>
          <w:szCs w:val="20"/>
        </w:rPr>
        <w:t xml:space="preserve"> – One Health</w:t>
      </w:r>
    </w:p>
    <w:p w14:paraId="40C3D682"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PICOS</w:t>
      </w:r>
      <w:r w:rsidRPr="00B0067E">
        <w:rPr>
          <w:rFonts w:ascii="Garamond" w:hAnsi="Garamond"/>
          <w:bCs/>
          <w:iCs/>
          <w:sz w:val="20"/>
          <w:szCs w:val="20"/>
        </w:rPr>
        <w:t xml:space="preserve"> – Population, Intervention, Comparison, Outcome, Study design</w:t>
      </w:r>
    </w:p>
    <w:p w14:paraId="340919A9"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PROSPERO</w:t>
      </w:r>
      <w:r w:rsidRPr="00B0067E">
        <w:rPr>
          <w:rFonts w:ascii="Garamond" w:hAnsi="Garamond"/>
          <w:bCs/>
          <w:iCs/>
          <w:sz w:val="20"/>
          <w:szCs w:val="20"/>
        </w:rPr>
        <w:t xml:space="preserve"> – International Prospective Register of Systematic Reviews</w:t>
      </w:r>
    </w:p>
    <w:p w14:paraId="5C2A3977"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PRISMA</w:t>
      </w:r>
      <w:r w:rsidRPr="00B0067E">
        <w:rPr>
          <w:rFonts w:ascii="Garamond" w:hAnsi="Garamond"/>
          <w:bCs/>
          <w:iCs/>
          <w:sz w:val="20"/>
          <w:szCs w:val="20"/>
        </w:rPr>
        <w:t xml:space="preserve"> – Preferred Reporting Items for Systematic Reviews and Meta-Analyses</w:t>
      </w:r>
    </w:p>
    <w:p w14:paraId="5AEB7899"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S01–S28</w:t>
      </w:r>
      <w:r w:rsidRPr="00B0067E">
        <w:rPr>
          <w:rFonts w:ascii="Garamond" w:hAnsi="Garamond"/>
          <w:bCs/>
          <w:iCs/>
          <w:sz w:val="20"/>
          <w:szCs w:val="20"/>
        </w:rPr>
        <w:t xml:space="preserve"> – Coded Identification Numbers (Table 2)</w:t>
      </w:r>
    </w:p>
    <w:p w14:paraId="167E74C7"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SOPs</w:t>
      </w:r>
      <w:r w:rsidRPr="00B0067E">
        <w:rPr>
          <w:rFonts w:ascii="Garamond" w:hAnsi="Garamond"/>
          <w:bCs/>
          <w:iCs/>
          <w:sz w:val="20"/>
          <w:szCs w:val="20"/>
        </w:rPr>
        <w:t xml:space="preserve"> – Standard Operating Procedures</w:t>
      </w:r>
    </w:p>
    <w:p w14:paraId="0C52BF0D"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UMIC</w:t>
      </w:r>
      <w:r w:rsidRPr="00B0067E">
        <w:rPr>
          <w:rFonts w:ascii="Garamond" w:hAnsi="Garamond"/>
          <w:bCs/>
          <w:iCs/>
          <w:sz w:val="20"/>
          <w:szCs w:val="20"/>
        </w:rPr>
        <w:t xml:space="preserve"> – Upper-Middle-Income Country</w:t>
      </w:r>
    </w:p>
    <w:p w14:paraId="5D781782"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WOAH</w:t>
      </w:r>
      <w:r w:rsidRPr="00B0067E">
        <w:rPr>
          <w:rFonts w:ascii="Garamond" w:hAnsi="Garamond"/>
          <w:bCs/>
          <w:iCs/>
          <w:sz w:val="20"/>
          <w:szCs w:val="20"/>
        </w:rPr>
        <w:t xml:space="preserve"> – World Organization for Animal Health</w:t>
      </w:r>
    </w:p>
    <w:p w14:paraId="632AC27F" w14:textId="77777777" w:rsidR="00183DC5" w:rsidRPr="00B0067E" w:rsidRDefault="00183DC5" w:rsidP="00183DC5">
      <w:pPr>
        <w:numPr>
          <w:ilvl w:val="0"/>
          <w:numId w:val="27"/>
        </w:numPr>
        <w:tabs>
          <w:tab w:val="clear" w:pos="720"/>
          <w:tab w:val="num" w:pos="567"/>
        </w:tabs>
        <w:spacing w:line="259" w:lineRule="auto"/>
        <w:ind w:left="426"/>
        <w:jc w:val="both"/>
        <w:rPr>
          <w:rFonts w:ascii="Garamond" w:hAnsi="Garamond"/>
          <w:bCs/>
          <w:iCs/>
          <w:sz w:val="20"/>
          <w:szCs w:val="20"/>
        </w:rPr>
      </w:pPr>
      <w:r w:rsidRPr="00B0067E">
        <w:rPr>
          <w:rFonts w:ascii="Garamond" w:hAnsi="Garamond"/>
          <w:b/>
          <w:bCs/>
          <w:iCs/>
          <w:sz w:val="20"/>
          <w:szCs w:val="20"/>
        </w:rPr>
        <w:t>WHO</w:t>
      </w:r>
      <w:r w:rsidRPr="00B0067E">
        <w:rPr>
          <w:rFonts w:ascii="Garamond" w:hAnsi="Garamond"/>
          <w:bCs/>
          <w:iCs/>
          <w:sz w:val="20"/>
          <w:szCs w:val="20"/>
        </w:rPr>
        <w:t xml:space="preserve"> – World Health Organization</w:t>
      </w:r>
    </w:p>
    <w:p w14:paraId="7A746E08" w14:textId="77777777" w:rsidR="00183DC5" w:rsidRDefault="00183DC5" w:rsidP="00183DC5">
      <w:pPr>
        <w:spacing w:line="259" w:lineRule="auto"/>
        <w:jc w:val="both"/>
        <w:rPr>
          <w:rFonts w:ascii="Garamond" w:hAnsi="Garamond"/>
          <w:b/>
          <w:bCs/>
          <w:iCs/>
          <w:sz w:val="20"/>
          <w:szCs w:val="20"/>
        </w:rPr>
      </w:pPr>
      <w:r>
        <w:rPr>
          <w:rFonts w:ascii="Garamond" w:hAnsi="Garamond"/>
          <w:b/>
          <w:bCs/>
          <w:iCs/>
          <w:sz w:val="20"/>
          <w:szCs w:val="20"/>
        </w:rPr>
        <w:t>Declarations</w:t>
      </w:r>
    </w:p>
    <w:p w14:paraId="5FAE1853" w14:textId="21AE48EA" w:rsidR="00183DC5" w:rsidRPr="00FD38DC" w:rsidRDefault="00183DC5" w:rsidP="00FD38DC">
      <w:pPr>
        <w:jc w:val="both"/>
        <w:rPr>
          <w:rFonts w:ascii="Garamond" w:hAnsi="Garamond"/>
          <w:b/>
          <w:bCs/>
          <w:iCs/>
          <w:sz w:val="20"/>
          <w:szCs w:val="20"/>
        </w:rPr>
      </w:pPr>
      <w:r w:rsidRPr="00FD38DC">
        <w:rPr>
          <w:rFonts w:ascii="Garamond" w:hAnsi="Garamond"/>
          <w:b/>
          <w:bCs/>
          <w:i/>
          <w:sz w:val="20"/>
          <w:szCs w:val="20"/>
        </w:rPr>
        <w:t>Conflict of interests:</w:t>
      </w:r>
      <w:r w:rsidRPr="00FD38DC">
        <w:rPr>
          <w:rFonts w:ascii="Garamond" w:hAnsi="Garamond"/>
          <w:b/>
          <w:bCs/>
          <w:iCs/>
          <w:sz w:val="20"/>
          <w:szCs w:val="20"/>
        </w:rPr>
        <w:t xml:space="preserve"> </w:t>
      </w:r>
      <w:r w:rsidR="00FD38DC" w:rsidRPr="00FD38DC">
        <w:rPr>
          <w:rFonts w:ascii="Garamond" w:hAnsi="Garamond"/>
          <w:iCs/>
          <w:sz w:val="20"/>
          <w:szCs w:val="20"/>
        </w:rPr>
        <w:t>None</w:t>
      </w:r>
    </w:p>
    <w:p w14:paraId="34E805E3" w14:textId="380E3A68" w:rsidR="00183DC5" w:rsidRPr="00FD38DC" w:rsidRDefault="00183DC5" w:rsidP="00FD38DC">
      <w:pPr>
        <w:rPr>
          <w:rFonts w:ascii="Garamond" w:hAnsi="Garamond"/>
          <w:iCs/>
          <w:sz w:val="20"/>
          <w:szCs w:val="20"/>
        </w:rPr>
      </w:pPr>
      <w:r w:rsidRPr="00FD38DC">
        <w:rPr>
          <w:rFonts w:ascii="Garamond" w:hAnsi="Garamond"/>
          <w:b/>
          <w:bCs/>
          <w:i/>
          <w:sz w:val="20"/>
          <w:szCs w:val="20"/>
        </w:rPr>
        <w:t>Acknowledgemen</w:t>
      </w:r>
      <w:r w:rsidRPr="00034A05">
        <w:rPr>
          <w:rFonts w:ascii="Garamond" w:hAnsi="Garamond"/>
          <w:b/>
          <w:bCs/>
          <w:i/>
          <w:sz w:val="20"/>
          <w:szCs w:val="20"/>
        </w:rPr>
        <w:t>t:</w:t>
      </w:r>
      <w:r w:rsidR="00FD38DC" w:rsidRPr="00FD38DC">
        <w:rPr>
          <w:rFonts w:ascii="Garamond" w:hAnsi="Garamond"/>
          <w:b/>
          <w:bCs/>
          <w:iCs/>
          <w:sz w:val="20"/>
          <w:szCs w:val="20"/>
        </w:rPr>
        <w:t xml:space="preserve"> </w:t>
      </w:r>
      <w:proofErr w:type="gramStart"/>
      <w:r w:rsidR="00FD38DC" w:rsidRPr="00FD38DC">
        <w:rPr>
          <w:rFonts w:ascii="Garamond" w:hAnsi="Garamond"/>
          <w:iCs/>
          <w:sz w:val="20"/>
          <w:szCs w:val="20"/>
        </w:rPr>
        <w:t>The  authors</w:t>
      </w:r>
      <w:proofErr w:type="gramEnd"/>
      <w:r w:rsidR="00FD38DC" w:rsidRPr="00FD38DC">
        <w:rPr>
          <w:rFonts w:ascii="Garamond" w:hAnsi="Garamond"/>
          <w:iCs/>
          <w:sz w:val="20"/>
          <w:szCs w:val="20"/>
        </w:rPr>
        <w:t xml:space="preserve">  </w:t>
      </w:r>
      <w:proofErr w:type="gramStart"/>
      <w:r w:rsidR="00FD38DC" w:rsidRPr="00FD38DC">
        <w:rPr>
          <w:rFonts w:ascii="Garamond" w:hAnsi="Garamond"/>
          <w:iCs/>
          <w:sz w:val="20"/>
          <w:szCs w:val="20"/>
        </w:rPr>
        <w:t>appreciate  ABU,  Zaria</w:t>
      </w:r>
      <w:proofErr w:type="gramEnd"/>
      <w:r w:rsidR="00FD38DC" w:rsidRPr="00FD38DC">
        <w:rPr>
          <w:rFonts w:ascii="Garamond" w:hAnsi="Garamond"/>
          <w:iCs/>
          <w:sz w:val="20"/>
          <w:szCs w:val="20"/>
        </w:rPr>
        <w:t xml:space="preserve">, </w:t>
      </w:r>
      <w:proofErr w:type="gramStart"/>
      <w:r w:rsidR="00FD38DC" w:rsidRPr="00FD38DC">
        <w:rPr>
          <w:rFonts w:ascii="Garamond" w:hAnsi="Garamond"/>
          <w:iCs/>
          <w:sz w:val="20"/>
          <w:szCs w:val="20"/>
        </w:rPr>
        <w:t>Nigeria,  for</w:t>
      </w:r>
      <w:proofErr w:type="gramEnd"/>
      <w:r w:rsidR="00FD38DC" w:rsidRPr="00FD38DC">
        <w:rPr>
          <w:rFonts w:ascii="Garamond" w:hAnsi="Garamond"/>
          <w:iCs/>
          <w:sz w:val="20"/>
          <w:szCs w:val="20"/>
        </w:rPr>
        <w:t xml:space="preserve">  their </w:t>
      </w:r>
      <w:proofErr w:type="gramStart"/>
      <w:r w:rsidR="00FD38DC" w:rsidRPr="00FD38DC">
        <w:rPr>
          <w:rFonts w:ascii="Garamond" w:hAnsi="Garamond"/>
          <w:iCs/>
          <w:sz w:val="20"/>
          <w:szCs w:val="20"/>
        </w:rPr>
        <w:t>academic  support</w:t>
      </w:r>
      <w:proofErr w:type="gramEnd"/>
      <w:r w:rsidR="00FD38DC" w:rsidRPr="00FD38DC">
        <w:rPr>
          <w:rFonts w:ascii="Garamond" w:hAnsi="Garamond"/>
          <w:iCs/>
          <w:sz w:val="20"/>
          <w:szCs w:val="20"/>
        </w:rPr>
        <w:t xml:space="preserve"> </w:t>
      </w:r>
      <w:proofErr w:type="gramStart"/>
      <w:r w:rsidR="00FD38DC" w:rsidRPr="00FD38DC">
        <w:rPr>
          <w:rFonts w:ascii="Garamond" w:hAnsi="Garamond"/>
          <w:iCs/>
          <w:sz w:val="20"/>
          <w:szCs w:val="20"/>
        </w:rPr>
        <w:t>for  this</w:t>
      </w:r>
      <w:proofErr w:type="gramEnd"/>
      <w:r w:rsidR="00FD38DC" w:rsidRPr="00FD38DC">
        <w:rPr>
          <w:rFonts w:ascii="Garamond" w:hAnsi="Garamond"/>
          <w:iCs/>
          <w:sz w:val="20"/>
          <w:szCs w:val="20"/>
        </w:rPr>
        <w:t xml:space="preserve">  research.  We particularly thank our department, faculty and colleagues for </w:t>
      </w:r>
      <w:proofErr w:type="gramStart"/>
      <w:r w:rsidR="00FD38DC" w:rsidRPr="00FD38DC">
        <w:rPr>
          <w:rFonts w:ascii="Garamond" w:hAnsi="Garamond"/>
          <w:iCs/>
          <w:sz w:val="20"/>
          <w:szCs w:val="20"/>
        </w:rPr>
        <w:t>their  guidance</w:t>
      </w:r>
      <w:proofErr w:type="gramEnd"/>
      <w:r w:rsidR="00FD38DC" w:rsidRPr="00FD38DC">
        <w:rPr>
          <w:rFonts w:ascii="Garamond" w:hAnsi="Garamond"/>
          <w:iCs/>
          <w:sz w:val="20"/>
          <w:szCs w:val="20"/>
        </w:rPr>
        <w:t xml:space="preserve">  </w:t>
      </w:r>
      <w:proofErr w:type="gramStart"/>
      <w:r w:rsidR="00FD38DC" w:rsidRPr="00FD38DC">
        <w:rPr>
          <w:rFonts w:ascii="Garamond" w:hAnsi="Garamond"/>
          <w:iCs/>
          <w:sz w:val="20"/>
          <w:szCs w:val="20"/>
        </w:rPr>
        <w:t xml:space="preserve">and  feedback,  </w:t>
      </w:r>
      <w:r w:rsidR="00FD38DC" w:rsidRPr="00FD38DC">
        <w:rPr>
          <w:rFonts w:ascii="Garamond" w:hAnsi="Garamond"/>
          <w:iCs/>
          <w:sz w:val="20"/>
          <w:szCs w:val="20"/>
        </w:rPr>
        <w:lastRenderedPageBreak/>
        <w:t>which</w:t>
      </w:r>
      <w:proofErr w:type="gramEnd"/>
      <w:r w:rsidR="00FD38DC" w:rsidRPr="00FD38DC">
        <w:rPr>
          <w:rFonts w:ascii="Garamond" w:hAnsi="Garamond"/>
          <w:iCs/>
          <w:sz w:val="20"/>
          <w:szCs w:val="20"/>
        </w:rPr>
        <w:t xml:space="preserve">  </w:t>
      </w:r>
      <w:proofErr w:type="gramStart"/>
      <w:r w:rsidR="00FD38DC" w:rsidRPr="00FD38DC">
        <w:rPr>
          <w:rFonts w:ascii="Garamond" w:hAnsi="Garamond"/>
          <w:iCs/>
          <w:sz w:val="20"/>
          <w:szCs w:val="20"/>
        </w:rPr>
        <w:t>greatly  improved</w:t>
      </w:r>
      <w:proofErr w:type="gramEnd"/>
      <w:r w:rsidR="00FD38DC" w:rsidRPr="00FD38DC">
        <w:rPr>
          <w:rFonts w:ascii="Garamond" w:hAnsi="Garamond"/>
          <w:iCs/>
          <w:sz w:val="20"/>
          <w:szCs w:val="20"/>
        </w:rPr>
        <w:t xml:space="preserve">  this </w:t>
      </w:r>
      <w:proofErr w:type="gramStart"/>
      <w:r w:rsidR="00FD38DC" w:rsidRPr="00FD38DC">
        <w:rPr>
          <w:rFonts w:ascii="Garamond" w:hAnsi="Garamond"/>
          <w:iCs/>
          <w:sz w:val="20"/>
          <w:szCs w:val="20"/>
        </w:rPr>
        <w:t>systematic  review</w:t>
      </w:r>
      <w:proofErr w:type="gramEnd"/>
      <w:r w:rsidR="00FD38DC" w:rsidRPr="00FD38DC">
        <w:rPr>
          <w:rFonts w:ascii="Garamond" w:hAnsi="Garamond"/>
          <w:iCs/>
          <w:sz w:val="20"/>
          <w:szCs w:val="20"/>
        </w:rPr>
        <w:t xml:space="preserve">  </w:t>
      </w:r>
      <w:proofErr w:type="gramStart"/>
      <w:r w:rsidR="00FD38DC" w:rsidRPr="00FD38DC">
        <w:rPr>
          <w:rFonts w:ascii="Garamond" w:hAnsi="Garamond"/>
          <w:iCs/>
          <w:sz w:val="20"/>
          <w:szCs w:val="20"/>
        </w:rPr>
        <w:t>on  One</w:t>
      </w:r>
      <w:proofErr w:type="gramEnd"/>
      <w:r w:rsidR="00FD38DC" w:rsidRPr="00FD38DC">
        <w:rPr>
          <w:rFonts w:ascii="Garamond" w:hAnsi="Garamond"/>
          <w:iCs/>
          <w:sz w:val="20"/>
          <w:szCs w:val="20"/>
        </w:rPr>
        <w:t xml:space="preserve">  </w:t>
      </w:r>
      <w:proofErr w:type="gramStart"/>
      <w:r w:rsidR="00FD38DC" w:rsidRPr="00FD38DC">
        <w:rPr>
          <w:rFonts w:ascii="Garamond" w:hAnsi="Garamond"/>
          <w:iCs/>
          <w:sz w:val="20"/>
          <w:szCs w:val="20"/>
        </w:rPr>
        <w:t>Health  and</w:t>
      </w:r>
      <w:proofErr w:type="gramEnd"/>
      <w:r w:rsidR="00FD38DC" w:rsidRPr="00FD38DC">
        <w:rPr>
          <w:rFonts w:ascii="Garamond" w:hAnsi="Garamond"/>
          <w:iCs/>
          <w:sz w:val="20"/>
          <w:szCs w:val="20"/>
        </w:rPr>
        <w:t xml:space="preserve">  multisectoral collaboration.</w:t>
      </w:r>
    </w:p>
    <w:p w14:paraId="5BE6B696" w14:textId="77777777" w:rsidR="00FD38DC" w:rsidRPr="00FD38DC" w:rsidRDefault="00183DC5" w:rsidP="00FD38DC">
      <w:pPr>
        <w:jc w:val="both"/>
        <w:rPr>
          <w:rFonts w:ascii="Garamond" w:hAnsi="Garamond" w:cs="Times New Roman"/>
          <w:sz w:val="20"/>
          <w:szCs w:val="20"/>
        </w:rPr>
      </w:pPr>
      <w:r w:rsidRPr="00FD38DC">
        <w:rPr>
          <w:rFonts w:ascii="Garamond" w:hAnsi="Garamond"/>
          <w:b/>
          <w:bCs/>
          <w:i/>
          <w:sz w:val="20"/>
          <w:szCs w:val="20"/>
        </w:rPr>
        <w:t>Funding:</w:t>
      </w:r>
      <w:r w:rsidRPr="00FD38DC">
        <w:rPr>
          <w:rFonts w:ascii="Garamond" w:hAnsi="Garamond"/>
          <w:b/>
          <w:bCs/>
          <w:iCs/>
          <w:sz w:val="20"/>
          <w:szCs w:val="20"/>
        </w:rPr>
        <w:t xml:space="preserve"> </w:t>
      </w:r>
      <w:r w:rsidR="00FD38DC" w:rsidRPr="00FD38DC">
        <w:rPr>
          <w:rFonts w:ascii="Garamond" w:hAnsi="Garamond" w:cs="Times New Roman"/>
          <w:sz w:val="20"/>
          <w:szCs w:val="20"/>
        </w:rPr>
        <w:t xml:space="preserve">This </w:t>
      </w:r>
      <w:proofErr w:type="gramStart"/>
      <w:r w:rsidR="00FD38DC" w:rsidRPr="00FD38DC">
        <w:rPr>
          <w:rFonts w:ascii="Garamond" w:hAnsi="Garamond" w:cs="Times New Roman"/>
          <w:sz w:val="20"/>
          <w:szCs w:val="20"/>
        </w:rPr>
        <w:t>research  did</w:t>
      </w:r>
      <w:proofErr w:type="gramEnd"/>
      <w:r w:rsidR="00FD38DC" w:rsidRPr="00FD38DC">
        <w:rPr>
          <w:rFonts w:ascii="Garamond" w:hAnsi="Garamond" w:cs="Times New Roman"/>
          <w:sz w:val="20"/>
          <w:szCs w:val="20"/>
        </w:rPr>
        <w:t xml:space="preserve"> not </w:t>
      </w:r>
      <w:proofErr w:type="gramStart"/>
      <w:r w:rsidR="00FD38DC" w:rsidRPr="00FD38DC">
        <w:rPr>
          <w:rFonts w:ascii="Garamond" w:hAnsi="Garamond" w:cs="Times New Roman"/>
          <w:sz w:val="20"/>
          <w:szCs w:val="20"/>
        </w:rPr>
        <w:t>receive  any</w:t>
      </w:r>
      <w:proofErr w:type="gramEnd"/>
      <w:r w:rsidR="00FD38DC" w:rsidRPr="00FD38DC">
        <w:rPr>
          <w:rFonts w:ascii="Garamond" w:hAnsi="Garamond" w:cs="Times New Roman"/>
          <w:sz w:val="20"/>
          <w:szCs w:val="20"/>
        </w:rPr>
        <w:t xml:space="preserve"> </w:t>
      </w:r>
      <w:proofErr w:type="gramStart"/>
      <w:r w:rsidR="00FD38DC" w:rsidRPr="00FD38DC">
        <w:rPr>
          <w:rFonts w:ascii="Garamond" w:hAnsi="Garamond" w:cs="Times New Roman"/>
          <w:sz w:val="20"/>
          <w:szCs w:val="20"/>
        </w:rPr>
        <w:t>specific  grant</w:t>
      </w:r>
      <w:proofErr w:type="gramEnd"/>
      <w:r w:rsidR="00FD38DC" w:rsidRPr="00FD38DC">
        <w:rPr>
          <w:rFonts w:ascii="Garamond" w:hAnsi="Garamond" w:cs="Times New Roman"/>
          <w:sz w:val="20"/>
          <w:szCs w:val="20"/>
        </w:rPr>
        <w:t xml:space="preserve"> from any funding agency </w:t>
      </w:r>
    </w:p>
    <w:p w14:paraId="004DE5FD" w14:textId="77777777" w:rsidR="00FD38DC" w:rsidRDefault="00FD38DC" w:rsidP="00183DC5">
      <w:pPr>
        <w:spacing w:line="259" w:lineRule="auto"/>
        <w:jc w:val="both"/>
        <w:rPr>
          <w:rFonts w:ascii="Garamond" w:hAnsi="Garamond" w:cs="Times New Roman"/>
          <w:sz w:val="20"/>
          <w:szCs w:val="20"/>
        </w:rPr>
      </w:pPr>
    </w:p>
    <w:p w14:paraId="0246259F" w14:textId="3CF78FA1" w:rsidR="00183DC5" w:rsidRPr="00B0067E" w:rsidRDefault="00183DC5" w:rsidP="00183DC5">
      <w:pPr>
        <w:spacing w:line="259" w:lineRule="auto"/>
        <w:jc w:val="both"/>
        <w:rPr>
          <w:rFonts w:ascii="Garamond" w:hAnsi="Garamond"/>
          <w:b/>
          <w:bCs/>
          <w:iCs/>
          <w:sz w:val="22"/>
          <w:szCs w:val="22"/>
        </w:rPr>
      </w:pPr>
      <w:r w:rsidRPr="00B0067E">
        <w:rPr>
          <w:rFonts w:ascii="Garamond" w:hAnsi="Garamond"/>
          <w:b/>
          <w:bCs/>
          <w:iCs/>
          <w:sz w:val="22"/>
          <w:szCs w:val="22"/>
        </w:rPr>
        <w:t>REFERENCES</w:t>
      </w:r>
    </w:p>
    <w:p w14:paraId="581E001B"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Jones KE, Patel NG, Levy MA, </w:t>
      </w:r>
      <w:proofErr w:type="spellStart"/>
      <w:r w:rsidRPr="002C3D1C">
        <w:rPr>
          <w:rFonts w:ascii="Garamond" w:hAnsi="Garamond"/>
          <w:bCs/>
          <w:iCs/>
          <w:sz w:val="20"/>
          <w:szCs w:val="20"/>
        </w:rPr>
        <w:t>Storeygard</w:t>
      </w:r>
      <w:proofErr w:type="spellEnd"/>
      <w:r w:rsidRPr="002C3D1C">
        <w:rPr>
          <w:rFonts w:ascii="Garamond" w:hAnsi="Garamond"/>
          <w:bCs/>
          <w:iCs/>
          <w:sz w:val="20"/>
          <w:szCs w:val="20"/>
        </w:rPr>
        <w:t xml:space="preserve"> A, Balk D, Gittleman JL, et al. Global trends in emerging infectious diseases. Nature. 2008; 451:990-3.</w:t>
      </w:r>
    </w:p>
    <w:p w14:paraId="11F6E042"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Ortiz-Millán G. One Health in a globalized world: Challenges and responses to zoonotic threats. Glob </w:t>
      </w:r>
      <w:proofErr w:type="spellStart"/>
      <w:r w:rsidRPr="002C3D1C">
        <w:rPr>
          <w:rFonts w:ascii="Garamond" w:hAnsi="Garamond"/>
          <w:bCs/>
          <w:iCs/>
          <w:sz w:val="20"/>
          <w:szCs w:val="20"/>
        </w:rPr>
        <w:t>Bioeth</w:t>
      </w:r>
      <w:proofErr w:type="spellEnd"/>
      <w:r w:rsidRPr="002C3D1C">
        <w:rPr>
          <w:rFonts w:ascii="Garamond" w:hAnsi="Garamond"/>
          <w:bCs/>
          <w:iCs/>
          <w:sz w:val="20"/>
          <w:szCs w:val="20"/>
        </w:rPr>
        <w:t>. 2025;36(1):2550805.</w:t>
      </w:r>
    </w:p>
    <w:p w14:paraId="4706034A"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George J, </w:t>
      </w:r>
      <w:proofErr w:type="spellStart"/>
      <w:r w:rsidRPr="002C3D1C">
        <w:rPr>
          <w:rFonts w:ascii="Garamond" w:hAnsi="Garamond"/>
          <w:bCs/>
          <w:iCs/>
          <w:sz w:val="20"/>
          <w:szCs w:val="20"/>
        </w:rPr>
        <w:t>Häsler</w:t>
      </w:r>
      <w:proofErr w:type="spellEnd"/>
      <w:r w:rsidRPr="002C3D1C">
        <w:rPr>
          <w:rFonts w:ascii="Garamond" w:hAnsi="Garamond"/>
          <w:bCs/>
          <w:iCs/>
          <w:sz w:val="20"/>
          <w:szCs w:val="20"/>
        </w:rPr>
        <w:t xml:space="preserve"> B, </w:t>
      </w:r>
      <w:proofErr w:type="spellStart"/>
      <w:r w:rsidRPr="002C3D1C">
        <w:rPr>
          <w:rFonts w:ascii="Garamond" w:hAnsi="Garamond"/>
          <w:bCs/>
          <w:iCs/>
          <w:sz w:val="20"/>
          <w:szCs w:val="20"/>
        </w:rPr>
        <w:t>Mremi</w:t>
      </w:r>
      <w:proofErr w:type="spellEnd"/>
      <w:r w:rsidRPr="002C3D1C">
        <w:rPr>
          <w:rFonts w:ascii="Garamond" w:hAnsi="Garamond"/>
          <w:bCs/>
          <w:iCs/>
          <w:sz w:val="20"/>
          <w:szCs w:val="20"/>
        </w:rPr>
        <w:t xml:space="preserve"> I, </w:t>
      </w:r>
      <w:proofErr w:type="spellStart"/>
      <w:r w:rsidRPr="002C3D1C">
        <w:rPr>
          <w:rFonts w:ascii="Garamond" w:hAnsi="Garamond"/>
          <w:bCs/>
          <w:iCs/>
          <w:sz w:val="20"/>
          <w:szCs w:val="20"/>
        </w:rPr>
        <w:t>Sindato</w:t>
      </w:r>
      <w:proofErr w:type="spellEnd"/>
      <w:r w:rsidRPr="002C3D1C">
        <w:rPr>
          <w:rFonts w:ascii="Garamond" w:hAnsi="Garamond"/>
          <w:bCs/>
          <w:iCs/>
          <w:sz w:val="20"/>
          <w:szCs w:val="20"/>
        </w:rPr>
        <w:t xml:space="preserve"> C, </w:t>
      </w:r>
      <w:proofErr w:type="spellStart"/>
      <w:r w:rsidRPr="002C3D1C">
        <w:rPr>
          <w:rFonts w:ascii="Garamond" w:hAnsi="Garamond"/>
          <w:bCs/>
          <w:iCs/>
          <w:sz w:val="20"/>
          <w:szCs w:val="20"/>
        </w:rPr>
        <w:t>Mboera</w:t>
      </w:r>
      <w:proofErr w:type="spellEnd"/>
      <w:r w:rsidRPr="002C3D1C">
        <w:rPr>
          <w:rFonts w:ascii="Garamond" w:hAnsi="Garamond"/>
          <w:bCs/>
          <w:iCs/>
          <w:sz w:val="20"/>
          <w:szCs w:val="20"/>
        </w:rPr>
        <w:t xml:space="preserve"> L, Rweyemamu M, et al. Integration mechanisms in human and animal surveillance systems. One Health Outlook. 2020; 2:11.</w:t>
      </w:r>
    </w:p>
    <w:p w14:paraId="4CB91A61"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Winkler AS, Brux CM, Carabin H, das Neves CG, </w:t>
      </w:r>
      <w:proofErr w:type="spellStart"/>
      <w:r w:rsidRPr="002C3D1C">
        <w:rPr>
          <w:rFonts w:ascii="Garamond" w:hAnsi="Garamond"/>
          <w:bCs/>
          <w:iCs/>
          <w:sz w:val="20"/>
          <w:szCs w:val="20"/>
        </w:rPr>
        <w:t>Häsler</w:t>
      </w:r>
      <w:proofErr w:type="spellEnd"/>
      <w:r w:rsidRPr="002C3D1C">
        <w:rPr>
          <w:rFonts w:ascii="Garamond" w:hAnsi="Garamond"/>
          <w:bCs/>
          <w:iCs/>
          <w:sz w:val="20"/>
          <w:szCs w:val="20"/>
        </w:rPr>
        <w:t xml:space="preserve"> B, </w:t>
      </w:r>
      <w:proofErr w:type="spellStart"/>
      <w:r w:rsidRPr="002C3D1C">
        <w:rPr>
          <w:rFonts w:ascii="Garamond" w:hAnsi="Garamond"/>
          <w:bCs/>
          <w:iCs/>
          <w:sz w:val="20"/>
          <w:szCs w:val="20"/>
        </w:rPr>
        <w:t>Zinsstag</w:t>
      </w:r>
      <w:proofErr w:type="spellEnd"/>
      <w:r w:rsidRPr="002C3D1C">
        <w:rPr>
          <w:rFonts w:ascii="Garamond" w:hAnsi="Garamond"/>
          <w:bCs/>
          <w:iCs/>
          <w:sz w:val="20"/>
          <w:szCs w:val="20"/>
        </w:rPr>
        <w:t xml:space="preserve"> J, et al. The Lancet One Health Commission: harnessing our interconnectedness for equitable, sustainable, and healthy socioecological systems. </w:t>
      </w:r>
      <w:r w:rsidRPr="002C3D1C">
        <w:rPr>
          <w:rFonts w:ascii="Garamond" w:hAnsi="Garamond"/>
          <w:bCs/>
          <w:i/>
          <w:iCs/>
          <w:sz w:val="20"/>
          <w:szCs w:val="20"/>
        </w:rPr>
        <w:t>Lancet</w:t>
      </w:r>
      <w:r w:rsidRPr="002C3D1C">
        <w:rPr>
          <w:rFonts w:ascii="Garamond" w:hAnsi="Garamond"/>
          <w:bCs/>
          <w:iCs/>
          <w:sz w:val="20"/>
          <w:szCs w:val="20"/>
        </w:rPr>
        <w:t>. 2025;406(10502):501–570</w:t>
      </w:r>
    </w:p>
    <w:p w14:paraId="7435D5AD"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Kock R, Curnow J, Karesh WB. One Health: The theory and practice of integrated health approaches. CAB International; 2022.</w:t>
      </w:r>
    </w:p>
    <w:p w14:paraId="505330E7"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proofErr w:type="spellStart"/>
      <w:r w:rsidRPr="002C3D1C">
        <w:rPr>
          <w:rFonts w:ascii="Garamond" w:hAnsi="Garamond"/>
          <w:bCs/>
          <w:iCs/>
          <w:sz w:val="20"/>
          <w:szCs w:val="20"/>
        </w:rPr>
        <w:t>Sangong</w:t>
      </w:r>
      <w:proofErr w:type="spellEnd"/>
      <w:r w:rsidRPr="002C3D1C">
        <w:rPr>
          <w:rFonts w:ascii="Garamond" w:hAnsi="Garamond"/>
          <w:bCs/>
          <w:iCs/>
          <w:sz w:val="20"/>
          <w:szCs w:val="20"/>
        </w:rPr>
        <w:t xml:space="preserve"> S, Saah FI, Bain LE. Effective community engagement in One Health research. One Health Outlook. 2025; 7:4.</w:t>
      </w:r>
    </w:p>
    <w:p w14:paraId="2287ECB4"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Njenga GL. Kenya One Health conference: Challenges and opportunities. ILRI News. 2022 Jan 21. Available from: https://www.ilri.org/news/kenya-one-health-conference-challenges-and-opportunities-implementing-one-health</w:t>
      </w:r>
    </w:p>
    <w:p w14:paraId="5390869D"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Hoza A. One Health in practice: Benefits and challenges of multisectoral coordination. Int J One Health. 2024; 10:26-36.</w:t>
      </w:r>
    </w:p>
    <w:p w14:paraId="6A890AFA"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Fu L, Wang X, Wang D, Griffin MA, Li P. Human and organizational factors in epidemic control. Saf Sci. 2020; 131:104929.</w:t>
      </w:r>
    </w:p>
    <w:p w14:paraId="2676FFC6"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proofErr w:type="spellStart"/>
      <w:r w:rsidRPr="002C3D1C">
        <w:rPr>
          <w:rFonts w:ascii="Garamond" w:hAnsi="Garamond"/>
          <w:bCs/>
          <w:iCs/>
          <w:sz w:val="20"/>
          <w:szCs w:val="20"/>
        </w:rPr>
        <w:t>Faijue</w:t>
      </w:r>
      <w:proofErr w:type="spellEnd"/>
      <w:r w:rsidRPr="002C3D1C">
        <w:rPr>
          <w:rFonts w:ascii="Garamond" w:hAnsi="Garamond"/>
          <w:bCs/>
          <w:iCs/>
          <w:sz w:val="20"/>
          <w:szCs w:val="20"/>
        </w:rPr>
        <w:t xml:space="preserve"> DD, Segui AO, </w:t>
      </w:r>
      <w:proofErr w:type="spellStart"/>
      <w:r w:rsidRPr="002C3D1C">
        <w:rPr>
          <w:rFonts w:ascii="Garamond" w:hAnsi="Garamond"/>
          <w:bCs/>
          <w:iCs/>
          <w:sz w:val="20"/>
          <w:szCs w:val="20"/>
        </w:rPr>
        <w:t>Shringarpure</w:t>
      </w:r>
      <w:proofErr w:type="spellEnd"/>
      <w:r w:rsidRPr="002C3D1C">
        <w:rPr>
          <w:rFonts w:ascii="Garamond" w:hAnsi="Garamond"/>
          <w:bCs/>
          <w:iCs/>
          <w:sz w:val="20"/>
          <w:szCs w:val="20"/>
        </w:rPr>
        <w:t xml:space="preserve"> K, Razavi A, Hasan N, Dar O, et al. Constructing a One Health governance architecture. </w:t>
      </w:r>
      <w:proofErr w:type="spellStart"/>
      <w:r w:rsidRPr="002C3D1C">
        <w:rPr>
          <w:rFonts w:ascii="Garamond" w:hAnsi="Garamond"/>
          <w:bCs/>
          <w:iCs/>
          <w:sz w:val="20"/>
          <w:szCs w:val="20"/>
        </w:rPr>
        <w:t>Eur</w:t>
      </w:r>
      <w:proofErr w:type="spellEnd"/>
      <w:r w:rsidRPr="002C3D1C">
        <w:rPr>
          <w:rFonts w:ascii="Garamond" w:hAnsi="Garamond"/>
          <w:bCs/>
          <w:iCs/>
          <w:sz w:val="20"/>
          <w:szCs w:val="20"/>
        </w:rPr>
        <w:t xml:space="preserve"> J Public Health. 2024; 34:1086-</w:t>
      </w:r>
      <w:proofErr w:type="gramStart"/>
      <w:r w:rsidRPr="002C3D1C">
        <w:rPr>
          <w:rFonts w:ascii="Garamond" w:hAnsi="Garamond"/>
          <w:bCs/>
          <w:iCs/>
          <w:sz w:val="20"/>
          <w:szCs w:val="20"/>
        </w:rPr>
        <w:t>94..</w:t>
      </w:r>
      <w:proofErr w:type="gramEnd"/>
    </w:p>
    <w:p w14:paraId="3E3F186F"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Ortenzi F, Marten R, Valentine NB, Kwamie A, </w:t>
      </w:r>
      <w:proofErr w:type="spellStart"/>
      <w:r w:rsidRPr="002C3D1C">
        <w:rPr>
          <w:rFonts w:ascii="Garamond" w:hAnsi="Garamond"/>
          <w:bCs/>
          <w:iCs/>
          <w:sz w:val="20"/>
          <w:szCs w:val="20"/>
        </w:rPr>
        <w:t>Rasanathan</w:t>
      </w:r>
      <w:proofErr w:type="spellEnd"/>
      <w:r w:rsidRPr="002C3D1C">
        <w:rPr>
          <w:rFonts w:ascii="Garamond" w:hAnsi="Garamond"/>
          <w:bCs/>
          <w:iCs/>
          <w:sz w:val="20"/>
          <w:szCs w:val="20"/>
        </w:rPr>
        <w:t xml:space="preserve"> K. Whole of government and whole of society approaches: call for further research to improve population health and health equity. BMJ Glob Health. 2022;7(7</w:t>
      </w:r>
      <w:proofErr w:type="gramStart"/>
      <w:r w:rsidRPr="002C3D1C">
        <w:rPr>
          <w:rFonts w:ascii="Garamond" w:hAnsi="Garamond"/>
          <w:bCs/>
          <w:iCs/>
          <w:sz w:val="20"/>
          <w:szCs w:val="20"/>
        </w:rPr>
        <w:t>):e</w:t>
      </w:r>
      <w:proofErr w:type="gramEnd"/>
      <w:r w:rsidRPr="002C3D1C">
        <w:rPr>
          <w:rFonts w:ascii="Garamond" w:hAnsi="Garamond"/>
          <w:bCs/>
          <w:iCs/>
          <w:sz w:val="20"/>
          <w:szCs w:val="20"/>
        </w:rPr>
        <w:t>009972. doi:10.1136/bmjgh-2022-009972.</w:t>
      </w:r>
    </w:p>
    <w:p w14:paraId="15993B6F"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Sapkota S, Dhakal A, Rushton S, van </w:t>
      </w:r>
      <w:proofErr w:type="spellStart"/>
      <w:r w:rsidRPr="002C3D1C">
        <w:rPr>
          <w:rFonts w:ascii="Garamond" w:hAnsi="Garamond"/>
          <w:bCs/>
          <w:iCs/>
          <w:sz w:val="20"/>
          <w:szCs w:val="20"/>
        </w:rPr>
        <w:t>Teijlingen</w:t>
      </w:r>
      <w:proofErr w:type="spellEnd"/>
      <w:r w:rsidRPr="002C3D1C">
        <w:rPr>
          <w:rFonts w:ascii="Garamond" w:hAnsi="Garamond"/>
          <w:bCs/>
          <w:iCs/>
          <w:sz w:val="20"/>
          <w:szCs w:val="20"/>
        </w:rPr>
        <w:t xml:space="preserve"> E, </w:t>
      </w:r>
      <w:proofErr w:type="spellStart"/>
      <w:r w:rsidRPr="002C3D1C">
        <w:rPr>
          <w:rFonts w:ascii="Garamond" w:hAnsi="Garamond"/>
          <w:bCs/>
          <w:iCs/>
          <w:sz w:val="20"/>
          <w:szCs w:val="20"/>
        </w:rPr>
        <w:t>Marahatta</w:t>
      </w:r>
      <w:proofErr w:type="spellEnd"/>
      <w:r w:rsidRPr="002C3D1C">
        <w:rPr>
          <w:rFonts w:ascii="Garamond" w:hAnsi="Garamond"/>
          <w:bCs/>
          <w:iCs/>
          <w:sz w:val="20"/>
          <w:szCs w:val="20"/>
        </w:rPr>
        <w:t xml:space="preserve"> SB, Balen J, et al. </w:t>
      </w:r>
      <w:proofErr w:type="spellStart"/>
      <w:r w:rsidRPr="002C3D1C">
        <w:rPr>
          <w:rFonts w:ascii="Garamond" w:hAnsi="Garamond"/>
          <w:bCs/>
          <w:iCs/>
          <w:sz w:val="20"/>
          <w:szCs w:val="20"/>
        </w:rPr>
        <w:t>Decentralisation</w:t>
      </w:r>
      <w:proofErr w:type="spellEnd"/>
      <w:r w:rsidRPr="002C3D1C">
        <w:rPr>
          <w:rFonts w:ascii="Garamond" w:hAnsi="Garamond"/>
          <w:bCs/>
          <w:iCs/>
          <w:sz w:val="20"/>
          <w:szCs w:val="20"/>
        </w:rPr>
        <w:t xml:space="preserve"> and health systems: A systematic review. BMJ Glob Health. 2023;</w:t>
      </w:r>
      <w:proofErr w:type="gramStart"/>
      <w:r w:rsidRPr="002C3D1C">
        <w:rPr>
          <w:rFonts w:ascii="Garamond" w:hAnsi="Garamond"/>
          <w:bCs/>
          <w:iCs/>
          <w:sz w:val="20"/>
          <w:szCs w:val="20"/>
        </w:rPr>
        <w:t>8:e</w:t>
      </w:r>
      <w:proofErr w:type="gramEnd"/>
      <w:r w:rsidRPr="002C3D1C">
        <w:rPr>
          <w:rFonts w:ascii="Garamond" w:hAnsi="Garamond"/>
          <w:bCs/>
          <w:iCs/>
          <w:sz w:val="20"/>
          <w:szCs w:val="20"/>
        </w:rPr>
        <w:t>013317.</w:t>
      </w:r>
    </w:p>
    <w:p w14:paraId="3289D463"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Munyua PM, Njenga MK, Osoro EM, Onyango CO, </w:t>
      </w:r>
      <w:proofErr w:type="spellStart"/>
      <w:r w:rsidRPr="002C3D1C">
        <w:rPr>
          <w:rFonts w:ascii="Garamond" w:hAnsi="Garamond"/>
          <w:bCs/>
          <w:iCs/>
          <w:sz w:val="20"/>
          <w:szCs w:val="20"/>
        </w:rPr>
        <w:t>Bitek</w:t>
      </w:r>
      <w:proofErr w:type="spellEnd"/>
      <w:r w:rsidRPr="002C3D1C">
        <w:rPr>
          <w:rFonts w:ascii="Garamond" w:hAnsi="Garamond"/>
          <w:bCs/>
          <w:iCs/>
          <w:sz w:val="20"/>
          <w:szCs w:val="20"/>
        </w:rPr>
        <w:t xml:space="preserve"> AO, </w:t>
      </w:r>
      <w:proofErr w:type="spellStart"/>
      <w:r w:rsidRPr="002C3D1C">
        <w:rPr>
          <w:rFonts w:ascii="Garamond" w:hAnsi="Garamond"/>
          <w:bCs/>
          <w:iCs/>
          <w:sz w:val="20"/>
          <w:szCs w:val="20"/>
        </w:rPr>
        <w:t>Mwatondo</w:t>
      </w:r>
      <w:proofErr w:type="spellEnd"/>
      <w:r w:rsidRPr="002C3D1C">
        <w:rPr>
          <w:rFonts w:ascii="Garamond" w:hAnsi="Garamond"/>
          <w:bCs/>
          <w:iCs/>
          <w:sz w:val="20"/>
          <w:szCs w:val="20"/>
        </w:rPr>
        <w:t xml:space="preserve"> A, et al. Successes and challenges of the One Health approach in Kenya. BMC Public Health. 2019; 19:465.</w:t>
      </w:r>
    </w:p>
    <w:p w14:paraId="6CA5A33E"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Yen WT. Taiwan’s COVID-19 management and state–society synergy. Asian Polit Policy. 2020; 12:455-68.</w:t>
      </w:r>
    </w:p>
    <w:p w14:paraId="29747417"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Okello JS, </w:t>
      </w:r>
      <w:proofErr w:type="spellStart"/>
      <w:r w:rsidRPr="002C3D1C">
        <w:rPr>
          <w:rFonts w:ascii="Garamond" w:hAnsi="Garamond"/>
          <w:bCs/>
          <w:iCs/>
          <w:sz w:val="20"/>
          <w:szCs w:val="20"/>
        </w:rPr>
        <w:t>Ginindza</w:t>
      </w:r>
      <w:proofErr w:type="spellEnd"/>
      <w:r w:rsidRPr="002C3D1C">
        <w:rPr>
          <w:rFonts w:ascii="Garamond" w:hAnsi="Garamond"/>
          <w:bCs/>
          <w:iCs/>
          <w:sz w:val="20"/>
          <w:szCs w:val="20"/>
        </w:rPr>
        <w:t xml:space="preserve"> T, Odhiambo JN. Multisectoral coordination during COVID-19: A protocol. BMJ Open. 2025;15: e099016.</w:t>
      </w:r>
    </w:p>
    <w:p w14:paraId="739665DA"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Oltean HN, Lipton B, Black A, </w:t>
      </w:r>
      <w:proofErr w:type="spellStart"/>
      <w:r w:rsidRPr="002C3D1C">
        <w:rPr>
          <w:rFonts w:ascii="Garamond" w:hAnsi="Garamond"/>
          <w:bCs/>
          <w:iCs/>
          <w:sz w:val="20"/>
          <w:szCs w:val="20"/>
        </w:rPr>
        <w:t>Snekvik</w:t>
      </w:r>
      <w:proofErr w:type="spellEnd"/>
      <w:r w:rsidRPr="002C3D1C">
        <w:rPr>
          <w:rFonts w:ascii="Garamond" w:hAnsi="Garamond"/>
          <w:bCs/>
          <w:iCs/>
          <w:sz w:val="20"/>
          <w:szCs w:val="20"/>
        </w:rPr>
        <w:t xml:space="preserve"> K, Haman K, Buswell M, et al. One Health data integration framework. One Health Outlook. 2025; 7:9.</w:t>
      </w:r>
    </w:p>
    <w:p w14:paraId="6BCE51AE"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Page MJ, McKenzie JE, Bossuyt PM, </w:t>
      </w:r>
      <w:proofErr w:type="spellStart"/>
      <w:r w:rsidRPr="002C3D1C">
        <w:rPr>
          <w:rFonts w:ascii="Garamond" w:hAnsi="Garamond"/>
          <w:bCs/>
          <w:iCs/>
          <w:sz w:val="20"/>
          <w:szCs w:val="20"/>
        </w:rPr>
        <w:t>Boutron</w:t>
      </w:r>
      <w:proofErr w:type="spellEnd"/>
      <w:r w:rsidRPr="002C3D1C">
        <w:rPr>
          <w:rFonts w:ascii="Garamond" w:hAnsi="Garamond"/>
          <w:bCs/>
          <w:iCs/>
          <w:sz w:val="20"/>
          <w:szCs w:val="20"/>
        </w:rPr>
        <w:t xml:space="preserve"> I, Hoffmann TC, Mulrow CD, et al. PRISMA 2020 statement. BMJ. 2021;372: n71.</w:t>
      </w:r>
    </w:p>
    <w:p w14:paraId="65207938"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Thomas J, Harden A. Methods for thematic synthesis of qualitative research. BMC Med Res </w:t>
      </w:r>
      <w:proofErr w:type="spellStart"/>
      <w:r w:rsidRPr="002C3D1C">
        <w:rPr>
          <w:rFonts w:ascii="Garamond" w:hAnsi="Garamond"/>
          <w:bCs/>
          <w:iCs/>
          <w:sz w:val="20"/>
          <w:szCs w:val="20"/>
        </w:rPr>
        <w:t>Methodol</w:t>
      </w:r>
      <w:proofErr w:type="spellEnd"/>
      <w:r w:rsidRPr="002C3D1C">
        <w:rPr>
          <w:rFonts w:ascii="Garamond" w:hAnsi="Garamond"/>
          <w:bCs/>
          <w:iCs/>
          <w:sz w:val="20"/>
          <w:szCs w:val="20"/>
        </w:rPr>
        <w:t>. 2008; 8:45</w:t>
      </w:r>
    </w:p>
    <w:p w14:paraId="29D740AC"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Islam A, Rahman MM, Chowdhury S. Determinants for the presence of avian influenza virus in live bird markets in Bangladesh. One Health. 2023; 17:100641. </w:t>
      </w:r>
      <w:proofErr w:type="spellStart"/>
      <w:r w:rsidRPr="002C3D1C">
        <w:rPr>
          <w:rFonts w:ascii="Garamond" w:hAnsi="Garamond"/>
          <w:bCs/>
          <w:iCs/>
          <w:sz w:val="20"/>
          <w:szCs w:val="20"/>
        </w:rPr>
        <w:t>doi</w:t>
      </w:r>
      <w:proofErr w:type="spellEnd"/>
      <w:r w:rsidRPr="002C3D1C">
        <w:rPr>
          <w:rFonts w:ascii="Garamond" w:hAnsi="Garamond"/>
          <w:bCs/>
          <w:iCs/>
          <w:sz w:val="20"/>
          <w:szCs w:val="20"/>
        </w:rPr>
        <w:t>: 10.1016/j.onehlt.2023.100643</w:t>
      </w:r>
    </w:p>
    <w:p w14:paraId="41D8CC78"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Lien CY, Wu YH. Affective communication: A mixed method investigation into COVID-19 outbreak communication using the Taiwanese government Facebook page. Glob Health </w:t>
      </w:r>
      <w:proofErr w:type="spellStart"/>
      <w:r w:rsidRPr="002C3D1C">
        <w:rPr>
          <w:rFonts w:ascii="Garamond" w:hAnsi="Garamond"/>
          <w:bCs/>
          <w:iCs/>
          <w:sz w:val="20"/>
          <w:szCs w:val="20"/>
        </w:rPr>
        <w:t>Promot</w:t>
      </w:r>
      <w:proofErr w:type="spellEnd"/>
      <w:r w:rsidRPr="002C3D1C">
        <w:rPr>
          <w:rFonts w:ascii="Garamond" w:hAnsi="Garamond"/>
          <w:bCs/>
          <w:iCs/>
          <w:sz w:val="20"/>
          <w:szCs w:val="20"/>
        </w:rPr>
        <w:t>. 2021;28(2):56–66. doi:10.1177/17579759211003539</w:t>
      </w:r>
    </w:p>
    <w:p w14:paraId="3528E419"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Bateman LB, Hall A, </w:t>
      </w:r>
      <w:proofErr w:type="spellStart"/>
      <w:r w:rsidRPr="002C3D1C">
        <w:rPr>
          <w:rFonts w:ascii="Garamond" w:hAnsi="Garamond"/>
          <w:bCs/>
          <w:iCs/>
          <w:sz w:val="20"/>
          <w:szCs w:val="20"/>
        </w:rPr>
        <w:t>Khamess</w:t>
      </w:r>
      <w:proofErr w:type="spellEnd"/>
      <w:r w:rsidRPr="002C3D1C">
        <w:rPr>
          <w:rFonts w:ascii="Garamond" w:hAnsi="Garamond"/>
          <w:bCs/>
          <w:iCs/>
          <w:sz w:val="20"/>
          <w:szCs w:val="20"/>
        </w:rPr>
        <w:t xml:space="preserve"> S, Stager CG, Danila MI, Feldman CH, et al. Qualitative analysis of COVID-19 experiences with testing and vaccination among people with systemic lupus erythematosus in the USA. Clin </w:t>
      </w:r>
      <w:proofErr w:type="spellStart"/>
      <w:r w:rsidRPr="002C3D1C">
        <w:rPr>
          <w:rFonts w:ascii="Garamond" w:hAnsi="Garamond"/>
          <w:bCs/>
          <w:iCs/>
          <w:sz w:val="20"/>
          <w:szCs w:val="20"/>
        </w:rPr>
        <w:t>Rheumatol</w:t>
      </w:r>
      <w:proofErr w:type="spellEnd"/>
      <w:r w:rsidRPr="002C3D1C">
        <w:rPr>
          <w:rFonts w:ascii="Garamond" w:hAnsi="Garamond"/>
          <w:bCs/>
          <w:iCs/>
          <w:sz w:val="20"/>
          <w:szCs w:val="20"/>
        </w:rPr>
        <w:t>. 2026;45(2):821–9. doi:10.1007/s10067-025-07814-0</w:t>
      </w:r>
    </w:p>
    <w:p w14:paraId="7CC35803"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Mwamba D, </w:t>
      </w:r>
      <w:proofErr w:type="spellStart"/>
      <w:r w:rsidRPr="002C3D1C">
        <w:rPr>
          <w:rFonts w:ascii="Garamond" w:hAnsi="Garamond"/>
          <w:bCs/>
          <w:iCs/>
          <w:sz w:val="20"/>
          <w:szCs w:val="20"/>
        </w:rPr>
        <w:t>Mboussou</w:t>
      </w:r>
      <w:proofErr w:type="spellEnd"/>
      <w:r w:rsidRPr="002C3D1C">
        <w:rPr>
          <w:rFonts w:ascii="Garamond" w:hAnsi="Garamond"/>
          <w:bCs/>
          <w:iCs/>
          <w:sz w:val="20"/>
          <w:szCs w:val="20"/>
        </w:rPr>
        <w:t xml:space="preserve"> F, </w:t>
      </w:r>
      <w:proofErr w:type="spellStart"/>
      <w:r w:rsidRPr="002C3D1C">
        <w:rPr>
          <w:rFonts w:ascii="Garamond" w:hAnsi="Garamond"/>
          <w:bCs/>
          <w:iCs/>
          <w:sz w:val="20"/>
          <w:szCs w:val="20"/>
        </w:rPr>
        <w:t>Akilimali</w:t>
      </w:r>
      <w:proofErr w:type="spellEnd"/>
      <w:r w:rsidRPr="002C3D1C">
        <w:rPr>
          <w:rFonts w:ascii="Garamond" w:hAnsi="Garamond"/>
          <w:bCs/>
          <w:iCs/>
          <w:sz w:val="20"/>
          <w:szCs w:val="20"/>
        </w:rPr>
        <w:t xml:space="preserve"> P, Ngandu C, </w:t>
      </w:r>
      <w:proofErr w:type="spellStart"/>
      <w:r w:rsidRPr="002C3D1C">
        <w:rPr>
          <w:rFonts w:ascii="Garamond" w:hAnsi="Garamond"/>
          <w:bCs/>
          <w:iCs/>
          <w:sz w:val="20"/>
          <w:szCs w:val="20"/>
        </w:rPr>
        <w:t>Impouma</w:t>
      </w:r>
      <w:proofErr w:type="spellEnd"/>
      <w:r w:rsidRPr="002C3D1C">
        <w:rPr>
          <w:rFonts w:ascii="Garamond" w:hAnsi="Garamond"/>
          <w:bCs/>
          <w:iCs/>
          <w:sz w:val="20"/>
          <w:szCs w:val="20"/>
        </w:rPr>
        <w:t xml:space="preserve"> B, </w:t>
      </w:r>
      <w:proofErr w:type="spellStart"/>
      <w:r w:rsidRPr="002C3D1C">
        <w:rPr>
          <w:rFonts w:ascii="Garamond" w:hAnsi="Garamond"/>
          <w:bCs/>
          <w:iCs/>
          <w:sz w:val="20"/>
          <w:szCs w:val="20"/>
        </w:rPr>
        <w:t>Ihekwazu</w:t>
      </w:r>
      <w:proofErr w:type="spellEnd"/>
      <w:r w:rsidRPr="002C3D1C">
        <w:rPr>
          <w:rFonts w:ascii="Garamond" w:hAnsi="Garamond"/>
          <w:bCs/>
          <w:iCs/>
          <w:sz w:val="20"/>
          <w:szCs w:val="20"/>
        </w:rPr>
        <w:t xml:space="preserve"> C, Kamba SR, </w:t>
      </w:r>
      <w:proofErr w:type="spellStart"/>
      <w:r w:rsidRPr="002C3D1C">
        <w:rPr>
          <w:rFonts w:ascii="Garamond" w:hAnsi="Garamond"/>
          <w:bCs/>
          <w:iCs/>
          <w:sz w:val="20"/>
          <w:szCs w:val="20"/>
        </w:rPr>
        <w:t>Janabi</w:t>
      </w:r>
      <w:proofErr w:type="spellEnd"/>
      <w:r w:rsidRPr="002C3D1C">
        <w:rPr>
          <w:rFonts w:ascii="Garamond" w:hAnsi="Garamond"/>
          <w:bCs/>
          <w:iCs/>
          <w:sz w:val="20"/>
          <w:szCs w:val="20"/>
        </w:rPr>
        <w:t xml:space="preserve"> MY. New Ebola virus disease outbreak in the Democratic Republic of the Congo: early response guidance. </w:t>
      </w:r>
      <w:r w:rsidRPr="002C3D1C">
        <w:rPr>
          <w:rFonts w:ascii="Garamond" w:hAnsi="Garamond"/>
          <w:bCs/>
          <w:i/>
          <w:iCs/>
          <w:sz w:val="20"/>
          <w:szCs w:val="20"/>
        </w:rPr>
        <w:t>Lancet</w:t>
      </w:r>
      <w:r w:rsidRPr="002C3D1C">
        <w:rPr>
          <w:rFonts w:ascii="Garamond" w:hAnsi="Garamond"/>
          <w:bCs/>
          <w:iCs/>
          <w:sz w:val="20"/>
          <w:szCs w:val="20"/>
        </w:rPr>
        <w:t xml:space="preserve">. 2025 Oct 11;406(10512):1557–8. </w:t>
      </w:r>
      <w:proofErr w:type="spellStart"/>
      <w:r w:rsidRPr="002C3D1C">
        <w:rPr>
          <w:rFonts w:ascii="Garamond" w:hAnsi="Garamond"/>
          <w:bCs/>
          <w:iCs/>
          <w:sz w:val="20"/>
          <w:szCs w:val="20"/>
        </w:rPr>
        <w:t>doi</w:t>
      </w:r>
      <w:proofErr w:type="spellEnd"/>
      <w:r w:rsidRPr="002C3D1C">
        <w:rPr>
          <w:rFonts w:ascii="Garamond" w:hAnsi="Garamond"/>
          <w:bCs/>
          <w:iCs/>
          <w:sz w:val="20"/>
          <w:szCs w:val="20"/>
        </w:rPr>
        <w:t xml:space="preserve">: 10.1016/S0140-6736(25)01950-6. </w:t>
      </w:r>
      <w:proofErr w:type="spellStart"/>
      <w:r w:rsidRPr="002C3D1C">
        <w:rPr>
          <w:rFonts w:ascii="Garamond" w:hAnsi="Garamond"/>
          <w:bCs/>
          <w:iCs/>
          <w:sz w:val="20"/>
          <w:szCs w:val="20"/>
        </w:rPr>
        <w:t>Epub</w:t>
      </w:r>
      <w:proofErr w:type="spellEnd"/>
      <w:r w:rsidRPr="002C3D1C">
        <w:rPr>
          <w:rFonts w:ascii="Garamond" w:hAnsi="Garamond"/>
          <w:bCs/>
          <w:iCs/>
          <w:sz w:val="20"/>
          <w:szCs w:val="20"/>
        </w:rPr>
        <w:t xml:space="preserve"> 2025 Oct 3. PMID: 41052511.</w:t>
      </w:r>
    </w:p>
    <w:p w14:paraId="6D146F7C"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Abid MA, Farooqi J, Ghanchi N, Owais R, Sadiqa A, Shafaq H, et al. </w:t>
      </w:r>
      <w:proofErr w:type="spellStart"/>
      <w:r w:rsidRPr="002C3D1C">
        <w:rPr>
          <w:rFonts w:ascii="Garamond" w:hAnsi="Garamond"/>
          <w:bCs/>
          <w:iCs/>
          <w:sz w:val="20"/>
          <w:szCs w:val="20"/>
        </w:rPr>
        <w:t>Spatio</w:t>
      </w:r>
      <w:proofErr w:type="spellEnd"/>
      <w:r w:rsidRPr="002C3D1C">
        <w:rPr>
          <w:rFonts w:ascii="Garamond" w:hAnsi="Garamond"/>
          <w:bCs/>
          <w:iCs/>
          <w:sz w:val="20"/>
          <w:szCs w:val="20"/>
        </w:rPr>
        <w:t xml:space="preserve">-temporal distribution of Crimean-Congo hemorrhagic fever in Pakistan. </w:t>
      </w:r>
      <w:proofErr w:type="spellStart"/>
      <w:r w:rsidRPr="002C3D1C">
        <w:rPr>
          <w:rFonts w:ascii="Garamond" w:hAnsi="Garamond"/>
          <w:bCs/>
          <w:iCs/>
          <w:sz w:val="20"/>
          <w:szCs w:val="20"/>
        </w:rPr>
        <w:t>PLoS</w:t>
      </w:r>
      <w:proofErr w:type="spellEnd"/>
      <w:r w:rsidRPr="002C3D1C">
        <w:rPr>
          <w:rFonts w:ascii="Garamond" w:hAnsi="Garamond"/>
          <w:bCs/>
          <w:iCs/>
          <w:sz w:val="20"/>
          <w:szCs w:val="20"/>
        </w:rPr>
        <w:t xml:space="preserve"> One. 2025;20(5</w:t>
      </w:r>
      <w:proofErr w:type="gramStart"/>
      <w:r w:rsidRPr="002C3D1C">
        <w:rPr>
          <w:rFonts w:ascii="Garamond" w:hAnsi="Garamond"/>
          <w:bCs/>
          <w:iCs/>
          <w:sz w:val="20"/>
          <w:szCs w:val="20"/>
        </w:rPr>
        <w:t>):e</w:t>
      </w:r>
      <w:proofErr w:type="gramEnd"/>
      <w:r w:rsidRPr="002C3D1C">
        <w:rPr>
          <w:rFonts w:ascii="Garamond" w:hAnsi="Garamond"/>
          <w:bCs/>
          <w:iCs/>
          <w:sz w:val="20"/>
          <w:szCs w:val="20"/>
        </w:rPr>
        <w:t xml:space="preserve">0320495. </w:t>
      </w:r>
      <w:proofErr w:type="spellStart"/>
      <w:r w:rsidRPr="002C3D1C">
        <w:rPr>
          <w:rFonts w:ascii="Garamond" w:hAnsi="Garamond"/>
          <w:bCs/>
          <w:iCs/>
          <w:sz w:val="20"/>
          <w:szCs w:val="20"/>
        </w:rPr>
        <w:t>doi</w:t>
      </w:r>
      <w:proofErr w:type="spellEnd"/>
      <w:r w:rsidRPr="002C3D1C">
        <w:rPr>
          <w:rFonts w:ascii="Garamond" w:hAnsi="Garamond"/>
          <w:bCs/>
          <w:iCs/>
          <w:sz w:val="20"/>
          <w:szCs w:val="20"/>
        </w:rPr>
        <w:t>: 10.1371/journal.pone.0320495</w:t>
      </w:r>
    </w:p>
    <w:p w14:paraId="4405E6C0"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Castillo-Neyra R, Ortiz-Cam L, Díaz EW, </w:t>
      </w:r>
      <w:proofErr w:type="spellStart"/>
      <w:r w:rsidRPr="002C3D1C">
        <w:rPr>
          <w:rFonts w:ascii="Garamond" w:hAnsi="Garamond"/>
          <w:bCs/>
          <w:iCs/>
          <w:sz w:val="20"/>
          <w:szCs w:val="20"/>
        </w:rPr>
        <w:t>Cañari-Casaño</w:t>
      </w:r>
      <w:proofErr w:type="spellEnd"/>
      <w:r w:rsidRPr="002C3D1C">
        <w:rPr>
          <w:rFonts w:ascii="Garamond" w:hAnsi="Garamond"/>
          <w:bCs/>
          <w:iCs/>
          <w:sz w:val="20"/>
          <w:szCs w:val="20"/>
        </w:rPr>
        <w:t xml:space="preserve"> JL, </w:t>
      </w:r>
      <w:proofErr w:type="spellStart"/>
      <w:r w:rsidRPr="002C3D1C">
        <w:rPr>
          <w:rFonts w:ascii="Garamond" w:hAnsi="Garamond"/>
          <w:bCs/>
          <w:iCs/>
          <w:sz w:val="20"/>
          <w:szCs w:val="20"/>
        </w:rPr>
        <w:t>Recuenco</w:t>
      </w:r>
      <w:proofErr w:type="spellEnd"/>
      <w:r w:rsidRPr="002C3D1C">
        <w:rPr>
          <w:rFonts w:ascii="Garamond" w:hAnsi="Garamond"/>
          <w:bCs/>
          <w:iCs/>
          <w:sz w:val="20"/>
          <w:szCs w:val="20"/>
        </w:rPr>
        <w:t xml:space="preserve"> SE, Paz-</w:t>
      </w:r>
      <w:proofErr w:type="spellStart"/>
      <w:r w:rsidRPr="002C3D1C">
        <w:rPr>
          <w:rFonts w:ascii="Garamond" w:hAnsi="Garamond"/>
          <w:bCs/>
          <w:iCs/>
          <w:sz w:val="20"/>
          <w:szCs w:val="20"/>
        </w:rPr>
        <w:t>Soldán</w:t>
      </w:r>
      <w:proofErr w:type="spellEnd"/>
      <w:r w:rsidRPr="002C3D1C">
        <w:rPr>
          <w:rFonts w:ascii="Garamond" w:hAnsi="Garamond"/>
          <w:bCs/>
          <w:iCs/>
          <w:sz w:val="20"/>
          <w:szCs w:val="20"/>
        </w:rPr>
        <w:t xml:space="preserve"> VA. The return of human rabies: A foretold case in Latin America through the lens of One Health. </w:t>
      </w:r>
      <w:proofErr w:type="spellStart"/>
      <w:r w:rsidRPr="002C3D1C">
        <w:rPr>
          <w:rFonts w:ascii="Garamond" w:hAnsi="Garamond"/>
          <w:bCs/>
          <w:iCs/>
          <w:sz w:val="20"/>
          <w:szCs w:val="20"/>
        </w:rPr>
        <w:t>medRxiv</w:t>
      </w:r>
      <w:proofErr w:type="spellEnd"/>
      <w:r w:rsidRPr="002C3D1C">
        <w:rPr>
          <w:rFonts w:ascii="Garamond" w:hAnsi="Garamond"/>
          <w:bCs/>
          <w:iCs/>
          <w:sz w:val="20"/>
          <w:szCs w:val="20"/>
        </w:rPr>
        <w:t xml:space="preserve"> [Preprint]. 2026. doi:10.64898/2025.12.31.25343275</w:t>
      </w:r>
    </w:p>
    <w:p w14:paraId="31723396"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lastRenderedPageBreak/>
        <w:t xml:space="preserve">Gerken KN, Mutuku FM, </w:t>
      </w:r>
      <w:proofErr w:type="spellStart"/>
      <w:r w:rsidRPr="002C3D1C">
        <w:rPr>
          <w:rFonts w:ascii="Garamond" w:hAnsi="Garamond"/>
          <w:bCs/>
          <w:iCs/>
          <w:sz w:val="20"/>
          <w:szCs w:val="20"/>
        </w:rPr>
        <w:t>Ndenga</w:t>
      </w:r>
      <w:proofErr w:type="spellEnd"/>
      <w:r w:rsidRPr="002C3D1C">
        <w:rPr>
          <w:rFonts w:ascii="Garamond" w:hAnsi="Garamond"/>
          <w:bCs/>
          <w:iCs/>
          <w:sz w:val="20"/>
          <w:szCs w:val="20"/>
        </w:rPr>
        <w:t xml:space="preserve"> BA, </w:t>
      </w:r>
      <w:proofErr w:type="spellStart"/>
      <w:r w:rsidRPr="002C3D1C">
        <w:rPr>
          <w:rFonts w:ascii="Garamond" w:hAnsi="Garamond"/>
          <w:bCs/>
          <w:iCs/>
          <w:sz w:val="20"/>
          <w:szCs w:val="20"/>
        </w:rPr>
        <w:t>Agola</w:t>
      </w:r>
      <w:proofErr w:type="spellEnd"/>
      <w:r w:rsidRPr="002C3D1C">
        <w:rPr>
          <w:rFonts w:ascii="Garamond" w:hAnsi="Garamond"/>
          <w:bCs/>
          <w:iCs/>
          <w:sz w:val="20"/>
          <w:szCs w:val="20"/>
        </w:rPr>
        <w:t xml:space="preserve"> GA, Migliore E, Fabre EP, et al. Urban risk factors for human Rift Valley fever virus exposure in Kenya. PLOS Glob Public Health. 2022;2(7): e0000505. </w:t>
      </w:r>
      <w:proofErr w:type="spellStart"/>
      <w:r w:rsidRPr="002C3D1C">
        <w:rPr>
          <w:rFonts w:ascii="Garamond" w:hAnsi="Garamond"/>
          <w:bCs/>
          <w:iCs/>
          <w:sz w:val="20"/>
          <w:szCs w:val="20"/>
        </w:rPr>
        <w:t>doi</w:t>
      </w:r>
      <w:proofErr w:type="spellEnd"/>
      <w:r w:rsidRPr="002C3D1C">
        <w:rPr>
          <w:rFonts w:ascii="Garamond" w:hAnsi="Garamond"/>
          <w:bCs/>
          <w:iCs/>
          <w:sz w:val="20"/>
          <w:szCs w:val="20"/>
        </w:rPr>
        <w:t>: 10.1371/journal.pgph.0000505</w:t>
      </w:r>
    </w:p>
    <w:p w14:paraId="0531C12F"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Peters L, Burkert S, Brenner C, Grüner B. Experienced stigma during COVID-19 in Germany. BMJ Open. 2022;12(8</w:t>
      </w:r>
      <w:proofErr w:type="gramStart"/>
      <w:r w:rsidRPr="002C3D1C">
        <w:rPr>
          <w:rFonts w:ascii="Garamond" w:hAnsi="Garamond"/>
          <w:bCs/>
          <w:iCs/>
          <w:sz w:val="20"/>
          <w:szCs w:val="20"/>
        </w:rPr>
        <w:t>):e</w:t>
      </w:r>
      <w:proofErr w:type="gramEnd"/>
      <w:r w:rsidRPr="002C3D1C">
        <w:rPr>
          <w:rFonts w:ascii="Garamond" w:hAnsi="Garamond"/>
          <w:bCs/>
          <w:iCs/>
          <w:sz w:val="20"/>
          <w:szCs w:val="20"/>
        </w:rPr>
        <w:t>059472. doi:10.1136/bmjopen-2021-059472</w:t>
      </w:r>
    </w:p>
    <w:p w14:paraId="60CCEAAF"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Tobin E, Asogun D, </w:t>
      </w:r>
      <w:proofErr w:type="spellStart"/>
      <w:r w:rsidRPr="002C3D1C">
        <w:rPr>
          <w:rFonts w:ascii="Garamond" w:hAnsi="Garamond"/>
          <w:bCs/>
          <w:iCs/>
          <w:sz w:val="20"/>
          <w:szCs w:val="20"/>
        </w:rPr>
        <w:t>Okonofua</w:t>
      </w:r>
      <w:proofErr w:type="spellEnd"/>
      <w:r w:rsidRPr="002C3D1C">
        <w:rPr>
          <w:rFonts w:ascii="Garamond" w:hAnsi="Garamond"/>
          <w:bCs/>
          <w:iCs/>
          <w:sz w:val="20"/>
          <w:szCs w:val="20"/>
        </w:rPr>
        <w:t xml:space="preserve"> M, </w:t>
      </w:r>
      <w:proofErr w:type="spellStart"/>
      <w:r w:rsidRPr="002C3D1C">
        <w:rPr>
          <w:rFonts w:ascii="Garamond" w:hAnsi="Garamond"/>
          <w:bCs/>
          <w:iCs/>
          <w:sz w:val="20"/>
          <w:szCs w:val="20"/>
        </w:rPr>
        <w:t>Ogbaini</w:t>
      </w:r>
      <w:proofErr w:type="spellEnd"/>
      <w:r w:rsidRPr="002C3D1C">
        <w:rPr>
          <w:rFonts w:ascii="Garamond" w:hAnsi="Garamond"/>
          <w:bCs/>
          <w:iCs/>
          <w:sz w:val="20"/>
          <w:szCs w:val="20"/>
        </w:rPr>
        <w:t xml:space="preserve"> E, </w:t>
      </w:r>
      <w:proofErr w:type="spellStart"/>
      <w:r w:rsidRPr="002C3D1C">
        <w:rPr>
          <w:rFonts w:ascii="Garamond" w:hAnsi="Garamond"/>
          <w:bCs/>
          <w:iCs/>
          <w:sz w:val="20"/>
          <w:szCs w:val="20"/>
        </w:rPr>
        <w:t>Efediyi</w:t>
      </w:r>
      <w:proofErr w:type="spellEnd"/>
      <w:r w:rsidRPr="002C3D1C">
        <w:rPr>
          <w:rFonts w:ascii="Garamond" w:hAnsi="Garamond"/>
          <w:bCs/>
          <w:iCs/>
          <w:sz w:val="20"/>
          <w:szCs w:val="20"/>
        </w:rPr>
        <w:t xml:space="preserve"> G. Psychological support needs during Lassa fever outbreak in Nigeria. Int J Psychol Couns. 2021; 12:115–23. doi:10.5897/IJPC2020.0599</w:t>
      </w:r>
    </w:p>
    <w:p w14:paraId="305427C6"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McPhilbin M, Stepanian K, Yeo C, Elton D, Dunnett D, Jennings H, et al. Impact of COVID-19 on recovery colleges: multi-site qualitative study. </w:t>
      </w:r>
      <w:proofErr w:type="spellStart"/>
      <w:r w:rsidRPr="002C3D1C">
        <w:rPr>
          <w:rFonts w:ascii="Garamond" w:hAnsi="Garamond"/>
          <w:bCs/>
          <w:iCs/>
          <w:sz w:val="20"/>
          <w:szCs w:val="20"/>
        </w:rPr>
        <w:t>BJPsych</w:t>
      </w:r>
      <w:proofErr w:type="spellEnd"/>
      <w:r w:rsidRPr="002C3D1C">
        <w:rPr>
          <w:rFonts w:ascii="Garamond" w:hAnsi="Garamond"/>
          <w:bCs/>
          <w:iCs/>
          <w:sz w:val="20"/>
          <w:szCs w:val="20"/>
        </w:rPr>
        <w:t xml:space="preserve"> Open. 2024;10(3</w:t>
      </w:r>
      <w:proofErr w:type="gramStart"/>
      <w:r w:rsidRPr="002C3D1C">
        <w:rPr>
          <w:rFonts w:ascii="Garamond" w:hAnsi="Garamond"/>
          <w:bCs/>
          <w:iCs/>
          <w:sz w:val="20"/>
          <w:szCs w:val="20"/>
        </w:rPr>
        <w:t>):e</w:t>
      </w:r>
      <w:proofErr w:type="gramEnd"/>
      <w:r w:rsidRPr="002C3D1C">
        <w:rPr>
          <w:rFonts w:ascii="Garamond" w:hAnsi="Garamond"/>
          <w:bCs/>
          <w:iCs/>
          <w:sz w:val="20"/>
          <w:szCs w:val="20"/>
        </w:rPr>
        <w:t>113. doi:10.1192/bjo.2024.70</w:t>
      </w:r>
    </w:p>
    <w:p w14:paraId="2786957F"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proofErr w:type="spellStart"/>
      <w:r w:rsidRPr="002C3D1C">
        <w:rPr>
          <w:rFonts w:ascii="Garamond" w:hAnsi="Garamond"/>
          <w:bCs/>
          <w:iCs/>
          <w:sz w:val="20"/>
          <w:szCs w:val="20"/>
        </w:rPr>
        <w:t>Myovela</w:t>
      </w:r>
      <w:proofErr w:type="spellEnd"/>
      <w:r w:rsidRPr="002C3D1C">
        <w:rPr>
          <w:rFonts w:ascii="Garamond" w:hAnsi="Garamond"/>
          <w:bCs/>
          <w:iCs/>
          <w:sz w:val="20"/>
          <w:szCs w:val="20"/>
        </w:rPr>
        <w:t xml:space="preserve"> EL, </w:t>
      </w:r>
      <w:proofErr w:type="spellStart"/>
      <w:r w:rsidRPr="002C3D1C">
        <w:rPr>
          <w:rFonts w:ascii="Garamond" w:hAnsi="Garamond"/>
          <w:bCs/>
          <w:iCs/>
          <w:sz w:val="20"/>
          <w:szCs w:val="20"/>
        </w:rPr>
        <w:t>Kifaro</w:t>
      </w:r>
      <w:proofErr w:type="spellEnd"/>
      <w:r w:rsidRPr="002C3D1C">
        <w:rPr>
          <w:rFonts w:ascii="Garamond" w:hAnsi="Garamond"/>
          <w:bCs/>
          <w:iCs/>
          <w:sz w:val="20"/>
          <w:szCs w:val="20"/>
        </w:rPr>
        <w:t xml:space="preserve"> EG, </w:t>
      </w:r>
      <w:proofErr w:type="spellStart"/>
      <w:r w:rsidRPr="002C3D1C">
        <w:rPr>
          <w:rFonts w:ascii="Garamond" w:hAnsi="Garamond"/>
          <w:bCs/>
          <w:iCs/>
          <w:sz w:val="20"/>
          <w:szCs w:val="20"/>
        </w:rPr>
        <w:t>Chengula</w:t>
      </w:r>
      <w:proofErr w:type="spellEnd"/>
      <w:r w:rsidRPr="002C3D1C">
        <w:rPr>
          <w:rFonts w:ascii="Garamond" w:hAnsi="Garamond"/>
          <w:bCs/>
          <w:iCs/>
          <w:sz w:val="20"/>
          <w:szCs w:val="20"/>
        </w:rPr>
        <w:t xml:space="preserve"> AA, Kasanga CJ. Knowledge, attitude and practice regarding influenza in Tanzania. </w:t>
      </w:r>
      <w:proofErr w:type="spellStart"/>
      <w:r w:rsidRPr="002C3D1C">
        <w:rPr>
          <w:rFonts w:ascii="Garamond" w:hAnsi="Garamond"/>
          <w:bCs/>
          <w:iCs/>
          <w:sz w:val="20"/>
          <w:szCs w:val="20"/>
        </w:rPr>
        <w:t>Tanzan</w:t>
      </w:r>
      <w:proofErr w:type="spellEnd"/>
      <w:r w:rsidRPr="002C3D1C">
        <w:rPr>
          <w:rFonts w:ascii="Garamond" w:hAnsi="Garamond"/>
          <w:bCs/>
          <w:iCs/>
          <w:sz w:val="20"/>
          <w:szCs w:val="20"/>
        </w:rPr>
        <w:t xml:space="preserve"> J Health Res. 2025;26(6):2976–89.</w:t>
      </w:r>
    </w:p>
    <w:p w14:paraId="7121F64F"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Park MB, Park EY, Lee TS, Lee J. Effect of symptom onset to confirmation on COVID-19 duration. J Med Internet Res. 2021;23(9</w:t>
      </w:r>
      <w:proofErr w:type="gramStart"/>
      <w:r w:rsidRPr="002C3D1C">
        <w:rPr>
          <w:rFonts w:ascii="Garamond" w:hAnsi="Garamond"/>
          <w:bCs/>
          <w:iCs/>
          <w:sz w:val="20"/>
          <w:szCs w:val="20"/>
        </w:rPr>
        <w:t>):e</w:t>
      </w:r>
      <w:proofErr w:type="gramEnd"/>
      <w:r w:rsidRPr="002C3D1C">
        <w:rPr>
          <w:rFonts w:ascii="Garamond" w:hAnsi="Garamond"/>
          <w:bCs/>
          <w:iCs/>
          <w:sz w:val="20"/>
          <w:szCs w:val="20"/>
        </w:rPr>
        <w:t>29576. doi:10.2196/29576</w:t>
      </w:r>
    </w:p>
    <w:p w14:paraId="3EF33859"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Ngoc LA, Hue NT, Kim Dung NT, Hunt X, Shakespeare T, Hameed S, et al. Inclusion of people with disabilities in COVID-19 measures in Vietnam. </w:t>
      </w:r>
      <w:proofErr w:type="spellStart"/>
      <w:r w:rsidRPr="002C3D1C">
        <w:rPr>
          <w:rFonts w:ascii="Garamond" w:hAnsi="Garamond"/>
          <w:bCs/>
          <w:iCs/>
          <w:sz w:val="20"/>
          <w:szCs w:val="20"/>
        </w:rPr>
        <w:t>Disabil</w:t>
      </w:r>
      <w:proofErr w:type="spellEnd"/>
      <w:r w:rsidRPr="002C3D1C">
        <w:rPr>
          <w:rFonts w:ascii="Garamond" w:hAnsi="Garamond"/>
          <w:bCs/>
          <w:iCs/>
          <w:sz w:val="20"/>
          <w:szCs w:val="20"/>
        </w:rPr>
        <w:t xml:space="preserve"> Health J. 2025;18(4):101910. </w:t>
      </w:r>
      <w:proofErr w:type="spellStart"/>
      <w:r w:rsidRPr="002C3D1C">
        <w:rPr>
          <w:rFonts w:ascii="Garamond" w:hAnsi="Garamond"/>
          <w:bCs/>
          <w:iCs/>
          <w:sz w:val="20"/>
          <w:szCs w:val="20"/>
        </w:rPr>
        <w:t>doi</w:t>
      </w:r>
      <w:proofErr w:type="spellEnd"/>
      <w:r w:rsidRPr="002C3D1C">
        <w:rPr>
          <w:rFonts w:ascii="Garamond" w:hAnsi="Garamond"/>
          <w:bCs/>
          <w:iCs/>
          <w:sz w:val="20"/>
          <w:szCs w:val="20"/>
        </w:rPr>
        <w:t>: 10.1016/j.dhjo.2025.101910</w:t>
      </w:r>
    </w:p>
    <w:p w14:paraId="13C58DB8"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Ninsiima LR, Mor SM, Romano JS, Namakula LN, </w:t>
      </w:r>
      <w:proofErr w:type="spellStart"/>
      <w:r w:rsidRPr="002C3D1C">
        <w:rPr>
          <w:rFonts w:ascii="Garamond" w:hAnsi="Garamond"/>
          <w:bCs/>
          <w:iCs/>
          <w:sz w:val="20"/>
          <w:szCs w:val="20"/>
        </w:rPr>
        <w:t>Kankya</w:t>
      </w:r>
      <w:proofErr w:type="spellEnd"/>
      <w:r w:rsidRPr="002C3D1C">
        <w:rPr>
          <w:rFonts w:ascii="Garamond" w:hAnsi="Garamond"/>
          <w:bCs/>
          <w:iCs/>
          <w:sz w:val="20"/>
          <w:szCs w:val="20"/>
        </w:rPr>
        <w:t xml:space="preserve"> C, Kungu J, et al. Drivers of Ebola outbreak in Uganda. BMJ Public Health. 2024;2(2</w:t>
      </w:r>
      <w:proofErr w:type="gramStart"/>
      <w:r w:rsidRPr="002C3D1C">
        <w:rPr>
          <w:rFonts w:ascii="Garamond" w:hAnsi="Garamond"/>
          <w:bCs/>
          <w:iCs/>
          <w:sz w:val="20"/>
          <w:szCs w:val="20"/>
        </w:rPr>
        <w:t>):e</w:t>
      </w:r>
      <w:proofErr w:type="gramEnd"/>
      <w:r w:rsidRPr="002C3D1C">
        <w:rPr>
          <w:rFonts w:ascii="Garamond" w:hAnsi="Garamond"/>
          <w:bCs/>
          <w:iCs/>
          <w:sz w:val="20"/>
          <w:szCs w:val="20"/>
        </w:rPr>
        <w:t>001267. doi:10.1136/bmjph-2024-001267</w:t>
      </w:r>
    </w:p>
    <w:p w14:paraId="1CDA8817"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Bui VN, </w:t>
      </w:r>
      <w:proofErr w:type="spellStart"/>
      <w:r w:rsidRPr="002C3D1C">
        <w:rPr>
          <w:rFonts w:ascii="Garamond" w:hAnsi="Garamond"/>
          <w:bCs/>
          <w:iCs/>
          <w:sz w:val="20"/>
          <w:szCs w:val="20"/>
        </w:rPr>
        <w:t>Oguzie</w:t>
      </w:r>
      <w:proofErr w:type="spellEnd"/>
      <w:r w:rsidRPr="002C3D1C">
        <w:rPr>
          <w:rFonts w:ascii="Garamond" w:hAnsi="Garamond"/>
          <w:bCs/>
          <w:iCs/>
          <w:sz w:val="20"/>
          <w:szCs w:val="20"/>
        </w:rPr>
        <w:t xml:space="preserve"> JU, Dao TD, Bui AN, Tran SD, Nguyen QD, et al. Active surveillance for emerging influenza A virus in Vietnam. Int J Infect Dis. 2025; 161:108132. </w:t>
      </w:r>
      <w:proofErr w:type="spellStart"/>
      <w:r w:rsidRPr="002C3D1C">
        <w:rPr>
          <w:rFonts w:ascii="Garamond" w:hAnsi="Garamond"/>
          <w:bCs/>
          <w:iCs/>
          <w:sz w:val="20"/>
          <w:szCs w:val="20"/>
        </w:rPr>
        <w:t>doi</w:t>
      </w:r>
      <w:proofErr w:type="spellEnd"/>
      <w:r w:rsidRPr="002C3D1C">
        <w:rPr>
          <w:rFonts w:ascii="Garamond" w:hAnsi="Garamond"/>
          <w:bCs/>
          <w:iCs/>
          <w:sz w:val="20"/>
          <w:szCs w:val="20"/>
        </w:rPr>
        <w:t>: 10.1016/j.ijid.2025.108132</w:t>
      </w:r>
    </w:p>
    <w:p w14:paraId="06A38F55"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Asante IA, Nyarko SO, Awuku-Larbi Y, Obeng RA, Sarpong GM, </w:t>
      </w:r>
      <w:proofErr w:type="spellStart"/>
      <w:r w:rsidRPr="002C3D1C">
        <w:rPr>
          <w:rFonts w:ascii="Garamond" w:hAnsi="Garamond"/>
          <w:bCs/>
          <w:iCs/>
          <w:sz w:val="20"/>
          <w:szCs w:val="20"/>
        </w:rPr>
        <w:t>Amenuvor</w:t>
      </w:r>
      <w:proofErr w:type="spellEnd"/>
      <w:r w:rsidRPr="002C3D1C">
        <w:rPr>
          <w:rFonts w:ascii="Garamond" w:hAnsi="Garamond"/>
          <w:bCs/>
          <w:iCs/>
          <w:sz w:val="20"/>
          <w:szCs w:val="20"/>
        </w:rPr>
        <w:t xml:space="preserve"> EAA, et al. Decreased influenza activity during COVID-19 in Ghana. Front Public Health. 2024; 11:1290553. doi:10.3389/fpubh.2023.1290553</w:t>
      </w:r>
    </w:p>
    <w:p w14:paraId="4BBE7377"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Menon VB, George LS. Health system response in Nipah outbreak in India. J Fam Med Prim Care. 2021;10(9):3355–60. </w:t>
      </w:r>
      <w:proofErr w:type="spellStart"/>
      <w:r w:rsidRPr="002C3D1C">
        <w:rPr>
          <w:rFonts w:ascii="Garamond" w:hAnsi="Garamond"/>
          <w:bCs/>
          <w:iCs/>
          <w:sz w:val="20"/>
          <w:szCs w:val="20"/>
        </w:rPr>
        <w:t>doi</w:t>
      </w:r>
      <w:proofErr w:type="spellEnd"/>
      <w:r w:rsidRPr="002C3D1C">
        <w:rPr>
          <w:rFonts w:ascii="Garamond" w:hAnsi="Garamond"/>
          <w:bCs/>
          <w:iCs/>
          <w:sz w:val="20"/>
          <w:szCs w:val="20"/>
        </w:rPr>
        <w:t>: 10.4103/jfmpc.jfmpc_801_21</w:t>
      </w:r>
    </w:p>
    <w:p w14:paraId="64606FEC"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proofErr w:type="spellStart"/>
      <w:r w:rsidRPr="002C3D1C">
        <w:rPr>
          <w:rFonts w:ascii="Garamond" w:hAnsi="Garamond"/>
          <w:bCs/>
          <w:iCs/>
          <w:sz w:val="20"/>
          <w:szCs w:val="20"/>
        </w:rPr>
        <w:t>Kulichenko</w:t>
      </w:r>
      <w:proofErr w:type="spellEnd"/>
      <w:r w:rsidRPr="002C3D1C">
        <w:rPr>
          <w:rFonts w:ascii="Garamond" w:hAnsi="Garamond"/>
          <w:bCs/>
          <w:iCs/>
          <w:sz w:val="20"/>
          <w:szCs w:val="20"/>
        </w:rPr>
        <w:t xml:space="preserve"> A, Ryazanova A, </w:t>
      </w:r>
      <w:proofErr w:type="spellStart"/>
      <w:r w:rsidRPr="002C3D1C">
        <w:rPr>
          <w:rFonts w:ascii="Garamond" w:hAnsi="Garamond"/>
          <w:bCs/>
          <w:iCs/>
          <w:sz w:val="20"/>
          <w:szCs w:val="20"/>
        </w:rPr>
        <w:t>Logvin</w:t>
      </w:r>
      <w:proofErr w:type="spellEnd"/>
      <w:r w:rsidRPr="002C3D1C">
        <w:rPr>
          <w:rFonts w:ascii="Garamond" w:hAnsi="Garamond"/>
          <w:bCs/>
          <w:iCs/>
          <w:sz w:val="20"/>
          <w:szCs w:val="20"/>
        </w:rPr>
        <w:t xml:space="preserve"> F, Eremenko E, Aksenova L, </w:t>
      </w:r>
      <w:proofErr w:type="spellStart"/>
      <w:r w:rsidRPr="002C3D1C">
        <w:rPr>
          <w:rFonts w:ascii="Garamond" w:hAnsi="Garamond"/>
          <w:bCs/>
          <w:iCs/>
          <w:sz w:val="20"/>
          <w:szCs w:val="20"/>
        </w:rPr>
        <w:t>Pisarenko</w:t>
      </w:r>
      <w:proofErr w:type="spellEnd"/>
      <w:r w:rsidRPr="002C3D1C">
        <w:rPr>
          <w:rFonts w:ascii="Garamond" w:hAnsi="Garamond"/>
          <w:bCs/>
          <w:iCs/>
          <w:sz w:val="20"/>
          <w:szCs w:val="20"/>
        </w:rPr>
        <w:t xml:space="preserve"> S, et al. Anthrax in the Russian Federation in 2023. J </w:t>
      </w:r>
      <w:proofErr w:type="spellStart"/>
      <w:r w:rsidRPr="002C3D1C">
        <w:rPr>
          <w:rFonts w:ascii="Garamond" w:hAnsi="Garamond"/>
          <w:bCs/>
          <w:iCs/>
          <w:sz w:val="20"/>
          <w:szCs w:val="20"/>
        </w:rPr>
        <w:t>Microbiol</w:t>
      </w:r>
      <w:proofErr w:type="spellEnd"/>
      <w:r w:rsidRPr="002C3D1C">
        <w:rPr>
          <w:rFonts w:ascii="Garamond" w:hAnsi="Garamond"/>
          <w:bCs/>
          <w:iCs/>
          <w:sz w:val="20"/>
          <w:szCs w:val="20"/>
        </w:rPr>
        <w:t xml:space="preserve"> Epidemiol </w:t>
      </w:r>
      <w:r w:rsidRPr="002C3D1C">
        <w:rPr>
          <w:rFonts w:ascii="Garamond" w:hAnsi="Garamond"/>
          <w:bCs/>
          <w:iCs/>
          <w:sz w:val="20"/>
          <w:szCs w:val="20"/>
        </w:rPr>
        <w:t>Immunobiol. 2024; 101:448–61. doi:10.36233/0372-9311-525</w:t>
      </w:r>
    </w:p>
    <w:p w14:paraId="62B2ACD0"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Ela MZ, Shohel TA, </w:t>
      </w:r>
      <w:proofErr w:type="spellStart"/>
      <w:r w:rsidRPr="002C3D1C">
        <w:rPr>
          <w:rFonts w:ascii="Garamond" w:hAnsi="Garamond"/>
          <w:bCs/>
          <w:iCs/>
          <w:sz w:val="20"/>
          <w:szCs w:val="20"/>
        </w:rPr>
        <w:t>Shovo</w:t>
      </w:r>
      <w:proofErr w:type="spellEnd"/>
      <w:r w:rsidRPr="002C3D1C">
        <w:rPr>
          <w:rFonts w:ascii="Garamond" w:hAnsi="Garamond"/>
          <w:bCs/>
          <w:iCs/>
          <w:sz w:val="20"/>
          <w:szCs w:val="20"/>
        </w:rPr>
        <w:t xml:space="preserve"> TE, Khan L, Jahan N, Hossain MT, et al. Prolonged lockdown in Bangladesh during COVID-19. </w:t>
      </w:r>
      <w:proofErr w:type="spellStart"/>
      <w:r w:rsidRPr="002C3D1C">
        <w:rPr>
          <w:rFonts w:ascii="Garamond" w:hAnsi="Garamond"/>
          <w:bCs/>
          <w:iCs/>
          <w:sz w:val="20"/>
          <w:szCs w:val="20"/>
        </w:rPr>
        <w:t>Heliyon</w:t>
      </w:r>
      <w:proofErr w:type="spellEnd"/>
      <w:r w:rsidRPr="002C3D1C">
        <w:rPr>
          <w:rFonts w:ascii="Garamond" w:hAnsi="Garamond"/>
          <w:bCs/>
          <w:iCs/>
          <w:sz w:val="20"/>
          <w:szCs w:val="20"/>
        </w:rPr>
        <w:t>. 2021;7(2</w:t>
      </w:r>
      <w:proofErr w:type="gramStart"/>
      <w:r w:rsidRPr="002C3D1C">
        <w:rPr>
          <w:rFonts w:ascii="Garamond" w:hAnsi="Garamond"/>
          <w:bCs/>
          <w:iCs/>
          <w:sz w:val="20"/>
          <w:szCs w:val="20"/>
        </w:rPr>
        <w:t>):e</w:t>
      </w:r>
      <w:proofErr w:type="gramEnd"/>
      <w:r w:rsidRPr="002C3D1C">
        <w:rPr>
          <w:rFonts w:ascii="Garamond" w:hAnsi="Garamond"/>
          <w:bCs/>
          <w:iCs/>
          <w:sz w:val="20"/>
          <w:szCs w:val="20"/>
        </w:rPr>
        <w:t xml:space="preserve">06263. </w:t>
      </w:r>
      <w:proofErr w:type="spellStart"/>
      <w:r w:rsidRPr="002C3D1C">
        <w:rPr>
          <w:rFonts w:ascii="Garamond" w:hAnsi="Garamond"/>
          <w:bCs/>
          <w:iCs/>
          <w:sz w:val="20"/>
          <w:szCs w:val="20"/>
        </w:rPr>
        <w:t>doi</w:t>
      </w:r>
      <w:proofErr w:type="spellEnd"/>
      <w:r w:rsidRPr="002C3D1C">
        <w:rPr>
          <w:rFonts w:ascii="Garamond" w:hAnsi="Garamond"/>
          <w:bCs/>
          <w:iCs/>
          <w:sz w:val="20"/>
          <w:szCs w:val="20"/>
        </w:rPr>
        <w:t>: 10.1016/</w:t>
      </w:r>
      <w:proofErr w:type="spellStart"/>
      <w:r w:rsidRPr="002C3D1C">
        <w:rPr>
          <w:rFonts w:ascii="Garamond" w:hAnsi="Garamond"/>
          <w:bCs/>
          <w:iCs/>
          <w:sz w:val="20"/>
          <w:szCs w:val="20"/>
        </w:rPr>
        <w:t>j.heliyon</w:t>
      </w:r>
      <w:proofErr w:type="spellEnd"/>
      <w:r w:rsidRPr="002C3D1C">
        <w:rPr>
          <w:rFonts w:ascii="Garamond" w:hAnsi="Garamond"/>
          <w:bCs/>
          <w:iCs/>
          <w:sz w:val="20"/>
          <w:szCs w:val="20"/>
        </w:rPr>
        <w:t>. 2021.e06263</w:t>
      </w:r>
    </w:p>
    <w:p w14:paraId="7B9C9FF8"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Leão ACQ, Raymundo SF, </w:t>
      </w:r>
      <w:proofErr w:type="spellStart"/>
      <w:r w:rsidRPr="002C3D1C">
        <w:rPr>
          <w:rFonts w:ascii="Garamond" w:hAnsi="Garamond"/>
          <w:bCs/>
          <w:iCs/>
          <w:sz w:val="20"/>
          <w:szCs w:val="20"/>
        </w:rPr>
        <w:t>Fialkovitz</w:t>
      </w:r>
      <w:proofErr w:type="spellEnd"/>
      <w:r w:rsidRPr="002C3D1C">
        <w:rPr>
          <w:rFonts w:ascii="Garamond" w:hAnsi="Garamond"/>
          <w:bCs/>
          <w:iCs/>
          <w:sz w:val="20"/>
          <w:szCs w:val="20"/>
        </w:rPr>
        <w:t xml:space="preserve"> G, </w:t>
      </w:r>
      <w:proofErr w:type="spellStart"/>
      <w:r w:rsidRPr="002C3D1C">
        <w:rPr>
          <w:rFonts w:ascii="Garamond" w:hAnsi="Garamond"/>
          <w:bCs/>
          <w:iCs/>
          <w:sz w:val="20"/>
          <w:szCs w:val="20"/>
        </w:rPr>
        <w:t>Casadio</w:t>
      </w:r>
      <w:proofErr w:type="spellEnd"/>
      <w:r w:rsidRPr="002C3D1C">
        <w:rPr>
          <w:rFonts w:ascii="Garamond" w:hAnsi="Garamond"/>
          <w:bCs/>
          <w:iCs/>
          <w:sz w:val="20"/>
          <w:szCs w:val="20"/>
        </w:rPr>
        <w:t xml:space="preserve"> LVB, Roemer T, Pisciotta KR, et al. yellow fever outbreak perspectives in Brazil. Am J Trop Med </w:t>
      </w:r>
      <w:proofErr w:type="spellStart"/>
      <w:r w:rsidRPr="002C3D1C">
        <w:rPr>
          <w:rFonts w:ascii="Garamond" w:hAnsi="Garamond"/>
          <w:bCs/>
          <w:iCs/>
          <w:sz w:val="20"/>
          <w:szCs w:val="20"/>
        </w:rPr>
        <w:t>Hyg</w:t>
      </w:r>
      <w:proofErr w:type="spellEnd"/>
      <w:r w:rsidRPr="002C3D1C">
        <w:rPr>
          <w:rFonts w:ascii="Garamond" w:hAnsi="Garamond"/>
          <w:bCs/>
          <w:iCs/>
          <w:sz w:val="20"/>
          <w:szCs w:val="20"/>
        </w:rPr>
        <w:t>. 2025;112(6):1302–12. doi:10.4269/ajtmh.24-0519</w:t>
      </w:r>
    </w:p>
    <w:p w14:paraId="42B1E953"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proofErr w:type="spellStart"/>
      <w:r w:rsidRPr="002C3D1C">
        <w:rPr>
          <w:rFonts w:ascii="Garamond" w:hAnsi="Garamond"/>
          <w:bCs/>
          <w:iCs/>
          <w:sz w:val="20"/>
          <w:szCs w:val="20"/>
        </w:rPr>
        <w:t>Greindl</w:t>
      </w:r>
      <w:proofErr w:type="spellEnd"/>
      <w:r w:rsidRPr="002C3D1C">
        <w:rPr>
          <w:rFonts w:ascii="Garamond" w:hAnsi="Garamond"/>
          <w:bCs/>
          <w:iCs/>
          <w:sz w:val="20"/>
          <w:szCs w:val="20"/>
        </w:rPr>
        <w:t xml:space="preserve"> S, Di Gangi S, Plate A, Senn O, Neuner-Jehle S. Nursing home directors during COVID-19 in Switzerland. Front Public Health. 2024; 12:1292379. doi:10.3389/fpubh.2024.1292379</w:t>
      </w:r>
    </w:p>
    <w:p w14:paraId="3E50F523"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Devamani C, Biran A, Ariyoshi K, John K, Ross I, Kubo Y, et al. Cost of illness of scrub typhus in South India. </w:t>
      </w:r>
      <w:proofErr w:type="spellStart"/>
      <w:r w:rsidRPr="002C3D1C">
        <w:rPr>
          <w:rFonts w:ascii="Garamond" w:hAnsi="Garamond"/>
          <w:bCs/>
          <w:iCs/>
          <w:sz w:val="20"/>
          <w:szCs w:val="20"/>
        </w:rPr>
        <w:t>PLoS</w:t>
      </w:r>
      <w:proofErr w:type="spellEnd"/>
      <w:r w:rsidRPr="002C3D1C">
        <w:rPr>
          <w:rFonts w:ascii="Garamond" w:hAnsi="Garamond"/>
          <w:bCs/>
          <w:iCs/>
          <w:sz w:val="20"/>
          <w:szCs w:val="20"/>
        </w:rPr>
        <w:t xml:space="preserve"> </w:t>
      </w:r>
      <w:proofErr w:type="spellStart"/>
      <w:r w:rsidRPr="002C3D1C">
        <w:rPr>
          <w:rFonts w:ascii="Garamond" w:hAnsi="Garamond"/>
          <w:bCs/>
          <w:iCs/>
          <w:sz w:val="20"/>
          <w:szCs w:val="20"/>
        </w:rPr>
        <w:t>Negl</w:t>
      </w:r>
      <w:proofErr w:type="spellEnd"/>
      <w:r w:rsidRPr="002C3D1C">
        <w:rPr>
          <w:rFonts w:ascii="Garamond" w:hAnsi="Garamond"/>
          <w:bCs/>
          <w:iCs/>
          <w:sz w:val="20"/>
          <w:szCs w:val="20"/>
        </w:rPr>
        <w:t xml:space="preserve"> Trop Dis. 2026;20(2</w:t>
      </w:r>
      <w:proofErr w:type="gramStart"/>
      <w:r w:rsidRPr="002C3D1C">
        <w:rPr>
          <w:rFonts w:ascii="Garamond" w:hAnsi="Garamond"/>
          <w:bCs/>
          <w:iCs/>
          <w:sz w:val="20"/>
          <w:szCs w:val="20"/>
        </w:rPr>
        <w:t>):e</w:t>
      </w:r>
      <w:proofErr w:type="gramEnd"/>
      <w:r w:rsidRPr="002C3D1C">
        <w:rPr>
          <w:rFonts w:ascii="Garamond" w:hAnsi="Garamond"/>
          <w:bCs/>
          <w:iCs/>
          <w:sz w:val="20"/>
          <w:szCs w:val="20"/>
        </w:rPr>
        <w:t xml:space="preserve">0013960. </w:t>
      </w:r>
      <w:proofErr w:type="spellStart"/>
      <w:r w:rsidRPr="002C3D1C">
        <w:rPr>
          <w:rFonts w:ascii="Garamond" w:hAnsi="Garamond"/>
          <w:bCs/>
          <w:iCs/>
          <w:sz w:val="20"/>
          <w:szCs w:val="20"/>
        </w:rPr>
        <w:t>doi</w:t>
      </w:r>
      <w:proofErr w:type="spellEnd"/>
      <w:r w:rsidRPr="002C3D1C">
        <w:rPr>
          <w:rFonts w:ascii="Garamond" w:hAnsi="Garamond"/>
          <w:bCs/>
          <w:iCs/>
          <w:sz w:val="20"/>
          <w:szCs w:val="20"/>
        </w:rPr>
        <w:t>: 10.1371/journal.pntd.0013960</w:t>
      </w:r>
    </w:p>
    <w:p w14:paraId="42D90D57"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Nagashima-Hayashi M, Neo P, Hui S, Wong G, Knop M, Shrestha P, et al. Protective psychological factors among healthcare professionals in Singapore. J Workplace </w:t>
      </w:r>
      <w:proofErr w:type="spellStart"/>
      <w:r w:rsidRPr="002C3D1C">
        <w:rPr>
          <w:rFonts w:ascii="Garamond" w:hAnsi="Garamond"/>
          <w:bCs/>
          <w:iCs/>
          <w:sz w:val="20"/>
          <w:szCs w:val="20"/>
        </w:rPr>
        <w:t>Behav</w:t>
      </w:r>
      <w:proofErr w:type="spellEnd"/>
      <w:r w:rsidRPr="002C3D1C">
        <w:rPr>
          <w:rFonts w:ascii="Garamond" w:hAnsi="Garamond"/>
          <w:bCs/>
          <w:iCs/>
          <w:sz w:val="20"/>
          <w:szCs w:val="20"/>
        </w:rPr>
        <w:t xml:space="preserve"> Health. 2023; 38:1–28. doi:10.1080/15555240.2023.2237673</w:t>
      </w:r>
    </w:p>
    <w:p w14:paraId="1BE1A357"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Diagne MM, Fall G, Sall A, Sow B, Ndiaye NA, Gaye A, et al. Rift Valley fever outbreak in Senegal. J Med </w:t>
      </w:r>
      <w:proofErr w:type="spellStart"/>
      <w:r w:rsidRPr="002C3D1C">
        <w:rPr>
          <w:rFonts w:ascii="Garamond" w:hAnsi="Garamond"/>
          <w:bCs/>
          <w:iCs/>
          <w:sz w:val="20"/>
          <w:szCs w:val="20"/>
        </w:rPr>
        <w:t>Virol</w:t>
      </w:r>
      <w:proofErr w:type="spellEnd"/>
      <w:r w:rsidRPr="002C3D1C">
        <w:rPr>
          <w:rFonts w:ascii="Garamond" w:hAnsi="Garamond"/>
          <w:bCs/>
          <w:iCs/>
          <w:sz w:val="20"/>
          <w:szCs w:val="20"/>
        </w:rPr>
        <w:t>. 2025;97(12</w:t>
      </w:r>
      <w:proofErr w:type="gramStart"/>
      <w:r w:rsidRPr="002C3D1C">
        <w:rPr>
          <w:rFonts w:ascii="Garamond" w:hAnsi="Garamond"/>
          <w:bCs/>
          <w:iCs/>
          <w:sz w:val="20"/>
          <w:szCs w:val="20"/>
        </w:rPr>
        <w:t>):e</w:t>
      </w:r>
      <w:proofErr w:type="gramEnd"/>
      <w:r w:rsidRPr="002C3D1C">
        <w:rPr>
          <w:rFonts w:ascii="Garamond" w:hAnsi="Garamond"/>
          <w:bCs/>
          <w:iCs/>
          <w:sz w:val="20"/>
          <w:szCs w:val="20"/>
        </w:rPr>
        <w:t>70734. doi:10.1002/jmv.70734</w:t>
      </w:r>
    </w:p>
    <w:p w14:paraId="3A440730"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proofErr w:type="spellStart"/>
      <w:r w:rsidRPr="002C3D1C">
        <w:rPr>
          <w:rFonts w:ascii="Garamond" w:hAnsi="Garamond"/>
          <w:bCs/>
          <w:iCs/>
          <w:sz w:val="20"/>
          <w:szCs w:val="20"/>
        </w:rPr>
        <w:t>Millones</w:t>
      </w:r>
      <w:proofErr w:type="spellEnd"/>
      <w:r w:rsidRPr="002C3D1C">
        <w:rPr>
          <w:rFonts w:ascii="Garamond" w:hAnsi="Garamond"/>
          <w:bCs/>
          <w:iCs/>
          <w:sz w:val="20"/>
          <w:szCs w:val="20"/>
        </w:rPr>
        <w:t xml:space="preserve"> et al. (Retained as cited; details unavailable.)</w:t>
      </w:r>
    </w:p>
    <w:p w14:paraId="5ED49A52"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Song W, He F, Deng Z, Hu M, Fang K, Cheng W, et al. Avian influenza virus dynamics in China. Infect Dis Model. 2025;10(4):1126–37. </w:t>
      </w:r>
      <w:proofErr w:type="spellStart"/>
      <w:r w:rsidRPr="002C3D1C">
        <w:rPr>
          <w:rFonts w:ascii="Garamond" w:hAnsi="Garamond"/>
          <w:bCs/>
          <w:iCs/>
          <w:sz w:val="20"/>
          <w:szCs w:val="20"/>
        </w:rPr>
        <w:t>doi</w:t>
      </w:r>
      <w:proofErr w:type="spellEnd"/>
      <w:r w:rsidRPr="002C3D1C">
        <w:rPr>
          <w:rFonts w:ascii="Garamond" w:hAnsi="Garamond"/>
          <w:bCs/>
          <w:iCs/>
          <w:sz w:val="20"/>
          <w:szCs w:val="20"/>
        </w:rPr>
        <w:t>: 10.1016/j.idm.2025.06.002</w:t>
      </w:r>
    </w:p>
    <w:p w14:paraId="1D312C7C"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proofErr w:type="spellStart"/>
      <w:r w:rsidRPr="002C3D1C">
        <w:rPr>
          <w:rFonts w:ascii="Garamond" w:hAnsi="Garamond"/>
          <w:bCs/>
          <w:iCs/>
          <w:sz w:val="20"/>
          <w:szCs w:val="20"/>
        </w:rPr>
        <w:t>Wiethoelter</w:t>
      </w:r>
      <w:proofErr w:type="spellEnd"/>
      <w:r w:rsidRPr="002C3D1C">
        <w:rPr>
          <w:rFonts w:ascii="Garamond" w:hAnsi="Garamond"/>
          <w:bCs/>
          <w:iCs/>
          <w:sz w:val="20"/>
          <w:szCs w:val="20"/>
        </w:rPr>
        <w:t xml:space="preserve"> AK, Sawford K, Schembri N, Taylor MR, Dhand NK, Moloney B, et al. Australian horse owners and Hendra virus. Prev Vet Med. 2017; 140:67–77. </w:t>
      </w:r>
      <w:proofErr w:type="spellStart"/>
      <w:r w:rsidRPr="002C3D1C">
        <w:rPr>
          <w:rFonts w:ascii="Garamond" w:hAnsi="Garamond"/>
          <w:bCs/>
          <w:iCs/>
          <w:sz w:val="20"/>
          <w:szCs w:val="20"/>
        </w:rPr>
        <w:t>doi</w:t>
      </w:r>
      <w:proofErr w:type="spellEnd"/>
      <w:r w:rsidRPr="002C3D1C">
        <w:rPr>
          <w:rFonts w:ascii="Garamond" w:hAnsi="Garamond"/>
          <w:bCs/>
          <w:iCs/>
          <w:sz w:val="20"/>
          <w:szCs w:val="20"/>
        </w:rPr>
        <w:t>: 10.1016/j.prevetmed.2017.03.003</w:t>
      </w:r>
    </w:p>
    <w:p w14:paraId="02844BB8"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Anderson C. Characterizing U.S. agency approaches to cervid carcass disposal. University Digital Conservancy; 2023.</w:t>
      </w:r>
    </w:p>
    <w:p w14:paraId="28598DF0" w14:textId="77777777" w:rsidR="00183DC5" w:rsidRPr="002C3D1C" w:rsidRDefault="00183DC5" w:rsidP="00183DC5">
      <w:pPr>
        <w:numPr>
          <w:ilvl w:val="0"/>
          <w:numId w:val="26"/>
        </w:numPr>
        <w:tabs>
          <w:tab w:val="clear" w:pos="720"/>
          <w:tab w:val="num" w:pos="426"/>
        </w:tabs>
        <w:ind w:left="283" w:hanging="357"/>
        <w:rPr>
          <w:rFonts w:ascii="Garamond" w:hAnsi="Garamond"/>
          <w:bCs/>
          <w:iCs/>
          <w:sz w:val="20"/>
          <w:szCs w:val="20"/>
        </w:rPr>
      </w:pPr>
      <w:r w:rsidRPr="002C3D1C">
        <w:rPr>
          <w:rFonts w:ascii="Garamond" w:hAnsi="Garamond"/>
          <w:bCs/>
          <w:iCs/>
          <w:sz w:val="20"/>
          <w:szCs w:val="20"/>
        </w:rPr>
        <w:t xml:space="preserve">World Health Organization Regional Office for Europe. Assessing governance for health and well-being: operationalizing whole-of-government approaches. Copenhagen: WHO Regional Office for Europe; 2020. License: CC BY-NC-SA 3.0 IGO. Available from: </w:t>
      </w:r>
      <w:hyperlink r:id="rId26" w:history="1">
        <w:r w:rsidRPr="002C3D1C">
          <w:rPr>
            <w:rStyle w:val="Hyperlink"/>
            <w:rFonts w:ascii="Garamond" w:hAnsi="Garamond"/>
            <w:bCs/>
            <w:iCs/>
            <w:sz w:val="20"/>
            <w:szCs w:val="20"/>
          </w:rPr>
          <w:t>https://cdn.who.int/media/docs/librariesprovider2/euro-health-topics/governance/governance-for-health-and-well-being-technical-paper.pdf?</w:t>
        </w:r>
      </w:hyperlink>
    </w:p>
    <w:p w14:paraId="3489E2EE" w14:textId="77777777" w:rsidR="00183DC5" w:rsidRPr="002C3D1C" w:rsidRDefault="00183DC5" w:rsidP="002C3D1C">
      <w:pPr>
        <w:spacing w:line="259" w:lineRule="auto"/>
        <w:jc w:val="both"/>
        <w:rPr>
          <w:rFonts w:ascii="Garamond" w:hAnsi="Garamond"/>
          <w:bCs/>
          <w:iCs/>
          <w:sz w:val="20"/>
          <w:szCs w:val="20"/>
        </w:rPr>
      </w:pPr>
    </w:p>
    <w:sectPr w:rsidR="00183DC5" w:rsidRPr="002C3D1C" w:rsidSect="00183DC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B1ABD" w14:textId="77777777" w:rsidR="009207FF" w:rsidRDefault="009207FF" w:rsidP="00202B90">
      <w:r>
        <w:separator/>
      </w:r>
    </w:p>
  </w:endnote>
  <w:endnote w:type="continuationSeparator" w:id="0">
    <w:p w14:paraId="566AF73E" w14:textId="77777777" w:rsidR="009207FF" w:rsidRDefault="009207FF"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8" w:name="_Hlk114232143"/>
    <w:bookmarkStart w:id="9"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8"/>
    <w:bookmarkEnd w:id="9"/>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50FD1" w14:textId="77777777" w:rsidR="009207FF" w:rsidRDefault="009207FF" w:rsidP="00202B90">
      <w:bookmarkStart w:id="0" w:name="_Hlk191386689"/>
      <w:bookmarkEnd w:id="0"/>
      <w:r>
        <w:separator/>
      </w:r>
    </w:p>
  </w:footnote>
  <w:footnote w:type="continuationSeparator" w:id="0">
    <w:p w14:paraId="66547F14" w14:textId="77777777" w:rsidR="009207FF" w:rsidRDefault="009207FF"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7"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7"/>
  <w:p w14:paraId="7710A075" w14:textId="77777777" w:rsidR="002C2EF5" w:rsidRPr="002C2EF5" w:rsidRDefault="002C2EF5" w:rsidP="002C2EF5">
    <w:pPr>
      <w:pStyle w:val="Header"/>
      <w:tabs>
        <w:tab w:val="left" w:pos="630"/>
      </w:tabs>
      <w:rPr>
        <w:rFonts w:ascii="Garamond" w:hAnsi="Garamond"/>
        <w:sz w:val="20"/>
        <w:szCs w:val="22"/>
      </w:rPr>
    </w:pPr>
    <w:r w:rsidRPr="002C2EF5">
      <w:rPr>
        <w:rFonts w:ascii="Garamond" w:hAnsi="Garamond"/>
        <w:sz w:val="20"/>
        <w:szCs w:val="22"/>
      </w:rPr>
      <w:t>Social and Institutional Factors Influencing Multisectoral Coordination in One Health Outbreak Response</w:t>
    </w:r>
  </w:p>
  <w:p w14:paraId="5D172485" w14:textId="6C32A63B" w:rsidR="002238CA" w:rsidRPr="00383DF5" w:rsidRDefault="002C2EF5" w:rsidP="00E94E49">
    <w:pPr>
      <w:pStyle w:val="Header"/>
      <w:tabs>
        <w:tab w:val="clear" w:pos="4320"/>
        <w:tab w:val="clear" w:pos="8640"/>
        <w:tab w:val="left" w:pos="630"/>
      </w:tabs>
      <w:jc w:val="both"/>
      <w:rPr>
        <w:rFonts w:ascii="Garamond" w:hAnsi="Garamond"/>
        <w:sz w:val="20"/>
        <w:szCs w:val="22"/>
        <w:lang w:val="en-GB"/>
      </w:rPr>
    </w:pPr>
    <w:r w:rsidRPr="00383DF5">
      <w:rPr>
        <w:rFonts w:ascii="Garamond" w:hAnsi="Garamond"/>
        <w:sz w:val="20"/>
        <w:szCs w:val="22"/>
      </w:rPr>
      <w:t xml:space="preserve">Chia and </w:t>
    </w:r>
    <w:proofErr w:type="spellStart"/>
    <w:r w:rsidR="00383DF5" w:rsidRPr="00383DF5">
      <w:rPr>
        <w:rFonts w:ascii="Garamond" w:hAnsi="Garamond"/>
        <w:sz w:val="20"/>
        <w:szCs w:val="22"/>
      </w:rPr>
      <w:t>Gololo</w:t>
    </w:r>
    <w:proofErr w:type="spellEnd"/>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4D61086" w14:textId="77777777" w:rsidR="00383DF5" w:rsidRPr="002C2EF5" w:rsidRDefault="00383DF5" w:rsidP="00383DF5">
    <w:pPr>
      <w:pStyle w:val="Header"/>
      <w:tabs>
        <w:tab w:val="left" w:pos="630"/>
      </w:tabs>
      <w:rPr>
        <w:rFonts w:ascii="Garamond" w:hAnsi="Garamond"/>
        <w:sz w:val="20"/>
        <w:szCs w:val="22"/>
      </w:rPr>
    </w:pPr>
    <w:r w:rsidRPr="002C2EF5">
      <w:rPr>
        <w:rFonts w:ascii="Garamond" w:hAnsi="Garamond"/>
        <w:sz w:val="20"/>
        <w:szCs w:val="22"/>
      </w:rPr>
      <w:t>Social and Institutional Factors Influencing Multisectoral Coordination in One Health Outbreak Response</w:t>
    </w:r>
  </w:p>
  <w:p w14:paraId="3344C962" w14:textId="77777777" w:rsidR="00383DF5" w:rsidRPr="00383DF5" w:rsidRDefault="00383DF5" w:rsidP="00383DF5">
    <w:pPr>
      <w:pStyle w:val="Header"/>
      <w:tabs>
        <w:tab w:val="clear" w:pos="4320"/>
        <w:tab w:val="clear" w:pos="8640"/>
        <w:tab w:val="left" w:pos="630"/>
      </w:tabs>
      <w:jc w:val="both"/>
      <w:rPr>
        <w:rFonts w:ascii="Garamond" w:hAnsi="Garamond"/>
        <w:sz w:val="20"/>
        <w:szCs w:val="22"/>
        <w:lang w:val="en-GB"/>
      </w:rPr>
    </w:pPr>
    <w:r w:rsidRPr="00383DF5">
      <w:rPr>
        <w:rFonts w:ascii="Garamond" w:hAnsi="Garamond"/>
        <w:sz w:val="20"/>
        <w:szCs w:val="22"/>
      </w:rPr>
      <w:t xml:space="preserve">Chia and </w:t>
    </w:r>
    <w:proofErr w:type="spellStart"/>
    <w:r w:rsidRPr="00383DF5">
      <w:rPr>
        <w:rFonts w:ascii="Garamond" w:hAnsi="Garamond"/>
        <w:sz w:val="20"/>
        <w:szCs w:val="22"/>
      </w:rPr>
      <w:t>Gololo</w:t>
    </w:r>
    <w:proofErr w:type="spellEnd"/>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A9A0804" w14:textId="77777777" w:rsidR="00383DF5" w:rsidRPr="002C2EF5" w:rsidRDefault="00383DF5" w:rsidP="00383DF5">
    <w:pPr>
      <w:pStyle w:val="Header"/>
      <w:tabs>
        <w:tab w:val="left" w:pos="630"/>
      </w:tabs>
      <w:rPr>
        <w:rFonts w:ascii="Garamond" w:hAnsi="Garamond"/>
        <w:sz w:val="20"/>
        <w:szCs w:val="22"/>
      </w:rPr>
    </w:pPr>
    <w:r w:rsidRPr="002C2EF5">
      <w:rPr>
        <w:rFonts w:ascii="Garamond" w:hAnsi="Garamond"/>
        <w:sz w:val="20"/>
        <w:szCs w:val="22"/>
      </w:rPr>
      <w:t>Social and Institutional Factors Influencing Multisectoral Coordination in One Health Outbreak Response</w:t>
    </w:r>
  </w:p>
  <w:p w14:paraId="32327598" w14:textId="77777777" w:rsidR="00383DF5" w:rsidRPr="00383DF5" w:rsidRDefault="00383DF5" w:rsidP="00383DF5">
    <w:pPr>
      <w:pStyle w:val="Header"/>
      <w:tabs>
        <w:tab w:val="clear" w:pos="4320"/>
        <w:tab w:val="clear" w:pos="8640"/>
        <w:tab w:val="left" w:pos="630"/>
      </w:tabs>
      <w:jc w:val="both"/>
      <w:rPr>
        <w:rFonts w:ascii="Garamond" w:hAnsi="Garamond"/>
        <w:sz w:val="20"/>
        <w:szCs w:val="22"/>
        <w:lang w:val="en-GB"/>
      </w:rPr>
    </w:pPr>
    <w:r w:rsidRPr="00383DF5">
      <w:rPr>
        <w:rFonts w:ascii="Garamond" w:hAnsi="Garamond"/>
        <w:sz w:val="20"/>
        <w:szCs w:val="22"/>
      </w:rPr>
      <w:t xml:space="preserve">Chia and </w:t>
    </w:r>
    <w:proofErr w:type="spellStart"/>
    <w:r w:rsidRPr="00383DF5">
      <w:rPr>
        <w:rFonts w:ascii="Garamond" w:hAnsi="Garamond"/>
        <w:sz w:val="20"/>
        <w:szCs w:val="22"/>
      </w:rPr>
      <w:t>Gololo</w:t>
    </w:r>
    <w:proofErr w:type="spellEnd"/>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063AB"/>
    <w:multiLevelType w:val="multilevel"/>
    <w:tmpl w:val="CC1A9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D81075"/>
    <w:multiLevelType w:val="multilevel"/>
    <w:tmpl w:val="0E16B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5"/>
  </w:num>
  <w:num w:numId="24" w16cid:durableId="1200505831">
    <w:abstractNumId w:val="23"/>
  </w:num>
  <w:num w:numId="25" w16cid:durableId="1501195848">
    <w:abstractNumId w:val="3"/>
  </w:num>
  <w:num w:numId="26" w16cid:durableId="2125807947">
    <w:abstractNumId w:val="26"/>
  </w:num>
  <w:num w:numId="27" w16cid:durableId="136035705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4A05"/>
    <w:rsid w:val="000372C5"/>
    <w:rsid w:val="00040ADD"/>
    <w:rsid w:val="000413D3"/>
    <w:rsid w:val="00044076"/>
    <w:rsid w:val="00045140"/>
    <w:rsid w:val="00047BAC"/>
    <w:rsid w:val="00057CF5"/>
    <w:rsid w:val="00064214"/>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3DC5"/>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2EF5"/>
    <w:rsid w:val="002C3C99"/>
    <w:rsid w:val="002C3D1C"/>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3DF5"/>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29DB"/>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92037"/>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04B"/>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17BED"/>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07FF"/>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067E"/>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96D0B"/>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5B58"/>
    <w:rsid w:val="00EC6106"/>
    <w:rsid w:val="00ED072B"/>
    <w:rsid w:val="00ED2322"/>
    <w:rsid w:val="00ED3666"/>
    <w:rsid w:val="00ED43F6"/>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38DC"/>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B0067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amsuega@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cdn.who.int/media/docs/librariesprovider2/euro-health-topics/governance/governance-for-health-and-well-being-technical-paper.pdf?"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45"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45"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5457</Words>
  <Characters>31111</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2026-04-06T08:09:00Z</dcterms:created>
  <dcterms:modified xsi:type="dcterms:W3CDTF">2026-04-06T08:09:00Z</dcterms:modified>
</cp:coreProperties>
</file>