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2603EF12">
                <wp:simplePos x="0" y="0"/>
                <wp:positionH relativeFrom="column">
                  <wp:posOffset>-238539</wp:posOffset>
                </wp:positionH>
                <wp:positionV relativeFrom="paragraph">
                  <wp:posOffset>122997</wp:posOffset>
                </wp:positionV>
                <wp:extent cx="6419850" cy="1025718"/>
                <wp:effectExtent l="0" t="0" r="19050" b="2222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025718"/>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89EFB57" id="Round Diagonal Corner Rectangle 262" o:spid="_x0000_s1026" style="position:absolute;margin-left:-18.8pt;margin-top:9.7pt;width:505.5pt;height:80.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025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" path="m170956,l6419850,r,l6419850,854762v,94416,-76540,170956,-170956,170956l,1025718r,l,170956c,76540,76540,,170956,xe" fillcolor="#1a601c" strokecolor="#385723" strokeweight="1pt">
                <v:stroke joinstyle="miter"/>
                <v:path arrowok="t" o:connecttype="custom" o:connectlocs="170956,0;6419850,0;6419850,0;6419850,854762;6248894,1025718;0,1025718;0,1025718;0,170956;170956,0" o:connectangles="0,0,0,0,0,0,0,0,0"/>
              </v:shape>
            </w:pict>
          </mc:Fallback>
        </mc:AlternateContent>
      </w:r>
    </w:p>
    <w:p w14:paraId="3B0C4733" w14:textId="77777777" w:rsidR="006D6566" w:rsidRPr="006D6566" w:rsidRDefault="006D6566" w:rsidP="006D6566">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6D6566">
        <w:rPr>
          <w:rFonts w:ascii="Garamond" w:hAnsi="Garamond" w:cs="Times New Roman"/>
          <w:b/>
          <w:bCs/>
          <w:color w:val="FFFFFF" w:themeColor="background1"/>
          <w:sz w:val="32"/>
          <w:szCs w:val="32"/>
        </w:rPr>
        <w:t xml:space="preserve">Beyond Conventional Antibiotics: Molecular Design, Mechanistic Dynamics, and Clinical Translation of Antimicrobial Peptides Against Carbapenem-Resistant </w:t>
      </w:r>
      <w:r w:rsidRPr="006D6566">
        <w:rPr>
          <w:rFonts w:ascii="Garamond" w:hAnsi="Garamond" w:cs="Times New Roman"/>
          <w:b/>
          <w:bCs/>
          <w:i/>
          <w:iCs/>
          <w:color w:val="FFFFFF" w:themeColor="background1"/>
          <w:sz w:val="32"/>
          <w:szCs w:val="32"/>
        </w:rPr>
        <w:t>Acinetobacter baumannii</w:t>
      </w:r>
    </w:p>
    <w:p w14:paraId="1007B2E3" w14:textId="53E9C6A4" w:rsidR="00ED0617" w:rsidRDefault="00ED0617" w:rsidP="00ED0617">
      <w:pPr>
        <w:pBdr>
          <w:bottom w:val="single" w:sz="6" w:space="1" w:color="auto"/>
        </w:pBdr>
        <w:jc w:val="both"/>
        <w:rPr>
          <w:rFonts w:ascii="Garamond" w:hAnsi="Garamond"/>
          <w:b/>
          <w:bCs/>
          <w:i/>
          <w:iCs/>
          <w:color w:val="FFFFFF" w:themeColor="background1"/>
          <w:sz w:val="22"/>
          <w:szCs w:val="22"/>
        </w:rPr>
      </w:pPr>
      <w:r w:rsidRPr="00ED0617">
        <w:rPr>
          <w:rFonts w:ascii="Garamond" w:hAnsi="Garamond"/>
          <w:b/>
          <w:bCs/>
          <w:i/>
          <w:iCs/>
          <w:color w:val="FFFFFF" w:themeColor="background1"/>
          <w:sz w:val="22"/>
          <w:szCs w:val="22"/>
          <w:vertAlign w:val="superscript"/>
        </w:rPr>
        <w:t>1</w:t>
      </w:r>
      <w:r w:rsidRPr="00ED0617">
        <w:rPr>
          <w:rFonts w:ascii="Garamond" w:hAnsi="Garamond"/>
          <w:b/>
          <w:bCs/>
          <w:i/>
          <w:iCs/>
          <w:color w:val="FFFFFF" w:themeColor="background1"/>
          <w:sz w:val="22"/>
          <w:szCs w:val="22"/>
        </w:rPr>
        <w:t xml:space="preserve">Samuel Ebiloma, </w:t>
      </w:r>
      <w:r w:rsidRPr="00ED0617">
        <w:rPr>
          <w:rFonts w:ascii="Garamond" w:hAnsi="Garamond"/>
          <w:b/>
          <w:bCs/>
          <w:i/>
          <w:iCs/>
          <w:color w:val="FFFFFF" w:themeColor="background1"/>
          <w:sz w:val="22"/>
          <w:szCs w:val="22"/>
          <w:vertAlign w:val="superscript"/>
        </w:rPr>
        <w:t>1</w:t>
      </w:r>
      <w:r w:rsidRPr="00ED0617">
        <w:rPr>
          <w:rFonts w:ascii="Garamond" w:hAnsi="Garamond"/>
          <w:b/>
          <w:bCs/>
          <w:i/>
          <w:iCs/>
          <w:color w:val="FFFFFF" w:themeColor="background1"/>
          <w:sz w:val="22"/>
          <w:szCs w:val="22"/>
        </w:rPr>
        <w:t>Okoronkwo Christopher Uche,</w:t>
      </w:r>
      <w:r w:rsidRPr="00ED0617">
        <w:rPr>
          <w:rFonts w:ascii="Garamond" w:hAnsi="Garamond"/>
          <w:b/>
          <w:bCs/>
          <w:i/>
          <w:iCs/>
          <w:color w:val="FFFFFF" w:themeColor="background1"/>
          <w:sz w:val="22"/>
          <w:szCs w:val="22"/>
          <w:vertAlign w:val="superscript"/>
        </w:rPr>
        <w:t xml:space="preserve"> 1</w:t>
      </w:r>
      <w:r w:rsidRPr="00ED0617">
        <w:rPr>
          <w:rFonts w:ascii="Garamond" w:hAnsi="Garamond"/>
          <w:b/>
          <w:bCs/>
          <w:i/>
          <w:iCs/>
          <w:color w:val="FFFFFF" w:themeColor="background1"/>
          <w:sz w:val="22"/>
          <w:szCs w:val="22"/>
        </w:rPr>
        <w:t xml:space="preserve">Happy Uchendu Ndom, </w:t>
      </w:r>
      <w:r w:rsidRPr="00ED0617">
        <w:rPr>
          <w:rFonts w:ascii="Garamond" w:hAnsi="Garamond"/>
          <w:b/>
          <w:bCs/>
          <w:i/>
          <w:iCs/>
          <w:color w:val="FFFFFF" w:themeColor="background1"/>
          <w:sz w:val="22"/>
          <w:szCs w:val="22"/>
          <w:vertAlign w:val="superscript"/>
        </w:rPr>
        <w:t>1</w:t>
      </w:r>
      <w:r w:rsidRPr="00ED0617">
        <w:rPr>
          <w:rFonts w:ascii="Garamond" w:hAnsi="Garamond"/>
          <w:b/>
          <w:bCs/>
          <w:i/>
          <w:iCs/>
          <w:color w:val="FFFFFF" w:themeColor="background1"/>
          <w:sz w:val="22"/>
          <w:szCs w:val="22"/>
        </w:rPr>
        <w:t xml:space="preserve">Nkechi Chuks Nwachukwu, </w:t>
      </w:r>
      <w:r w:rsidRPr="00ED0617">
        <w:rPr>
          <w:rFonts w:ascii="Garamond" w:hAnsi="Garamond"/>
          <w:b/>
          <w:bCs/>
          <w:i/>
          <w:iCs/>
          <w:color w:val="FFFFFF" w:themeColor="background1"/>
          <w:sz w:val="22"/>
          <w:szCs w:val="22"/>
          <w:vertAlign w:val="superscript"/>
        </w:rPr>
        <w:t>1</w:t>
      </w:r>
      <w:r w:rsidRPr="00ED0617">
        <w:rPr>
          <w:rFonts w:ascii="Garamond" w:hAnsi="Garamond"/>
          <w:b/>
          <w:bCs/>
          <w:i/>
          <w:iCs/>
          <w:color w:val="FFFFFF" w:themeColor="background1"/>
          <w:sz w:val="22"/>
          <w:szCs w:val="22"/>
        </w:rPr>
        <w:t>Hope C</w:t>
      </w:r>
      <w:r w:rsidR="00C36D77">
        <w:rPr>
          <w:rFonts w:ascii="Garamond" w:hAnsi="Garamond"/>
          <w:b/>
          <w:bCs/>
          <w:i/>
          <w:iCs/>
          <w:color w:val="FFFFFF" w:themeColor="background1"/>
          <w:sz w:val="22"/>
          <w:szCs w:val="22"/>
        </w:rPr>
        <w:t>hukwuemeka</w:t>
      </w:r>
      <w:r w:rsidRPr="00ED0617">
        <w:rPr>
          <w:rFonts w:ascii="Garamond" w:hAnsi="Garamond"/>
          <w:b/>
          <w:bCs/>
          <w:i/>
          <w:iCs/>
          <w:color w:val="FFFFFF" w:themeColor="background1"/>
          <w:sz w:val="22"/>
          <w:szCs w:val="22"/>
        </w:rPr>
        <w:t xml:space="preserve"> Okere</w:t>
      </w:r>
      <w:r w:rsidR="00C36D77">
        <w:rPr>
          <w:rFonts w:ascii="Garamond" w:hAnsi="Garamond"/>
          <w:b/>
          <w:bCs/>
          <w:i/>
          <w:iCs/>
          <w:color w:val="FFFFFF" w:themeColor="background1"/>
          <w:sz w:val="22"/>
          <w:szCs w:val="22"/>
        </w:rPr>
        <w:t>ke</w:t>
      </w:r>
      <w:r w:rsidRPr="00ED0617">
        <w:rPr>
          <w:rFonts w:ascii="Garamond" w:hAnsi="Garamond"/>
          <w:b/>
          <w:bCs/>
          <w:i/>
          <w:iCs/>
          <w:color w:val="FFFFFF" w:themeColor="background1"/>
          <w:sz w:val="22"/>
          <w:szCs w:val="22"/>
        </w:rPr>
        <w:t xml:space="preserve">, </w:t>
      </w:r>
      <w:r w:rsidRPr="00ED0617">
        <w:rPr>
          <w:rFonts w:ascii="Garamond" w:hAnsi="Garamond"/>
          <w:b/>
          <w:bCs/>
          <w:i/>
          <w:iCs/>
          <w:color w:val="FFFFFF" w:themeColor="background1"/>
          <w:sz w:val="22"/>
          <w:szCs w:val="22"/>
          <w:vertAlign w:val="superscript"/>
        </w:rPr>
        <w:t>1</w:t>
      </w:r>
      <w:r w:rsidRPr="00ED0617">
        <w:rPr>
          <w:rFonts w:ascii="Garamond" w:hAnsi="Garamond"/>
          <w:b/>
          <w:bCs/>
          <w:i/>
          <w:iCs/>
          <w:color w:val="FFFFFF" w:themeColor="background1"/>
          <w:sz w:val="22"/>
          <w:szCs w:val="22"/>
        </w:rPr>
        <w:t xml:space="preserve">Happiness Adaku Ezechukwu, </w:t>
      </w:r>
      <w:r w:rsidRPr="00ED0617">
        <w:rPr>
          <w:rFonts w:ascii="Garamond" w:hAnsi="Garamond"/>
          <w:b/>
          <w:bCs/>
          <w:i/>
          <w:iCs/>
          <w:color w:val="FFFFFF" w:themeColor="background1"/>
          <w:sz w:val="22"/>
          <w:szCs w:val="22"/>
          <w:vertAlign w:val="superscript"/>
        </w:rPr>
        <w:t>1</w:t>
      </w:r>
      <w:r w:rsidRPr="00ED0617">
        <w:rPr>
          <w:rFonts w:ascii="Garamond" w:hAnsi="Garamond"/>
          <w:b/>
          <w:bCs/>
          <w:i/>
          <w:iCs/>
          <w:color w:val="FFFFFF" w:themeColor="background1"/>
          <w:sz w:val="22"/>
          <w:szCs w:val="22"/>
        </w:rPr>
        <w:t xml:space="preserve">Stanley </w:t>
      </w:r>
      <w:r w:rsidR="00C36D77">
        <w:rPr>
          <w:rFonts w:ascii="Garamond" w:hAnsi="Garamond"/>
          <w:b/>
          <w:bCs/>
          <w:i/>
          <w:iCs/>
          <w:color w:val="FFFFFF" w:themeColor="background1"/>
          <w:sz w:val="22"/>
          <w:szCs w:val="22"/>
        </w:rPr>
        <w:t xml:space="preserve">Akudo </w:t>
      </w:r>
      <w:r w:rsidRPr="00ED0617">
        <w:rPr>
          <w:rFonts w:ascii="Garamond" w:hAnsi="Garamond"/>
          <w:b/>
          <w:bCs/>
          <w:i/>
          <w:iCs/>
          <w:color w:val="FFFFFF" w:themeColor="background1"/>
          <w:sz w:val="22"/>
          <w:szCs w:val="22"/>
        </w:rPr>
        <w:t>Confidence</w:t>
      </w:r>
    </w:p>
    <w:p w14:paraId="2C8554F0" w14:textId="19726F0F" w:rsidR="00ED0617" w:rsidRPr="00ED0617" w:rsidRDefault="00ED0617" w:rsidP="00ED0617">
      <w:pPr>
        <w:pBdr>
          <w:bottom w:val="single" w:sz="6" w:space="1" w:color="auto"/>
        </w:pBdr>
        <w:jc w:val="both"/>
        <w:rPr>
          <w:rFonts w:ascii="Garamond" w:hAnsi="Garamond"/>
          <w:bCs/>
          <w:i/>
          <w:iCs/>
          <w:sz w:val="20"/>
          <w:szCs w:val="20"/>
        </w:rPr>
      </w:pPr>
      <w:bookmarkStart w:id="4" w:name="_Hlk209348096"/>
      <w:bookmarkEnd w:id="2"/>
      <w:bookmarkEnd w:id="3"/>
      <w:r w:rsidRPr="00ED0617">
        <w:rPr>
          <w:rFonts w:ascii="Garamond" w:hAnsi="Garamond"/>
          <w:bCs/>
          <w:i/>
          <w:iCs/>
          <w:sz w:val="20"/>
          <w:szCs w:val="20"/>
          <w:vertAlign w:val="superscript"/>
        </w:rPr>
        <w:t>1</w:t>
      </w:r>
      <w:r w:rsidRPr="00ED0617">
        <w:rPr>
          <w:rFonts w:ascii="Garamond" w:hAnsi="Garamond"/>
          <w:bCs/>
          <w:i/>
          <w:iCs/>
          <w:sz w:val="20"/>
          <w:szCs w:val="20"/>
        </w:rPr>
        <w:t xml:space="preserve">Department of Microbiology, Faculty of Biological Sciences, Abia State University, </w:t>
      </w:r>
      <w:proofErr w:type="spellStart"/>
      <w:r w:rsidRPr="00ED0617">
        <w:rPr>
          <w:rFonts w:ascii="Garamond" w:hAnsi="Garamond"/>
          <w:bCs/>
          <w:i/>
          <w:iCs/>
          <w:sz w:val="20"/>
          <w:szCs w:val="20"/>
        </w:rPr>
        <w:t>Uturu</w:t>
      </w:r>
      <w:proofErr w:type="spellEnd"/>
      <w:r w:rsidRPr="00ED0617">
        <w:rPr>
          <w:rFonts w:ascii="Garamond" w:hAnsi="Garamond"/>
          <w:bCs/>
          <w:i/>
          <w:iCs/>
          <w:sz w:val="20"/>
          <w:szCs w:val="20"/>
        </w:rPr>
        <w:t>, Abia State, Nigeria.</w:t>
      </w:r>
    </w:p>
    <w:p w14:paraId="6834D5C6" w14:textId="77777777" w:rsidR="00ED0617" w:rsidRDefault="00ED0617" w:rsidP="002265FA">
      <w:pPr>
        <w:pBdr>
          <w:bottom w:val="single" w:sz="6" w:space="1" w:color="auto"/>
        </w:pBdr>
        <w:jc w:val="both"/>
        <w:rPr>
          <w:rFonts w:ascii="Garamond" w:hAnsi="Garamond"/>
          <w:i/>
          <w:iCs/>
          <w:sz w:val="20"/>
          <w:szCs w:val="20"/>
        </w:rPr>
      </w:pPr>
    </w:p>
    <w:bookmarkEnd w:id="4"/>
    <w:p w14:paraId="413CFD05" w14:textId="72FC4B83" w:rsidR="00855308" w:rsidRPr="00855308"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proofErr w:type="spellStart"/>
      <w:r w:rsidR="00C36D77">
        <w:rPr>
          <w:rFonts w:ascii="Garamond" w:hAnsi="Garamond" w:cs="Segoe UI"/>
          <w:b/>
          <w:bCs/>
          <w:sz w:val="20"/>
          <w:szCs w:val="20"/>
          <w:shd w:val="clear" w:color="auto" w:fill="FFFFFF"/>
        </w:rPr>
        <w:t>Ebiloma</w:t>
      </w:r>
      <w:proofErr w:type="spellEnd"/>
      <w:r w:rsidR="00C36D77">
        <w:rPr>
          <w:rFonts w:ascii="Garamond" w:hAnsi="Garamond" w:cs="Segoe UI"/>
          <w:b/>
          <w:bCs/>
          <w:sz w:val="20"/>
          <w:szCs w:val="20"/>
          <w:shd w:val="clear" w:color="auto" w:fill="FFFFFF"/>
        </w:rPr>
        <w:t xml:space="preserve"> Samuel</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F20CA0" w:rsidRPr="00F20CA0">
        <w:rPr>
          <w:rFonts w:ascii="Garamond" w:hAnsi="Garamond"/>
          <w:bCs/>
          <w:sz w:val="20"/>
          <w:szCs w:val="20"/>
        </w:rPr>
        <w:t xml:space="preserve">Department </w:t>
      </w:r>
      <w:r w:rsidR="00ED0617" w:rsidRPr="00ED0617">
        <w:rPr>
          <w:rFonts w:ascii="Garamond" w:hAnsi="Garamond"/>
          <w:bCs/>
          <w:sz w:val="20"/>
          <w:szCs w:val="20"/>
        </w:rPr>
        <w:t xml:space="preserve">of Microbiology, Faculty of Biological Sciences, Abia State University, </w:t>
      </w:r>
      <w:proofErr w:type="spellStart"/>
      <w:r w:rsidR="00ED0617" w:rsidRPr="00ED0617">
        <w:rPr>
          <w:rFonts w:ascii="Garamond" w:hAnsi="Garamond"/>
          <w:bCs/>
          <w:sz w:val="20"/>
          <w:szCs w:val="20"/>
        </w:rPr>
        <w:t>Uturu</w:t>
      </w:r>
      <w:proofErr w:type="spellEnd"/>
      <w:r w:rsidR="00ED0617" w:rsidRPr="00ED0617">
        <w:rPr>
          <w:rFonts w:ascii="Garamond" w:hAnsi="Garamond"/>
          <w:bCs/>
          <w:sz w:val="20"/>
          <w:szCs w:val="20"/>
        </w:rPr>
        <w:t>, Abia State, Nigeria.</w:t>
      </w:r>
      <w:hyperlink r:id="rId8" w:history="1">
        <w:r w:rsidR="00ED0617" w:rsidRPr="00ED0617">
          <w:rPr>
            <w:rStyle w:val="Hyperlink"/>
            <w:rFonts w:ascii="Garamond" w:hAnsi="Garamond"/>
            <w:b/>
            <w:bCs/>
            <w:sz w:val="20"/>
            <w:szCs w:val="20"/>
          </w:rPr>
          <w:t>Samuel.ebiloma@abiastateuniversity.edu.ng</w:t>
        </w:r>
      </w:hyperlink>
      <w:r w:rsidR="00ED0617" w:rsidRPr="00C36D77">
        <w:rPr>
          <w:rFonts w:ascii="Garamond" w:hAnsi="Garamond"/>
          <w:bCs/>
          <w:sz w:val="20"/>
          <w:szCs w:val="20"/>
        </w:rPr>
        <w:t>:</w:t>
      </w:r>
      <w:r w:rsidR="00C36D77" w:rsidRPr="00C36D77">
        <w:rPr>
          <w:rFonts w:ascii="Garamond" w:hAnsi="Garamond"/>
          <w:bCs/>
          <w:sz w:val="20"/>
          <w:szCs w:val="20"/>
        </w:rPr>
        <w:t xml:space="preserve"> </w:t>
      </w:r>
      <w:r w:rsidR="00ED0617" w:rsidRPr="00C36D77">
        <w:rPr>
          <w:rFonts w:ascii="Garamond" w:hAnsi="Garamond"/>
          <w:bCs/>
          <w:sz w:val="20"/>
          <w:szCs w:val="20"/>
        </w:rPr>
        <w:t>+</w:t>
      </w:r>
      <w:r w:rsidR="00855308" w:rsidRPr="00C36D77">
        <w:rPr>
          <w:rFonts w:ascii="Garamond" w:hAnsi="Garamond"/>
          <w:bCs/>
          <w:sz w:val="20"/>
          <w:szCs w:val="20"/>
        </w:rPr>
        <w:t>234</w:t>
      </w:r>
      <w:r w:rsidR="00C36D77" w:rsidRPr="00C36D77">
        <w:rPr>
          <w:rFonts w:ascii="Garamond" w:hAnsi="Garamond"/>
          <w:bCs/>
          <w:sz w:val="20"/>
          <w:szCs w:val="20"/>
        </w:rPr>
        <w:t>8025948991</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4DF57321"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ED0617">
        <w:rPr>
          <w:rFonts w:ascii="Garamond" w:hAnsi="Garamond"/>
          <w:sz w:val="16"/>
          <w:szCs w:val="16"/>
        </w:rPr>
        <w:t>2</w:t>
      </w:r>
      <w:r w:rsidR="00E34213">
        <w:rPr>
          <w:rFonts w:ascii="Garamond" w:hAnsi="Garamond"/>
          <w:sz w:val="16"/>
          <w:szCs w:val="16"/>
        </w:rPr>
        <w:t>0</w:t>
      </w:r>
      <w:r w:rsidR="00943E61" w:rsidRPr="00F30FAF">
        <w:rPr>
          <w:rFonts w:ascii="Garamond" w:hAnsi="Garamond"/>
          <w:sz w:val="16"/>
          <w:szCs w:val="16"/>
        </w:rPr>
        <w:t xml:space="preserve"> </w:t>
      </w:r>
      <w:r w:rsidR="00ED0617">
        <w:rPr>
          <w:rFonts w:ascii="Garamond" w:hAnsi="Garamond"/>
          <w:sz w:val="16"/>
          <w:szCs w:val="16"/>
        </w:rPr>
        <w:t>February</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4E9B695" w:rsidR="006732D7" w:rsidRPr="000931E7" w:rsidRDefault="00F362EB" w:rsidP="006732D7">
      <w:pPr>
        <w:jc w:val="both"/>
        <w:rPr>
          <w:rFonts w:ascii="Garamond" w:hAnsi="Garamond"/>
          <w:sz w:val="22"/>
          <w:szCs w:val="22"/>
        </w:rPr>
      </w:pPr>
      <w:r w:rsidRPr="000931E7">
        <w:rPr>
          <w:rFonts w:ascii="Garamond" w:hAnsi="Garamond"/>
          <w:b/>
          <w:sz w:val="22"/>
          <w:szCs w:val="20"/>
        </w:rPr>
        <w:t>ABSTRACT</w:t>
      </w:r>
    </w:p>
    <w:p w14:paraId="76173899" w14:textId="7707732D" w:rsidR="006D6566" w:rsidRPr="006D6566" w:rsidRDefault="0017507F" w:rsidP="006D6566">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6D6566">
        <w:rPr>
          <w:rFonts w:ascii="Garamond" w:eastAsiaTheme="minorHAnsi" w:hAnsi="Garamond" w:cstheme="minorHAnsi"/>
          <w:b/>
          <w:bCs/>
          <w:sz w:val="20"/>
          <w:szCs w:val="20"/>
          <w:lang w:val="en-GB"/>
        </w:rPr>
        <w:t xml:space="preserve"> </w:t>
      </w:r>
      <w:r w:rsidR="006D6566" w:rsidRPr="006D6566">
        <w:rPr>
          <w:rFonts w:ascii="Garamond" w:eastAsiaTheme="minorHAnsi" w:hAnsi="Garamond" w:cstheme="minorHAnsi"/>
          <w:bCs/>
          <w:sz w:val="20"/>
          <w:szCs w:val="20"/>
        </w:rPr>
        <w:t xml:space="preserve">The growing threat of antimicrobial resistance among multidrug-resistant bacteria, particularly the ESKAPE pathogens, has created an urgent need for alternative therapeutic strategies. </w:t>
      </w:r>
      <w:r w:rsidR="006D6566" w:rsidRPr="006D6566">
        <w:rPr>
          <w:rFonts w:ascii="Garamond" w:eastAsiaTheme="minorHAnsi" w:hAnsi="Garamond" w:cstheme="minorHAnsi"/>
          <w:bCs/>
          <w:i/>
          <w:sz w:val="20"/>
          <w:szCs w:val="20"/>
        </w:rPr>
        <w:t>Acinetobacter baumannii</w:t>
      </w:r>
      <w:r w:rsidR="006D6566" w:rsidRPr="006D6566">
        <w:rPr>
          <w:rFonts w:ascii="Garamond" w:eastAsiaTheme="minorHAnsi" w:hAnsi="Garamond" w:cstheme="minorHAnsi"/>
          <w:bCs/>
          <w:sz w:val="20"/>
          <w:szCs w:val="20"/>
        </w:rPr>
        <w:t xml:space="preserve">, a major member of this group, is commonly associated with chronic wound infections and hospital-acquired pneumonia and exhibits remarkable resistance to conventional antibiotics. Antimicrobial peptides (AMPs), both naturally occurring and synthetically engineered, have emerged as promising alternatives due to their broad-spectrum antimicrobial activity and multiple mechanisms of action. This review analyzes recent literature on the potential of antimicrobial peptides in combating infections caused by ESKAPE pathogens, with particular emphasis on </w:t>
      </w:r>
      <w:r w:rsidR="006D6566" w:rsidRPr="006D6566">
        <w:rPr>
          <w:rFonts w:ascii="Garamond" w:eastAsiaTheme="minorHAnsi" w:hAnsi="Garamond" w:cstheme="minorHAnsi"/>
          <w:bCs/>
          <w:i/>
          <w:sz w:val="20"/>
          <w:szCs w:val="20"/>
        </w:rPr>
        <w:t>Acinetobacter baumannii</w:t>
      </w:r>
      <w:r w:rsidR="006D6566" w:rsidRPr="006D6566">
        <w:rPr>
          <w:rFonts w:ascii="Garamond" w:eastAsiaTheme="minorHAnsi" w:hAnsi="Garamond" w:cstheme="minorHAnsi"/>
          <w:bCs/>
          <w:sz w:val="20"/>
          <w:szCs w:val="20"/>
        </w:rPr>
        <w:t xml:space="preserve">. </w:t>
      </w:r>
    </w:p>
    <w:p w14:paraId="73E32C75" w14:textId="77777777" w:rsidR="006D6566" w:rsidRPr="006D6566" w:rsidRDefault="006D6566" w:rsidP="006D6566">
      <w:pPr>
        <w:jc w:val="both"/>
        <w:rPr>
          <w:rFonts w:ascii="Garamond" w:eastAsiaTheme="minorHAnsi" w:hAnsi="Garamond" w:cstheme="minorHAnsi"/>
          <w:bCs/>
          <w:sz w:val="20"/>
          <w:szCs w:val="20"/>
        </w:rPr>
      </w:pPr>
      <w:r w:rsidRPr="006D6566">
        <w:rPr>
          <w:rFonts w:ascii="Garamond" w:eastAsiaTheme="minorHAnsi" w:hAnsi="Garamond" w:cstheme="minorHAnsi"/>
          <w:bCs/>
          <w:sz w:val="20"/>
          <w:szCs w:val="20"/>
        </w:rPr>
        <w:t>Methods: Relevant literature was identified through searches of PubMed, Scopus, Web of Science, and Google Scholar using keywords such as “antimicrobial peptides,” “ESKAPE pathogens,” “Acinetobacter baumannii,” “biofilms,” and “antimicrobial resistance.” Articles published between 2020 and 2026 were prioritized, and non-English studies were excluded.</w:t>
      </w:r>
    </w:p>
    <w:p w14:paraId="6D2D6D7A" w14:textId="77777777" w:rsidR="006D6566" w:rsidRPr="006D6566" w:rsidRDefault="006D6566" w:rsidP="006D6566">
      <w:pPr>
        <w:jc w:val="both"/>
        <w:rPr>
          <w:rFonts w:ascii="Garamond" w:eastAsiaTheme="minorHAnsi" w:hAnsi="Garamond" w:cstheme="minorHAnsi"/>
          <w:bCs/>
          <w:sz w:val="20"/>
          <w:szCs w:val="20"/>
        </w:rPr>
      </w:pPr>
      <w:r w:rsidRPr="006D6566">
        <w:rPr>
          <w:rFonts w:ascii="Garamond" w:eastAsiaTheme="minorHAnsi" w:hAnsi="Garamond" w:cstheme="minorHAnsi"/>
          <w:bCs/>
          <w:sz w:val="20"/>
          <w:szCs w:val="20"/>
        </w:rPr>
        <w:t xml:space="preserve">Findings: The reviewed evidence demonstrates that AMPs possess strong antimicrobial and antibiofilm activities against multidrug-resistant ESKAPE pathogens. These peptides disrupt bacterial membranes, inhibit biofilm formation, and enhance host immune responses. Furthermore, combining AMPs with enzymes and nanoparticle-based systems has shown improved antimicrobial efficacy against resistant pathogens, including </w:t>
      </w:r>
      <w:r w:rsidRPr="006D6566">
        <w:rPr>
          <w:rFonts w:ascii="Garamond" w:eastAsiaTheme="minorHAnsi" w:hAnsi="Garamond" w:cstheme="minorHAnsi"/>
          <w:bCs/>
          <w:i/>
          <w:sz w:val="20"/>
          <w:szCs w:val="20"/>
        </w:rPr>
        <w:t>A. baumannii</w:t>
      </w:r>
      <w:r w:rsidRPr="006D6566">
        <w:rPr>
          <w:rFonts w:ascii="Garamond" w:eastAsiaTheme="minorHAnsi" w:hAnsi="Garamond" w:cstheme="minorHAnsi"/>
          <w:bCs/>
          <w:sz w:val="20"/>
          <w:szCs w:val="20"/>
        </w:rPr>
        <w:t xml:space="preserve">. Antimicrobial peptides represent a promising class of next-generation therapeutics for managing infections caused by ESKAPE pathogens. </w:t>
      </w:r>
    </w:p>
    <w:p w14:paraId="02CDCD99" w14:textId="77777777" w:rsidR="006D6566" w:rsidRPr="006D6566" w:rsidRDefault="006D6566" w:rsidP="006D6566">
      <w:pPr>
        <w:jc w:val="both"/>
        <w:rPr>
          <w:rFonts w:ascii="Garamond" w:eastAsiaTheme="minorHAnsi" w:hAnsi="Garamond" w:cstheme="minorHAnsi"/>
          <w:bCs/>
          <w:sz w:val="20"/>
          <w:szCs w:val="20"/>
        </w:rPr>
      </w:pPr>
      <w:r w:rsidRPr="006D6566">
        <w:rPr>
          <w:rFonts w:ascii="Garamond" w:eastAsiaTheme="minorHAnsi" w:hAnsi="Garamond" w:cstheme="minorHAnsi"/>
          <w:bCs/>
          <w:sz w:val="20"/>
          <w:szCs w:val="20"/>
        </w:rPr>
        <w:t>Conclusion: Continued research focusing on peptide optimization, effective delivery systems, and immune enhancement will be essential to support their clinical translation and help mitigate antimicrobial resistance.</w:t>
      </w:r>
    </w:p>
    <w:p w14:paraId="229294C4" w14:textId="77777777" w:rsidR="006D6566" w:rsidRDefault="006D6566" w:rsidP="006D6566">
      <w:pPr>
        <w:jc w:val="both"/>
        <w:rPr>
          <w:rFonts w:ascii="Garamond" w:eastAsiaTheme="minorHAnsi" w:hAnsi="Garamond" w:cstheme="minorHAnsi"/>
          <w:b/>
          <w:bCs/>
          <w:sz w:val="20"/>
          <w:szCs w:val="20"/>
        </w:rPr>
      </w:pPr>
    </w:p>
    <w:p w14:paraId="2C5505D4" w14:textId="73DA8E50" w:rsidR="006D6566" w:rsidRPr="006D6566" w:rsidRDefault="006D6566" w:rsidP="006D6566">
      <w:pPr>
        <w:jc w:val="both"/>
        <w:rPr>
          <w:rFonts w:ascii="Garamond" w:eastAsiaTheme="minorHAnsi" w:hAnsi="Garamond" w:cstheme="minorHAnsi"/>
          <w:bCs/>
          <w:sz w:val="20"/>
          <w:szCs w:val="20"/>
        </w:rPr>
      </w:pPr>
      <w:r w:rsidRPr="006D6566">
        <w:rPr>
          <w:rFonts w:ascii="Garamond" w:eastAsiaTheme="minorHAnsi" w:hAnsi="Garamond" w:cstheme="minorHAnsi"/>
          <w:b/>
          <w:bCs/>
          <w:sz w:val="20"/>
          <w:szCs w:val="20"/>
        </w:rPr>
        <w:t>Keywords:</w:t>
      </w:r>
      <w:r w:rsidRPr="006D6566">
        <w:rPr>
          <w:rFonts w:ascii="Garamond" w:eastAsiaTheme="minorHAnsi" w:hAnsi="Garamond" w:cstheme="minorHAnsi"/>
          <w:bCs/>
          <w:sz w:val="20"/>
          <w:szCs w:val="20"/>
        </w:rPr>
        <w:t xml:space="preserve"> Antimicrobial peptides, </w:t>
      </w:r>
      <w:r w:rsidRPr="006D6566">
        <w:rPr>
          <w:rFonts w:ascii="Garamond" w:eastAsiaTheme="minorHAnsi" w:hAnsi="Garamond" w:cstheme="minorHAnsi"/>
          <w:bCs/>
          <w:i/>
          <w:sz w:val="20"/>
          <w:szCs w:val="20"/>
        </w:rPr>
        <w:t>Acinetobacter baumannii</w:t>
      </w:r>
      <w:r w:rsidRPr="006D6566">
        <w:rPr>
          <w:rFonts w:ascii="Garamond" w:eastAsiaTheme="minorHAnsi" w:hAnsi="Garamond" w:cstheme="minorHAnsi"/>
          <w:bCs/>
          <w:sz w:val="20"/>
          <w:szCs w:val="20"/>
        </w:rPr>
        <w:t>, Biofilms, ESKAPE pathogens.</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F362EB">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472"/>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7DA4E0CC"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4D2CC5BE">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59EE6DF3">
                <wp:simplePos x="0" y="0"/>
                <wp:positionH relativeFrom="margin">
                  <wp:posOffset>3254829</wp:posOffset>
                </wp:positionH>
                <wp:positionV relativeFrom="paragraph">
                  <wp:posOffset>30480</wp:posOffset>
                </wp:positionV>
                <wp:extent cx="2671639" cy="1273629"/>
                <wp:effectExtent l="0" t="0" r="8255" b="9525"/>
                <wp:wrapNone/>
                <wp:docPr id="8" name="Text Box 8"/>
                <wp:cNvGraphicFramePr/>
                <a:graphic xmlns:a="http://schemas.openxmlformats.org/drawingml/2006/main">
                  <a:graphicData uri="http://schemas.microsoft.com/office/word/2010/wordprocessingShape">
                    <wps:wsp>
                      <wps:cNvSpPr txBox="1"/>
                      <wps:spPr>
                        <a:xfrm>
                          <a:off x="0" y="0"/>
                          <a:ext cx="2671639" cy="1273629"/>
                        </a:xfrm>
                        <a:prstGeom prst="rect">
                          <a:avLst/>
                        </a:prstGeom>
                        <a:solidFill>
                          <a:sysClr val="window" lastClr="FFFFFF"/>
                        </a:solidFill>
                        <a:ln w="6350">
                          <a:solidFill>
                            <a:srgbClr val="70AD47">
                              <a:lumMod val="75000"/>
                            </a:srgbClr>
                          </a:solidFill>
                        </a:ln>
                      </wps:spPr>
                      <wps:txbx>
                        <w:txbxContent>
                          <w:p w14:paraId="65562D4D" w14:textId="78E0BC26" w:rsidR="00576722" w:rsidRPr="00A80D3B" w:rsidRDefault="00A80D3B" w:rsidP="00A80D3B">
                            <w:pPr>
                              <w:pBdr>
                                <w:bottom w:val="single" w:sz="6" w:space="1" w:color="auto"/>
                              </w:pBdr>
                              <w:jc w:val="both"/>
                              <w:rPr>
                                <w:rFonts w:ascii="Garamond" w:hAnsi="Garamond" w:cs="Segoe UI"/>
                                <w:sz w:val="20"/>
                                <w:szCs w:val="20"/>
                                <w:shd w:val="clear" w:color="auto" w:fill="FFFFFF"/>
                              </w:rPr>
                            </w:pPr>
                            <w:proofErr w:type="spellStart"/>
                            <w:r w:rsidRPr="00A80D3B">
                              <w:rPr>
                                <w:rFonts w:ascii="Garamond" w:hAnsi="Garamond" w:cs="Segoe UI"/>
                                <w:bCs/>
                                <w:i/>
                                <w:iCs/>
                                <w:sz w:val="20"/>
                                <w:szCs w:val="20"/>
                                <w:shd w:val="clear" w:color="auto" w:fill="FFFFFF"/>
                              </w:rPr>
                              <w:t>Ebiloma</w:t>
                            </w:r>
                            <w:proofErr w:type="spellEnd"/>
                            <w:r w:rsidRPr="00A80D3B">
                              <w:rPr>
                                <w:rFonts w:ascii="Garamond" w:hAnsi="Garamond" w:cs="Segoe UI"/>
                                <w:bCs/>
                                <w:i/>
                                <w:iCs/>
                                <w:sz w:val="20"/>
                                <w:szCs w:val="20"/>
                                <w:shd w:val="clear" w:color="auto" w:fill="FFFFFF"/>
                              </w:rPr>
                              <w:t xml:space="preserve"> S</w:t>
                            </w:r>
                            <w:r w:rsidRPr="00A80D3B">
                              <w:rPr>
                                <w:rFonts w:ascii="Garamond" w:hAnsi="Garamond" w:cs="Segoe UI"/>
                                <w:i/>
                                <w:iCs/>
                                <w:sz w:val="20"/>
                                <w:szCs w:val="20"/>
                                <w:shd w:val="clear" w:color="auto" w:fill="FFFFFF"/>
                              </w:rPr>
                              <w:t xml:space="preserve">, </w:t>
                            </w:r>
                            <w:r w:rsidRPr="00A80D3B">
                              <w:rPr>
                                <w:rFonts w:ascii="Garamond" w:hAnsi="Garamond" w:cs="Segoe UI"/>
                                <w:bCs/>
                                <w:i/>
                                <w:iCs/>
                                <w:sz w:val="20"/>
                                <w:szCs w:val="20"/>
                                <w:shd w:val="clear" w:color="auto" w:fill="FFFFFF"/>
                              </w:rPr>
                              <w:t xml:space="preserve">Okoronkwo CU, Ndom HU, </w:t>
                            </w:r>
                            <w:proofErr w:type="spellStart"/>
                            <w:r w:rsidRPr="00A80D3B">
                              <w:rPr>
                                <w:rFonts w:ascii="Garamond" w:hAnsi="Garamond" w:cs="Segoe UI"/>
                                <w:bCs/>
                                <w:i/>
                                <w:iCs/>
                                <w:sz w:val="20"/>
                                <w:szCs w:val="20"/>
                                <w:shd w:val="clear" w:color="auto" w:fill="FFFFFF"/>
                              </w:rPr>
                              <w:t>Nwachuckwu</w:t>
                            </w:r>
                            <w:proofErr w:type="spellEnd"/>
                            <w:r w:rsidRPr="00A80D3B">
                              <w:rPr>
                                <w:rFonts w:ascii="Garamond" w:hAnsi="Garamond" w:cs="Segoe UI"/>
                                <w:bCs/>
                                <w:i/>
                                <w:iCs/>
                                <w:sz w:val="20"/>
                                <w:szCs w:val="20"/>
                                <w:shd w:val="clear" w:color="auto" w:fill="FFFFFF"/>
                              </w:rPr>
                              <w:t xml:space="preserve"> NC, Okere HC, </w:t>
                            </w:r>
                            <w:proofErr w:type="spellStart"/>
                            <w:r w:rsidRPr="00A80D3B">
                              <w:rPr>
                                <w:rFonts w:ascii="Garamond" w:hAnsi="Garamond" w:cs="Segoe UI"/>
                                <w:bCs/>
                                <w:i/>
                                <w:iCs/>
                                <w:sz w:val="20"/>
                                <w:szCs w:val="20"/>
                                <w:shd w:val="clear" w:color="auto" w:fill="FFFFFF"/>
                              </w:rPr>
                              <w:t>Ezechukwu</w:t>
                            </w:r>
                            <w:proofErr w:type="spellEnd"/>
                            <w:r w:rsidRPr="00A80D3B">
                              <w:rPr>
                                <w:rFonts w:ascii="Garamond" w:hAnsi="Garamond" w:cs="Segoe UI"/>
                                <w:bCs/>
                                <w:i/>
                                <w:iCs/>
                                <w:sz w:val="20"/>
                                <w:szCs w:val="20"/>
                                <w:shd w:val="clear" w:color="auto" w:fill="FFFFFF"/>
                              </w:rPr>
                              <w:t xml:space="preserve"> HA, Confidence S</w:t>
                            </w:r>
                            <w:r w:rsidR="00C36D77">
                              <w:rPr>
                                <w:rFonts w:ascii="Garamond" w:hAnsi="Garamond" w:cs="Segoe UI"/>
                                <w:bCs/>
                                <w:i/>
                                <w:iCs/>
                                <w:sz w:val="20"/>
                                <w:szCs w:val="20"/>
                                <w:shd w:val="clear" w:color="auto" w:fill="FFFFFF"/>
                              </w:rPr>
                              <w:t>A</w:t>
                            </w:r>
                            <w:r w:rsidRPr="00A80D3B">
                              <w:rPr>
                                <w:rFonts w:ascii="Garamond" w:hAnsi="Garamond" w:cs="Segoe UI"/>
                                <w:i/>
                                <w:iCs/>
                                <w:sz w:val="20"/>
                                <w:szCs w:val="20"/>
                                <w:shd w:val="clear" w:color="auto" w:fill="FFFFFF"/>
                              </w:rPr>
                              <w:t xml:space="preserve">. </w:t>
                            </w:r>
                            <w:r w:rsidR="006D6566" w:rsidRPr="00C36D77">
                              <w:rPr>
                                <w:rFonts w:ascii="Garamond" w:hAnsi="Garamond" w:cs="Segoe UI"/>
                                <w:sz w:val="20"/>
                                <w:szCs w:val="20"/>
                                <w:shd w:val="clear" w:color="auto" w:fill="FFFFFF"/>
                              </w:rPr>
                              <w:t xml:space="preserve">Beyond Conventional Antibiotics: Molecular Design, Mechanistic Dynamics, and Clinical Translation of Antimicrobial Peptides Against Carbapenem-Resistant </w:t>
                            </w:r>
                            <w:r w:rsidR="006D6566" w:rsidRPr="00C36D77">
                              <w:rPr>
                                <w:rFonts w:ascii="Garamond" w:hAnsi="Garamond" w:cs="Segoe UI"/>
                                <w:i/>
                                <w:iCs/>
                                <w:sz w:val="20"/>
                                <w:szCs w:val="20"/>
                                <w:shd w:val="clear" w:color="auto" w:fill="FFFFFF"/>
                              </w:rPr>
                              <w:t>Acinetobacter baumannii.</w:t>
                            </w:r>
                            <w:r w:rsidR="006D6566" w:rsidRPr="00A80D3B">
                              <w:rPr>
                                <w:rFonts w:ascii="Garamond" w:hAnsi="Garamond" w:cs="Segoe UI"/>
                                <w:i/>
                                <w:iCs/>
                                <w:sz w:val="16"/>
                                <w:szCs w:val="16"/>
                                <w:shd w:val="clear" w:color="auto" w:fill="FFFFFF"/>
                              </w:rPr>
                              <w:t xml:space="preserve"> </w:t>
                            </w:r>
                            <w:r w:rsidR="00576722" w:rsidRPr="00A80D3B">
                              <w:rPr>
                                <w:rFonts w:ascii="Garamond" w:hAnsi="Garamond" w:cs="Segoe UI"/>
                                <w:color w:val="000000" w:themeColor="text1"/>
                                <w:sz w:val="20"/>
                                <w:szCs w:val="20"/>
                                <w:shd w:val="clear" w:color="auto" w:fill="FFFFFF"/>
                              </w:rPr>
                              <w:t>The Nigerian Health Journal 202</w:t>
                            </w:r>
                            <w:r w:rsidR="00347612" w:rsidRPr="00A80D3B">
                              <w:rPr>
                                <w:rFonts w:ascii="Garamond" w:hAnsi="Garamond" w:cs="Segoe UI"/>
                                <w:color w:val="000000" w:themeColor="text1"/>
                                <w:sz w:val="20"/>
                                <w:szCs w:val="20"/>
                                <w:shd w:val="clear" w:color="auto" w:fill="FFFFFF"/>
                              </w:rPr>
                              <w:t>6</w:t>
                            </w:r>
                            <w:r w:rsidR="00576722" w:rsidRPr="00A80D3B">
                              <w:rPr>
                                <w:rFonts w:ascii="Garamond" w:hAnsi="Garamond" w:cs="Segoe UI"/>
                                <w:color w:val="000000" w:themeColor="text1"/>
                                <w:sz w:val="20"/>
                                <w:szCs w:val="20"/>
                                <w:shd w:val="clear" w:color="auto" w:fill="FFFFFF"/>
                              </w:rPr>
                              <w:t>; 2</w:t>
                            </w:r>
                            <w:r w:rsidR="00347612" w:rsidRPr="00A80D3B">
                              <w:rPr>
                                <w:rFonts w:ascii="Garamond" w:hAnsi="Garamond" w:cs="Segoe UI"/>
                                <w:color w:val="000000" w:themeColor="text1"/>
                                <w:sz w:val="20"/>
                                <w:szCs w:val="20"/>
                                <w:shd w:val="clear" w:color="auto" w:fill="FFFFFF"/>
                              </w:rPr>
                              <w:t>6</w:t>
                            </w:r>
                            <w:r w:rsidR="00576722" w:rsidRPr="00A80D3B">
                              <w:rPr>
                                <w:rFonts w:ascii="Garamond" w:hAnsi="Garamond" w:cs="Segoe UI"/>
                                <w:color w:val="000000" w:themeColor="text1"/>
                                <w:sz w:val="20"/>
                                <w:szCs w:val="20"/>
                                <w:shd w:val="clear" w:color="auto" w:fill="FFFFFF"/>
                              </w:rPr>
                              <w:t>(</w:t>
                            </w:r>
                            <w:r w:rsidR="00347612" w:rsidRPr="00A80D3B">
                              <w:rPr>
                                <w:rFonts w:ascii="Garamond" w:hAnsi="Garamond" w:cs="Segoe UI"/>
                                <w:color w:val="000000" w:themeColor="text1"/>
                                <w:sz w:val="20"/>
                                <w:szCs w:val="20"/>
                                <w:shd w:val="clear" w:color="auto" w:fill="FFFFFF"/>
                              </w:rPr>
                              <w:t>1</w:t>
                            </w:r>
                            <w:r w:rsidR="00576722" w:rsidRPr="00A80D3B">
                              <w:rPr>
                                <w:rFonts w:ascii="Garamond" w:hAnsi="Garamond" w:cs="Segoe UI"/>
                                <w:color w:val="000000" w:themeColor="text1"/>
                                <w:sz w:val="20"/>
                                <w:szCs w:val="20"/>
                                <w:shd w:val="clear" w:color="auto" w:fill="FFFFFF"/>
                              </w:rPr>
                              <w:t>)</w:t>
                            </w:r>
                            <w:r w:rsidR="00F362EB">
                              <w:rPr>
                                <w:rFonts w:ascii="Garamond" w:hAnsi="Garamond" w:cs="Segoe UI"/>
                                <w:color w:val="000000" w:themeColor="text1"/>
                                <w:sz w:val="20"/>
                                <w:szCs w:val="20"/>
                                <w:shd w:val="clear" w:color="auto" w:fill="FFFFFF"/>
                              </w:rPr>
                              <w:t xml:space="preserve">:472 – 483. </w:t>
                            </w:r>
                            <w:hyperlink r:id="rId22" w:history="1">
                              <w:r w:rsidR="00F362EB" w:rsidRPr="008D4B15">
                                <w:rPr>
                                  <w:rStyle w:val="Hyperlink"/>
                                  <w:rFonts w:ascii="Garamond" w:hAnsi="Garamond" w:cs="Arial"/>
                                  <w:sz w:val="20"/>
                                  <w:szCs w:val="20"/>
                                </w:rPr>
                                <w:t>https://doi.org/10.71637/tnhj.v26i1.1353</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4pt;width:210.35pt;height:100.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" fillcolor="window" strokecolor="#548235" strokeweight=".5pt">
                <v:textbox>
                  <w:txbxContent>
                    <w:p w14:paraId="65562D4D" w14:textId="78E0BC26" w:rsidR="00576722" w:rsidRPr="00A80D3B" w:rsidRDefault="00A80D3B" w:rsidP="00A80D3B">
                      <w:pPr>
                        <w:pBdr>
                          <w:bottom w:val="single" w:sz="6" w:space="1" w:color="auto"/>
                        </w:pBdr>
                        <w:jc w:val="both"/>
                        <w:rPr>
                          <w:rFonts w:ascii="Garamond" w:hAnsi="Garamond" w:cs="Segoe UI"/>
                          <w:sz w:val="20"/>
                          <w:szCs w:val="20"/>
                          <w:shd w:val="clear" w:color="auto" w:fill="FFFFFF"/>
                        </w:rPr>
                      </w:pPr>
                      <w:proofErr w:type="spellStart"/>
                      <w:r w:rsidRPr="00A80D3B">
                        <w:rPr>
                          <w:rFonts w:ascii="Garamond" w:hAnsi="Garamond" w:cs="Segoe UI"/>
                          <w:bCs/>
                          <w:i/>
                          <w:iCs/>
                          <w:sz w:val="20"/>
                          <w:szCs w:val="20"/>
                          <w:shd w:val="clear" w:color="auto" w:fill="FFFFFF"/>
                        </w:rPr>
                        <w:t>Ebiloma</w:t>
                      </w:r>
                      <w:proofErr w:type="spellEnd"/>
                      <w:r w:rsidRPr="00A80D3B">
                        <w:rPr>
                          <w:rFonts w:ascii="Garamond" w:hAnsi="Garamond" w:cs="Segoe UI"/>
                          <w:bCs/>
                          <w:i/>
                          <w:iCs/>
                          <w:sz w:val="20"/>
                          <w:szCs w:val="20"/>
                          <w:shd w:val="clear" w:color="auto" w:fill="FFFFFF"/>
                        </w:rPr>
                        <w:t xml:space="preserve"> S</w:t>
                      </w:r>
                      <w:r w:rsidRPr="00A80D3B">
                        <w:rPr>
                          <w:rFonts w:ascii="Garamond" w:hAnsi="Garamond" w:cs="Segoe UI"/>
                          <w:i/>
                          <w:iCs/>
                          <w:sz w:val="20"/>
                          <w:szCs w:val="20"/>
                          <w:shd w:val="clear" w:color="auto" w:fill="FFFFFF"/>
                        </w:rPr>
                        <w:t xml:space="preserve">, </w:t>
                      </w:r>
                      <w:r w:rsidRPr="00A80D3B">
                        <w:rPr>
                          <w:rFonts w:ascii="Garamond" w:hAnsi="Garamond" w:cs="Segoe UI"/>
                          <w:bCs/>
                          <w:i/>
                          <w:iCs/>
                          <w:sz w:val="20"/>
                          <w:szCs w:val="20"/>
                          <w:shd w:val="clear" w:color="auto" w:fill="FFFFFF"/>
                        </w:rPr>
                        <w:t xml:space="preserve">Okoronkwo CU, Ndom HU, </w:t>
                      </w:r>
                      <w:proofErr w:type="spellStart"/>
                      <w:r w:rsidRPr="00A80D3B">
                        <w:rPr>
                          <w:rFonts w:ascii="Garamond" w:hAnsi="Garamond" w:cs="Segoe UI"/>
                          <w:bCs/>
                          <w:i/>
                          <w:iCs/>
                          <w:sz w:val="20"/>
                          <w:szCs w:val="20"/>
                          <w:shd w:val="clear" w:color="auto" w:fill="FFFFFF"/>
                        </w:rPr>
                        <w:t>Nwachuckwu</w:t>
                      </w:r>
                      <w:proofErr w:type="spellEnd"/>
                      <w:r w:rsidRPr="00A80D3B">
                        <w:rPr>
                          <w:rFonts w:ascii="Garamond" w:hAnsi="Garamond" w:cs="Segoe UI"/>
                          <w:bCs/>
                          <w:i/>
                          <w:iCs/>
                          <w:sz w:val="20"/>
                          <w:szCs w:val="20"/>
                          <w:shd w:val="clear" w:color="auto" w:fill="FFFFFF"/>
                        </w:rPr>
                        <w:t xml:space="preserve"> NC, Okere HC, </w:t>
                      </w:r>
                      <w:proofErr w:type="spellStart"/>
                      <w:r w:rsidRPr="00A80D3B">
                        <w:rPr>
                          <w:rFonts w:ascii="Garamond" w:hAnsi="Garamond" w:cs="Segoe UI"/>
                          <w:bCs/>
                          <w:i/>
                          <w:iCs/>
                          <w:sz w:val="20"/>
                          <w:szCs w:val="20"/>
                          <w:shd w:val="clear" w:color="auto" w:fill="FFFFFF"/>
                        </w:rPr>
                        <w:t>Ezechukwu</w:t>
                      </w:r>
                      <w:proofErr w:type="spellEnd"/>
                      <w:r w:rsidRPr="00A80D3B">
                        <w:rPr>
                          <w:rFonts w:ascii="Garamond" w:hAnsi="Garamond" w:cs="Segoe UI"/>
                          <w:bCs/>
                          <w:i/>
                          <w:iCs/>
                          <w:sz w:val="20"/>
                          <w:szCs w:val="20"/>
                          <w:shd w:val="clear" w:color="auto" w:fill="FFFFFF"/>
                        </w:rPr>
                        <w:t xml:space="preserve"> HA, Confidence S</w:t>
                      </w:r>
                      <w:r w:rsidR="00C36D77">
                        <w:rPr>
                          <w:rFonts w:ascii="Garamond" w:hAnsi="Garamond" w:cs="Segoe UI"/>
                          <w:bCs/>
                          <w:i/>
                          <w:iCs/>
                          <w:sz w:val="20"/>
                          <w:szCs w:val="20"/>
                          <w:shd w:val="clear" w:color="auto" w:fill="FFFFFF"/>
                        </w:rPr>
                        <w:t>A</w:t>
                      </w:r>
                      <w:r w:rsidRPr="00A80D3B">
                        <w:rPr>
                          <w:rFonts w:ascii="Garamond" w:hAnsi="Garamond" w:cs="Segoe UI"/>
                          <w:i/>
                          <w:iCs/>
                          <w:sz w:val="20"/>
                          <w:szCs w:val="20"/>
                          <w:shd w:val="clear" w:color="auto" w:fill="FFFFFF"/>
                        </w:rPr>
                        <w:t xml:space="preserve">. </w:t>
                      </w:r>
                      <w:r w:rsidR="006D6566" w:rsidRPr="00C36D77">
                        <w:rPr>
                          <w:rFonts w:ascii="Garamond" w:hAnsi="Garamond" w:cs="Segoe UI"/>
                          <w:sz w:val="20"/>
                          <w:szCs w:val="20"/>
                          <w:shd w:val="clear" w:color="auto" w:fill="FFFFFF"/>
                        </w:rPr>
                        <w:t xml:space="preserve">Beyond Conventional Antibiotics: Molecular Design, Mechanistic Dynamics, and Clinical Translation of Antimicrobial Peptides Against Carbapenem-Resistant </w:t>
                      </w:r>
                      <w:r w:rsidR="006D6566" w:rsidRPr="00C36D77">
                        <w:rPr>
                          <w:rFonts w:ascii="Garamond" w:hAnsi="Garamond" w:cs="Segoe UI"/>
                          <w:i/>
                          <w:iCs/>
                          <w:sz w:val="20"/>
                          <w:szCs w:val="20"/>
                          <w:shd w:val="clear" w:color="auto" w:fill="FFFFFF"/>
                        </w:rPr>
                        <w:t>Acinetobacter baumannii.</w:t>
                      </w:r>
                      <w:r w:rsidR="006D6566" w:rsidRPr="00A80D3B">
                        <w:rPr>
                          <w:rFonts w:ascii="Garamond" w:hAnsi="Garamond" w:cs="Segoe UI"/>
                          <w:i/>
                          <w:iCs/>
                          <w:sz w:val="16"/>
                          <w:szCs w:val="16"/>
                          <w:shd w:val="clear" w:color="auto" w:fill="FFFFFF"/>
                        </w:rPr>
                        <w:t xml:space="preserve"> </w:t>
                      </w:r>
                      <w:r w:rsidR="00576722" w:rsidRPr="00A80D3B">
                        <w:rPr>
                          <w:rFonts w:ascii="Garamond" w:hAnsi="Garamond" w:cs="Segoe UI"/>
                          <w:color w:val="000000" w:themeColor="text1"/>
                          <w:sz w:val="20"/>
                          <w:szCs w:val="20"/>
                          <w:shd w:val="clear" w:color="auto" w:fill="FFFFFF"/>
                        </w:rPr>
                        <w:t>The Nigerian Health Journal 202</w:t>
                      </w:r>
                      <w:r w:rsidR="00347612" w:rsidRPr="00A80D3B">
                        <w:rPr>
                          <w:rFonts w:ascii="Garamond" w:hAnsi="Garamond" w:cs="Segoe UI"/>
                          <w:color w:val="000000" w:themeColor="text1"/>
                          <w:sz w:val="20"/>
                          <w:szCs w:val="20"/>
                          <w:shd w:val="clear" w:color="auto" w:fill="FFFFFF"/>
                        </w:rPr>
                        <w:t>6</w:t>
                      </w:r>
                      <w:r w:rsidR="00576722" w:rsidRPr="00A80D3B">
                        <w:rPr>
                          <w:rFonts w:ascii="Garamond" w:hAnsi="Garamond" w:cs="Segoe UI"/>
                          <w:color w:val="000000" w:themeColor="text1"/>
                          <w:sz w:val="20"/>
                          <w:szCs w:val="20"/>
                          <w:shd w:val="clear" w:color="auto" w:fill="FFFFFF"/>
                        </w:rPr>
                        <w:t>; 2</w:t>
                      </w:r>
                      <w:r w:rsidR="00347612" w:rsidRPr="00A80D3B">
                        <w:rPr>
                          <w:rFonts w:ascii="Garamond" w:hAnsi="Garamond" w:cs="Segoe UI"/>
                          <w:color w:val="000000" w:themeColor="text1"/>
                          <w:sz w:val="20"/>
                          <w:szCs w:val="20"/>
                          <w:shd w:val="clear" w:color="auto" w:fill="FFFFFF"/>
                        </w:rPr>
                        <w:t>6</w:t>
                      </w:r>
                      <w:r w:rsidR="00576722" w:rsidRPr="00A80D3B">
                        <w:rPr>
                          <w:rFonts w:ascii="Garamond" w:hAnsi="Garamond" w:cs="Segoe UI"/>
                          <w:color w:val="000000" w:themeColor="text1"/>
                          <w:sz w:val="20"/>
                          <w:szCs w:val="20"/>
                          <w:shd w:val="clear" w:color="auto" w:fill="FFFFFF"/>
                        </w:rPr>
                        <w:t>(</w:t>
                      </w:r>
                      <w:r w:rsidR="00347612" w:rsidRPr="00A80D3B">
                        <w:rPr>
                          <w:rFonts w:ascii="Garamond" w:hAnsi="Garamond" w:cs="Segoe UI"/>
                          <w:color w:val="000000" w:themeColor="text1"/>
                          <w:sz w:val="20"/>
                          <w:szCs w:val="20"/>
                          <w:shd w:val="clear" w:color="auto" w:fill="FFFFFF"/>
                        </w:rPr>
                        <w:t>1</w:t>
                      </w:r>
                      <w:r w:rsidR="00576722" w:rsidRPr="00A80D3B">
                        <w:rPr>
                          <w:rFonts w:ascii="Garamond" w:hAnsi="Garamond" w:cs="Segoe UI"/>
                          <w:color w:val="000000" w:themeColor="text1"/>
                          <w:sz w:val="20"/>
                          <w:szCs w:val="20"/>
                          <w:shd w:val="clear" w:color="auto" w:fill="FFFFFF"/>
                        </w:rPr>
                        <w:t>)</w:t>
                      </w:r>
                      <w:r w:rsidR="00F362EB">
                        <w:rPr>
                          <w:rFonts w:ascii="Garamond" w:hAnsi="Garamond" w:cs="Segoe UI"/>
                          <w:color w:val="000000" w:themeColor="text1"/>
                          <w:sz w:val="20"/>
                          <w:szCs w:val="20"/>
                          <w:shd w:val="clear" w:color="auto" w:fill="FFFFFF"/>
                        </w:rPr>
                        <w:t xml:space="preserve">:472 – 483. </w:t>
                      </w:r>
                      <w:hyperlink r:id="rId23" w:history="1">
                        <w:r w:rsidR="00F362EB" w:rsidRPr="008D4B15">
                          <w:rPr>
                            <w:rStyle w:val="Hyperlink"/>
                            <w:rFonts w:ascii="Garamond" w:hAnsi="Garamond" w:cs="Arial"/>
                            <w:sz w:val="20"/>
                            <w:szCs w:val="20"/>
                          </w:rPr>
                          <w:t>https://doi.org/10.71637/tnhj.v26i1.1353</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5C8D5210" w:rsidR="000720E5" w:rsidRDefault="00A212F6"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3F1DE4C8" w14:textId="1E7A626C" w:rsidR="004F6574" w:rsidRDefault="004F6574" w:rsidP="004F6574">
      <w:pPr>
        <w:spacing w:line="259" w:lineRule="auto"/>
        <w:jc w:val="both"/>
        <w:rPr>
          <w:rFonts w:ascii="Garamond" w:hAnsi="Garamond"/>
          <w:bCs/>
          <w:iCs/>
          <w:sz w:val="20"/>
          <w:szCs w:val="20"/>
        </w:rPr>
      </w:pPr>
      <w:r w:rsidRPr="004F6574">
        <w:rPr>
          <w:rFonts w:ascii="Garamond" w:hAnsi="Garamond"/>
          <w:bCs/>
          <w:iCs/>
          <w:sz w:val="20"/>
          <w:szCs w:val="20"/>
        </w:rPr>
        <w:t>Antimicrobial resistance has been a global public health challenge with a consistent increase in disease. The inappropriate and unnecessary use of existing antibiotics has contributed to a significant rise in multidrug-resistant (MDR) and antimicrobial-resistant (AMR) bacteria. As a result, there's been a noticeable rise in infections caused by drug-resistant microbes, including some that resist all available treatments. The failure of conventional drugs to provide therapeutic solutions to myriads of pathogens necessitated the need for alternative antimicrobials [1]. Antimicrobial peptides (AMPs) are considered better therapeutic options due to their ability to target multiple microbes, their cell walls and their intracellular constituents</w:t>
      </w:r>
      <w:r w:rsidR="00A212F6">
        <w:rPr>
          <w:rFonts w:ascii="Garamond" w:hAnsi="Garamond"/>
          <w:bCs/>
          <w:iCs/>
          <w:sz w:val="20"/>
          <w:szCs w:val="20"/>
        </w:rPr>
        <w:t>.</w:t>
      </w:r>
      <w:r w:rsidRPr="00A212F6">
        <w:rPr>
          <w:rFonts w:ascii="Garamond" w:hAnsi="Garamond"/>
          <w:bCs/>
          <w:iCs/>
          <w:sz w:val="20"/>
          <w:szCs w:val="20"/>
          <w:vertAlign w:val="superscript"/>
        </w:rPr>
        <w:t>1</w:t>
      </w:r>
    </w:p>
    <w:p w14:paraId="0E02A634" w14:textId="3E107C9C" w:rsidR="004F6574" w:rsidRPr="00A212F6" w:rsidRDefault="004F6574" w:rsidP="004F6574">
      <w:pPr>
        <w:spacing w:line="259" w:lineRule="auto"/>
        <w:jc w:val="both"/>
        <w:rPr>
          <w:rFonts w:ascii="Garamond" w:hAnsi="Garamond"/>
          <w:bCs/>
          <w:iCs/>
          <w:sz w:val="20"/>
          <w:szCs w:val="20"/>
        </w:rPr>
      </w:pPr>
      <w:r w:rsidRPr="004F6574">
        <w:rPr>
          <w:rFonts w:ascii="Garamond" w:hAnsi="Garamond"/>
          <w:bCs/>
          <w:iCs/>
          <w:sz w:val="20"/>
          <w:szCs w:val="20"/>
        </w:rPr>
        <w:t>ESKAPE pathogens have contributed to the existence and persistence of microbial infections</w:t>
      </w:r>
      <w:r w:rsidR="00A212F6">
        <w:rPr>
          <w:rFonts w:ascii="Garamond" w:hAnsi="Garamond"/>
          <w:bCs/>
          <w:iCs/>
          <w:sz w:val="20"/>
          <w:szCs w:val="20"/>
        </w:rPr>
        <w:t>.</w:t>
      </w:r>
      <w:r w:rsidRPr="00A212F6">
        <w:rPr>
          <w:rFonts w:ascii="Garamond" w:hAnsi="Garamond"/>
          <w:bCs/>
          <w:iCs/>
          <w:sz w:val="20"/>
          <w:szCs w:val="20"/>
          <w:vertAlign w:val="superscript"/>
        </w:rPr>
        <w:t>2</w:t>
      </w:r>
      <w:r w:rsidRPr="004F6574">
        <w:rPr>
          <w:rFonts w:ascii="Garamond" w:hAnsi="Garamond"/>
          <w:bCs/>
          <w:iCs/>
          <w:sz w:val="20"/>
          <w:szCs w:val="20"/>
        </w:rPr>
        <w:t xml:space="preserve"> The six ESKAPE pathogens, which include </w:t>
      </w:r>
      <w:r w:rsidRPr="004F6574">
        <w:rPr>
          <w:rFonts w:ascii="Garamond" w:hAnsi="Garamond"/>
          <w:bCs/>
          <w:i/>
          <w:iCs/>
          <w:sz w:val="20"/>
          <w:szCs w:val="20"/>
        </w:rPr>
        <w:t>Enterococcus faecium, Staphylococcus aureus, Klebsiella pneumoniae, Acinetobacter baumannii, Pseudomonas aeruginosa</w:t>
      </w:r>
      <w:r w:rsidRPr="004F6574">
        <w:rPr>
          <w:rFonts w:ascii="Garamond" w:hAnsi="Garamond"/>
          <w:bCs/>
          <w:iCs/>
          <w:sz w:val="20"/>
          <w:szCs w:val="20"/>
        </w:rPr>
        <w:t xml:space="preserve">, and </w:t>
      </w:r>
      <w:r w:rsidRPr="004F6574">
        <w:rPr>
          <w:rFonts w:ascii="Garamond" w:hAnsi="Garamond"/>
          <w:bCs/>
          <w:i/>
          <w:iCs/>
          <w:sz w:val="20"/>
          <w:szCs w:val="20"/>
        </w:rPr>
        <w:t xml:space="preserve">Enterobacter </w:t>
      </w:r>
      <w:r w:rsidRPr="004F6574">
        <w:rPr>
          <w:rFonts w:ascii="Garamond" w:hAnsi="Garamond"/>
          <w:bCs/>
          <w:iCs/>
          <w:sz w:val="20"/>
          <w:szCs w:val="20"/>
        </w:rPr>
        <w:t xml:space="preserve">species, continue to pose a threat to healthcare systems across the globe. They are a group of bacteria with high drug resistance and pathogenicity. Among these pathogens, </w:t>
      </w:r>
      <w:r w:rsidRPr="004F6574">
        <w:rPr>
          <w:rFonts w:ascii="Garamond" w:hAnsi="Garamond"/>
          <w:bCs/>
          <w:i/>
          <w:iCs/>
          <w:sz w:val="20"/>
          <w:szCs w:val="20"/>
        </w:rPr>
        <w:t xml:space="preserve">Acinetobacter baumannii </w:t>
      </w:r>
      <w:r w:rsidRPr="00A212F6">
        <w:rPr>
          <w:rFonts w:ascii="Garamond" w:hAnsi="Garamond"/>
          <w:bCs/>
          <w:sz w:val="20"/>
          <w:szCs w:val="20"/>
        </w:rPr>
        <w:t>has been identified to persist in the healthcare environment</w:t>
      </w:r>
      <w:r w:rsidR="00A212F6" w:rsidRPr="00A212F6">
        <w:rPr>
          <w:rFonts w:ascii="Garamond" w:hAnsi="Garamond"/>
          <w:bCs/>
          <w:sz w:val="20"/>
          <w:szCs w:val="20"/>
        </w:rPr>
        <w:t>.</w:t>
      </w:r>
      <w:r w:rsidRPr="00A212F6">
        <w:rPr>
          <w:rFonts w:ascii="Garamond" w:hAnsi="Garamond"/>
          <w:bCs/>
          <w:sz w:val="20"/>
          <w:szCs w:val="20"/>
          <w:vertAlign w:val="superscript"/>
        </w:rPr>
        <w:t>3</w:t>
      </w:r>
      <w:r w:rsidRPr="00A212F6">
        <w:rPr>
          <w:rFonts w:ascii="Garamond" w:hAnsi="Garamond"/>
          <w:bCs/>
          <w:sz w:val="20"/>
          <w:szCs w:val="20"/>
        </w:rPr>
        <w:t xml:space="preserve"> The increase in the death rate and healthcare costs has been traced to the ESKAPE pathogen. The World Health </w:t>
      </w:r>
      <w:proofErr w:type="spellStart"/>
      <w:r w:rsidRPr="00A212F6">
        <w:rPr>
          <w:rFonts w:ascii="Garamond" w:hAnsi="Garamond"/>
          <w:bCs/>
          <w:sz w:val="20"/>
          <w:szCs w:val="20"/>
        </w:rPr>
        <w:t>Organisation</w:t>
      </w:r>
      <w:proofErr w:type="spellEnd"/>
      <w:r w:rsidRPr="00A212F6">
        <w:rPr>
          <w:rFonts w:ascii="Garamond" w:hAnsi="Garamond"/>
          <w:bCs/>
          <w:sz w:val="20"/>
          <w:szCs w:val="20"/>
        </w:rPr>
        <w:t xml:space="preserve"> (WHO) has developed an interest in combating and exploring these bacteria. The</w:t>
      </w:r>
      <w:r w:rsidRPr="004F6574">
        <w:rPr>
          <w:rFonts w:ascii="Garamond" w:hAnsi="Garamond"/>
          <w:bCs/>
          <w:iCs/>
          <w:sz w:val="20"/>
          <w:szCs w:val="20"/>
        </w:rPr>
        <w:t xml:space="preserve"> increasing resistance of these bacteria has raised critical questions about their resistance mechanisms</w:t>
      </w:r>
      <w:r w:rsidRPr="004F6574">
        <w:rPr>
          <w:rFonts w:ascii="Garamond" w:hAnsi="Garamond"/>
          <w:bCs/>
          <w:i/>
          <w:iCs/>
          <w:sz w:val="20"/>
          <w:szCs w:val="20"/>
        </w:rPr>
        <w:t xml:space="preserve">, </w:t>
      </w:r>
      <w:r w:rsidRPr="00A212F6">
        <w:rPr>
          <w:rFonts w:ascii="Garamond" w:hAnsi="Garamond"/>
          <w:bCs/>
          <w:sz w:val="20"/>
          <w:szCs w:val="20"/>
        </w:rPr>
        <w:t>which will give birth to new antibiotics that will have more therapeutic effects</w:t>
      </w:r>
      <w:r w:rsidR="00A212F6">
        <w:rPr>
          <w:rFonts w:ascii="Garamond" w:hAnsi="Garamond"/>
          <w:bCs/>
          <w:iCs/>
          <w:sz w:val="20"/>
          <w:szCs w:val="20"/>
        </w:rPr>
        <w:t>.</w:t>
      </w:r>
      <w:r w:rsidRPr="00A212F6">
        <w:rPr>
          <w:rFonts w:ascii="Garamond" w:hAnsi="Garamond"/>
          <w:bCs/>
          <w:iCs/>
          <w:sz w:val="20"/>
          <w:szCs w:val="20"/>
          <w:vertAlign w:val="superscript"/>
        </w:rPr>
        <w:t>4</w:t>
      </w:r>
      <w:r w:rsidRPr="004F6574">
        <w:rPr>
          <w:rFonts w:ascii="Garamond" w:hAnsi="Garamond"/>
          <w:bCs/>
          <w:iCs/>
          <w:sz w:val="20"/>
          <w:szCs w:val="20"/>
        </w:rPr>
        <w:t xml:space="preserve"> This alarming trend makes it clear that we urgently need to improve how we treat and prevent the spread of diseases caused by the ESKAPE pathogen</w:t>
      </w:r>
      <w:r w:rsidR="00A212F6">
        <w:rPr>
          <w:rFonts w:ascii="Garamond" w:hAnsi="Garamond"/>
          <w:bCs/>
          <w:iCs/>
          <w:sz w:val="20"/>
          <w:szCs w:val="20"/>
        </w:rPr>
        <w:t>.</w:t>
      </w:r>
      <w:r w:rsidRPr="00A212F6">
        <w:rPr>
          <w:rFonts w:ascii="Garamond" w:hAnsi="Garamond"/>
          <w:bCs/>
          <w:iCs/>
          <w:sz w:val="20"/>
          <w:szCs w:val="20"/>
          <w:vertAlign w:val="superscript"/>
        </w:rPr>
        <w:t>5</w:t>
      </w:r>
      <w:r w:rsidRPr="004F6574">
        <w:rPr>
          <w:rFonts w:ascii="Garamond" w:hAnsi="Garamond"/>
          <w:bCs/>
          <w:iCs/>
          <w:sz w:val="20"/>
          <w:szCs w:val="20"/>
        </w:rPr>
        <w:t xml:space="preserve"> </w:t>
      </w:r>
    </w:p>
    <w:p w14:paraId="4C3BF44D" w14:textId="30D5DBC3" w:rsidR="004F6574" w:rsidRPr="00A212F6" w:rsidRDefault="004F6574" w:rsidP="004F6574">
      <w:pPr>
        <w:spacing w:line="259" w:lineRule="auto"/>
        <w:jc w:val="both"/>
        <w:rPr>
          <w:rFonts w:ascii="Garamond" w:hAnsi="Garamond"/>
          <w:bCs/>
          <w:iCs/>
          <w:sz w:val="20"/>
          <w:szCs w:val="20"/>
        </w:rPr>
      </w:pPr>
      <w:r w:rsidRPr="004F6574">
        <w:rPr>
          <w:rFonts w:ascii="Garamond" w:hAnsi="Garamond"/>
          <w:bCs/>
          <w:i/>
          <w:iCs/>
          <w:sz w:val="20"/>
          <w:szCs w:val="20"/>
        </w:rPr>
        <w:t>Acinetobacter baumannii</w:t>
      </w:r>
      <w:r w:rsidRPr="004F6574">
        <w:rPr>
          <w:rFonts w:ascii="Garamond" w:hAnsi="Garamond"/>
          <w:bCs/>
          <w:iCs/>
          <w:sz w:val="20"/>
          <w:szCs w:val="20"/>
        </w:rPr>
        <w:t xml:space="preserve">, one of the ESKAPE pathogens, is a key contributor to chronic wound infections, especially in individuals with weakened immune systems or diabetes. These wounds create a </w:t>
      </w:r>
      <w:proofErr w:type="spellStart"/>
      <w:r w:rsidRPr="004F6574">
        <w:rPr>
          <w:rFonts w:ascii="Garamond" w:hAnsi="Garamond"/>
          <w:bCs/>
          <w:iCs/>
          <w:sz w:val="20"/>
          <w:szCs w:val="20"/>
        </w:rPr>
        <w:t>favourable</w:t>
      </w:r>
      <w:proofErr w:type="spellEnd"/>
      <w:r w:rsidRPr="004F6574">
        <w:rPr>
          <w:rFonts w:ascii="Garamond" w:hAnsi="Garamond"/>
          <w:bCs/>
          <w:iCs/>
          <w:sz w:val="20"/>
          <w:szCs w:val="20"/>
        </w:rPr>
        <w:t xml:space="preserve"> setting for the bacteria to persist and hinder the healing process. This often leads to prolonged inflammation and less </w:t>
      </w:r>
      <w:proofErr w:type="spellStart"/>
      <w:r w:rsidRPr="004F6574">
        <w:rPr>
          <w:rFonts w:ascii="Garamond" w:hAnsi="Garamond"/>
          <w:bCs/>
          <w:iCs/>
          <w:sz w:val="20"/>
          <w:szCs w:val="20"/>
        </w:rPr>
        <w:t>favourable</w:t>
      </w:r>
      <w:proofErr w:type="spellEnd"/>
      <w:r w:rsidRPr="004F6574">
        <w:rPr>
          <w:rFonts w:ascii="Garamond" w:hAnsi="Garamond"/>
          <w:bCs/>
          <w:iCs/>
          <w:sz w:val="20"/>
          <w:szCs w:val="20"/>
        </w:rPr>
        <w:t xml:space="preserve"> treatment outcomes</w:t>
      </w:r>
      <w:r w:rsidR="00A212F6">
        <w:rPr>
          <w:rFonts w:ascii="Garamond" w:hAnsi="Garamond"/>
          <w:bCs/>
          <w:iCs/>
          <w:sz w:val="20"/>
          <w:szCs w:val="20"/>
        </w:rPr>
        <w:t>.</w:t>
      </w:r>
      <w:r w:rsidRPr="00A212F6">
        <w:rPr>
          <w:rFonts w:ascii="Garamond" w:hAnsi="Garamond"/>
          <w:bCs/>
          <w:iCs/>
          <w:sz w:val="20"/>
          <w:szCs w:val="20"/>
          <w:vertAlign w:val="superscript"/>
        </w:rPr>
        <w:t>6</w:t>
      </w:r>
      <w:r w:rsidRPr="004F6574">
        <w:rPr>
          <w:rFonts w:ascii="Garamond" w:hAnsi="Garamond"/>
          <w:bCs/>
          <w:iCs/>
          <w:sz w:val="20"/>
          <w:szCs w:val="20"/>
        </w:rPr>
        <w:t xml:space="preserve"> Due to the stubborn nature of </w:t>
      </w:r>
      <w:r w:rsidRPr="004F6574">
        <w:rPr>
          <w:rFonts w:ascii="Garamond" w:hAnsi="Garamond"/>
          <w:bCs/>
          <w:i/>
          <w:iCs/>
          <w:sz w:val="20"/>
          <w:szCs w:val="20"/>
        </w:rPr>
        <w:t>A. baumannii</w:t>
      </w:r>
      <w:r w:rsidRPr="004F6574">
        <w:rPr>
          <w:rFonts w:ascii="Garamond" w:hAnsi="Garamond"/>
          <w:bCs/>
          <w:iCs/>
          <w:sz w:val="20"/>
          <w:szCs w:val="20"/>
        </w:rPr>
        <w:t xml:space="preserve"> biofilms in such wounds, patients frequently require intensive interventions like surgical cleaning and combined antibiotic treatments, further increasing the strain on healthcare resources.</w:t>
      </w:r>
    </w:p>
    <w:p w14:paraId="2B8E0351" w14:textId="67F2C334" w:rsidR="004F6574" w:rsidRPr="004F6574" w:rsidRDefault="004F6574" w:rsidP="004F6574">
      <w:pPr>
        <w:spacing w:line="259" w:lineRule="auto"/>
        <w:jc w:val="both"/>
        <w:rPr>
          <w:rFonts w:ascii="Garamond" w:hAnsi="Garamond"/>
          <w:bCs/>
          <w:iCs/>
          <w:sz w:val="20"/>
          <w:szCs w:val="20"/>
        </w:rPr>
      </w:pPr>
      <w:r w:rsidRPr="004F6574">
        <w:rPr>
          <w:rFonts w:ascii="Garamond" w:hAnsi="Garamond"/>
          <w:bCs/>
          <w:i/>
          <w:iCs/>
          <w:sz w:val="20"/>
          <w:szCs w:val="20"/>
        </w:rPr>
        <w:t xml:space="preserve">A. baumannii </w:t>
      </w:r>
      <w:r w:rsidRPr="004F6574">
        <w:rPr>
          <w:rFonts w:ascii="Garamond" w:hAnsi="Garamond"/>
          <w:bCs/>
          <w:iCs/>
          <w:sz w:val="20"/>
          <w:szCs w:val="20"/>
        </w:rPr>
        <w:t>thrives</w:t>
      </w:r>
      <w:r w:rsidRPr="004F6574">
        <w:rPr>
          <w:rFonts w:ascii="Garamond" w:hAnsi="Garamond"/>
          <w:bCs/>
          <w:i/>
          <w:iCs/>
          <w:sz w:val="20"/>
          <w:szCs w:val="20"/>
        </w:rPr>
        <w:t xml:space="preserve"> </w:t>
      </w:r>
      <w:r w:rsidRPr="004F6574">
        <w:rPr>
          <w:rFonts w:ascii="Garamond" w:hAnsi="Garamond"/>
          <w:bCs/>
          <w:iCs/>
          <w:sz w:val="20"/>
          <w:szCs w:val="20"/>
        </w:rPr>
        <w:t xml:space="preserve">and survives in human hosts by biofilm formation. Biofilm is a complex community of microorganisms, and it is one of the strategies employed by the pathogen. It enables the pathogen to withstand </w:t>
      </w:r>
      <w:r w:rsidRPr="004F6574">
        <w:rPr>
          <w:rFonts w:ascii="Garamond" w:hAnsi="Garamond"/>
          <w:bCs/>
          <w:iCs/>
          <w:sz w:val="20"/>
          <w:szCs w:val="20"/>
        </w:rPr>
        <w:t>antimicrobial medications and the host’s immune response, which results from its ability to fix into the extracellular matrix it produces</w:t>
      </w:r>
      <w:r w:rsidRPr="00A212F6">
        <w:rPr>
          <w:rFonts w:ascii="Garamond" w:hAnsi="Garamond"/>
          <w:bCs/>
          <w:iCs/>
          <w:sz w:val="20"/>
          <w:szCs w:val="20"/>
          <w:vertAlign w:val="superscript"/>
        </w:rPr>
        <w:t>3</w:t>
      </w:r>
      <w:r w:rsidRPr="004F6574">
        <w:rPr>
          <w:rFonts w:ascii="Garamond" w:hAnsi="Garamond"/>
          <w:bCs/>
          <w:iCs/>
          <w:sz w:val="20"/>
          <w:szCs w:val="20"/>
        </w:rPr>
        <w:t xml:space="preserve"> Ventilator-associated pneumonia (VAP) often involves </w:t>
      </w:r>
      <w:r w:rsidRPr="004F6574">
        <w:rPr>
          <w:rFonts w:ascii="Garamond" w:hAnsi="Garamond"/>
          <w:bCs/>
          <w:i/>
          <w:iCs/>
          <w:sz w:val="20"/>
          <w:szCs w:val="20"/>
        </w:rPr>
        <w:t>Acinetobacter baumannii</w:t>
      </w:r>
      <w:r w:rsidRPr="004F6574">
        <w:rPr>
          <w:rFonts w:ascii="Garamond" w:hAnsi="Garamond"/>
          <w:bCs/>
          <w:iCs/>
          <w:sz w:val="20"/>
          <w:szCs w:val="20"/>
        </w:rPr>
        <w:t>, a bacterium commonly found on endotracheal tubes. Its ability to form biofilms allows it to persist and withstand antibiotic treatment. Infections caused by this organism are typically severe, leading to extended hospital stays, greater patient suffering, and rising treatment expenses</w:t>
      </w:r>
      <w:r w:rsidR="00A212F6">
        <w:rPr>
          <w:rFonts w:ascii="Garamond" w:hAnsi="Garamond"/>
          <w:bCs/>
          <w:iCs/>
          <w:sz w:val="20"/>
          <w:szCs w:val="20"/>
        </w:rPr>
        <w:t>.</w:t>
      </w:r>
      <w:r w:rsidRPr="00A212F6">
        <w:rPr>
          <w:rFonts w:ascii="Garamond" w:hAnsi="Garamond"/>
          <w:bCs/>
          <w:iCs/>
          <w:sz w:val="20"/>
          <w:szCs w:val="20"/>
          <w:vertAlign w:val="superscript"/>
        </w:rPr>
        <w:t>3</w:t>
      </w:r>
      <w:r w:rsidRPr="004F6574">
        <w:rPr>
          <w:rFonts w:ascii="Garamond" w:hAnsi="Garamond"/>
          <w:bCs/>
          <w:iCs/>
          <w:sz w:val="20"/>
          <w:szCs w:val="20"/>
        </w:rPr>
        <w:t xml:space="preserve"> This paper identified the mechanisms of AMP attacks on ESKAPE pathogens, specifically focusing on the effects of AMPs on </w:t>
      </w:r>
      <w:r w:rsidRPr="004F6574">
        <w:rPr>
          <w:rFonts w:ascii="Garamond" w:hAnsi="Garamond"/>
          <w:bCs/>
          <w:i/>
          <w:iCs/>
          <w:sz w:val="20"/>
          <w:szCs w:val="20"/>
        </w:rPr>
        <w:t xml:space="preserve">Acinetobacter baumannii. </w:t>
      </w:r>
      <w:r w:rsidRPr="00A212F6">
        <w:rPr>
          <w:rFonts w:ascii="Garamond" w:hAnsi="Garamond"/>
          <w:bCs/>
          <w:sz w:val="20"/>
          <w:szCs w:val="20"/>
        </w:rPr>
        <w:t>This paper also proposed new methods for improving the efficacy of AMPs in attacking pathogens and reducing antimicrobial resistance.</w:t>
      </w:r>
    </w:p>
    <w:p w14:paraId="53380C17" w14:textId="77777777" w:rsidR="004F6574" w:rsidRDefault="004F6574" w:rsidP="004F6574">
      <w:pPr>
        <w:spacing w:line="259" w:lineRule="auto"/>
        <w:jc w:val="both"/>
        <w:rPr>
          <w:rFonts w:ascii="Garamond" w:hAnsi="Garamond"/>
          <w:b/>
          <w:bCs/>
          <w:iCs/>
          <w:sz w:val="22"/>
          <w:szCs w:val="22"/>
        </w:rPr>
      </w:pPr>
    </w:p>
    <w:p w14:paraId="0222177E" w14:textId="5994E3F2" w:rsidR="004F6574" w:rsidRPr="004F6574" w:rsidRDefault="00A212F6" w:rsidP="004F6574">
      <w:pPr>
        <w:spacing w:line="259" w:lineRule="auto"/>
        <w:jc w:val="both"/>
        <w:rPr>
          <w:rFonts w:ascii="Garamond" w:hAnsi="Garamond"/>
          <w:b/>
          <w:bCs/>
          <w:iCs/>
          <w:sz w:val="22"/>
          <w:szCs w:val="22"/>
        </w:rPr>
      </w:pPr>
      <w:r w:rsidRPr="004F6574">
        <w:rPr>
          <w:rFonts w:ascii="Garamond" w:hAnsi="Garamond"/>
          <w:b/>
          <w:bCs/>
          <w:iCs/>
          <w:sz w:val="22"/>
          <w:szCs w:val="22"/>
        </w:rPr>
        <w:t>METHODS</w:t>
      </w:r>
    </w:p>
    <w:p w14:paraId="70EBE0D0" w14:textId="77777777" w:rsidR="004F6574" w:rsidRPr="004F6574" w:rsidRDefault="004F6574" w:rsidP="004F6574">
      <w:pPr>
        <w:spacing w:line="259" w:lineRule="auto"/>
        <w:jc w:val="both"/>
        <w:rPr>
          <w:rFonts w:ascii="Garamond" w:hAnsi="Garamond"/>
          <w:bCs/>
          <w:iCs/>
          <w:sz w:val="20"/>
          <w:szCs w:val="20"/>
        </w:rPr>
      </w:pPr>
      <w:r w:rsidRPr="004F6574">
        <w:rPr>
          <w:rFonts w:ascii="Garamond" w:hAnsi="Garamond"/>
          <w:bCs/>
          <w:iCs/>
          <w:sz w:val="20"/>
          <w:szCs w:val="20"/>
        </w:rPr>
        <w:t>Relevant literature was identified through systematic searches of major scientific databases, including PubMed, Scopus, Web of Science, and Google Scholar. The search strategy used combinations of keywords such as “antimicrobial peptides,” “ESKAPE pathogens,” “Acinetobacter baumannii,” “biofilms,” and “antimicrobial resistance.” Articles published between 2020 and 2026 were prioritized to ensure the inclusion of recent developments in the field. Studies that were not written in English were excluded from the review.</w:t>
      </w:r>
    </w:p>
    <w:p w14:paraId="072837B6" w14:textId="77777777" w:rsidR="004F6574" w:rsidRDefault="004F6574" w:rsidP="004F6574">
      <w:pPr>
        <w:spacing w:line="259" w:lineRule="auto"/>
        <w:jc w:val="both"/>
        <w:rPr>
          <w:rFonts w:ascii="Garamond" w:hAnsi="Garamond"/>
          <w:b/>
          <w:bCs/>
          <w:iCs/>
          <w:sz w:val="22"/>
          <w:szCs w:val="22"/>
        </w:rPr>
      </w:pPr>
    </w:p>
    <w:p w14:paraId="241C7391" w14:textId="65F1B498" w:rsidR="004F6574" w:rsidRPr="004F6574" w:rsidRDefault="00A212F6" w:rsidP="004F6574">
      <w:pPr>
        <w:spacing w:line="259" w:lineRule="auto"/>
        <w:jc w:val="both"/>
        <w:rPr>
          <w:rFonts w:ascii="Garamond" w:hAnsi="Garamond"/>
          <w:b/>
          <w:bCs/>
          <w:iCs/>
          <w:sz w:val="22"/>
          <w:szCs w:val="22"/>
        </w:rPr>
      </w:pPr>
      <w:r w:rsidRPr="004F6574">
        <w:rPr>
          <w:rFonts w:ascii="Garamond" w:hAnsi="Garamond"/>
          <w:b/>
          <w:bCs/>
          <w:iCs/>
          <w:sz w:val="22"/>
          <w:szCs w:val="22"/>
        </w:rPr>
        <w:t>RESULTS</w:t>
      </w:r>
    </w:p>
    <w:p w14:paraId="3C8041C5" w14:textId="0AA0B92F" w:rsidR="004F6574" w:rsidRDefault="004F6574" w:rsidP="004F6574">
      <w:pPr>
        <w:spacing w:line="259" w:lineRule="auto"/>
        <w:jc w:val="both"/>
        <w:rPr>
          <w:rFonts w:ascii="Garamond" w:hAnsi="Garamond"/>
          <w:bCs/>
          <w:iCs/>
          <w:sz w:val="20"/>
          <w:szCs w:val="20"/>
        </w:rPr>
      </w:pPr>
      <w:r w:rsidRPr="00A212F6">
        <w:rPr>
          <w:rFonts w:ascii="Garamond" w:hAnsi="Garamond"/>
          <w:b/>
          <w:bCs/>
          <w:i/>
          <w:sz w:val="20"/>
          <w:szCs w:val="20"/>
        </w:rPr>
        <w:t>Antimicrobial peptides</w:t>
      </w:r>
      <w:r w:rsidR="00A212F6" w:rsidRPr="00A212F6">
        <w:rPr>
          <w:rFonts w:ascii="Garamond" w:hAnsi="Garamond"/>
          <w:b/>
          <w:bCs/>
          <w:i/>
          <w:sz w:val="20"/>
          <w:szCs w:val="20"/>
        </w:rPr>
        <w:t>:</w:t>
      </w:r>
      <w:r w:rsidR="00A212F6">
        <w:rPr>
          <w:rFonts w:ascii="Garamond" w:hAnsi="Garamond"/>
          <w:b/>
          <w:bCs/>
          <w:iCs/>
          <w:sz w:val="20"/>
          <w:szCs w:val="20"/>
        </w:rPr>
        <w:t xml:space="preserve"> </w:t>
      </w:r>
      <w:r w:rsidRPr="004F6574">
        <w:rPr>
          <w:rFonts w:ascii="Garamond" w:hAnsi="Garamond"/>
          <w:bCs/>
          <w:iCs/>
          <w:sz w:val="20"/>
          <w:szCs w:val="20"/>
        </w:rPr>
        <w:t>Antimicrobial peptides (AMPs) are naturally occurring or synthetically produced bioactive compounds that play a crucial role in innate immunity and exhibit broad-spectrum antimicrobial, antifungal, and anti-inflammatory activities, including efficacy against ESKAPE pathogens [7]. AMPs are derived from diverse sources such as humans, mammals, amphibians, and marine organisms (</w:t>
      </w:r>
      <w:hyperlink w:anchor="Table1" w:tooltip="Table 1: Representative Antimicrobial Peptides, Structures, Sources, and Target Pathogens." w:history="1">
        <w:r w:rsidRPr="004F6574">
          <w:rPr>
            <w:rStyle w:val="Hyperlink"/>
            <w:rFonts w:ascii="Garamond" w:hAnsi="Garamond"/>
            <w:bCs/>
            <w:iCs/>
            <w:sz w:val="20"/>
            <w:szCs w:val="20"/>
          </w:rPr>
          <w:t>Table 1</w:t>
        </w:r>
      </w:hyperlink>
      <w:r w:rsidRPr="004F6574">
        <w:rPr>
          <w:rFonts w:ascii="Garamond" w:hAnsi="Garamond"/>
          <w:bCs/>
          <w:iCs/>
          <w:sz w:val="20"/>
          <w:szCs w:val="20"/>
        </w:rPr>
        <w:t>) and are commonly classified by origin into natural (e.g., human- and marine-derived) and synthetic peptides, a categorization that informs their stability, efficacy, and resistance profiles</w:t>
      </w:r>
      <w:r w:rsidR="00A212F6">
        <w:rPr>
          <w:rFonts w:ascii="Garamond" w:hAnsi="Garamond"/>
          <w:bCs/>
          <w:iCs/>
          <w:sz w:val="20"/>
          <w:szCs w:val="20"/>
        </w:rPr>
        <w:t>.</w:t>
      </w:r>
      <w:r w:rsidRPr="004F6574">
        <w:rPr>
          <w:rFonts w:ascii="Garamond" w:hAnsi="Garamond"/>
          <w:bCs/>
          <w:iCs/>
          <w:sz w:val="20"/>
          <w:szCs w:val="20"/>
          <w:vertAlign w:val="superscript"/>
        </w:rPr>
        <w:t>8</w:t>
      </w:r>
    </w:p>
    <w:p w14:paraId="64D6945C" w14:textId="7663D0AB" w:rsidR="004F6574" w:rsidRDefault="004F6574" w:rsidP="004F6574">
      <w:pPr>
        <w:spacing w:line="259" w:lineRule="auto"/>
        <w:jc w:val="both"/>
        <w:rPr>
          <w:rFonts w:ascii="Garamond" w:hAnsi="Garamond"/>
          <w:bCs/>
          <w:iCs/>
          <w:sz w:val="20"/>
          <w:szCs w:val="20"/>
        </w:rPr>
      </w:pPr>
      <w:r w:rsidRPr="004F6574">
        <w:rPr>
          <w:rFonts w:ascii="Garamond" w:hAnsi="Garamond"/>
          <w:bCs/>
          <w:iCs/>
          <w:sz w:val="20"/>
          <w:szCs w:val="20"/>
        </w:rPr>
        <w:t>Despite their potency, AMP activity can be limited by environmental factors and enzymatic degradation, particularly following gastrointestinal administration or at infection sites</w:t>
      </w:r>
      <w:r w:rsidRPr="00A212F6">
        <w:rPr>
          <w:rFonts w:ascii="Garamond" w:hAnsi="Garamond"/>
          <w:bCs/>
          <w:iCs/>
          <w:sz w:val="20"/>
          <w:szCs w:val="20"/>
          <w:vertAlign w:val="superscript"/>
        </w:rPr>
        <w:t>9</w:t>
      </w:r>
      <w:r w:rsidRPr="004F6574">
        <w:rPr>
          <w:rFonts w:ascii="Garamond" w:hAnsi="Garamond"/>
          <w:bCs/>
          <w:iCs/>
          <w:sz w:val="20"/>
          <w:szCs w:val="20"/>
        </w:rPr>
        <w:t xml:space="preserve"> to enhance stability and bioavailability, strategies such as incorporating D-amino acids, synthetic residues, and peptide backbone modifications have been </w:t>
      </w:r>
      <w:r w:rsidRPr="004F6574">
        <w:rPr>
          <w:rFonts w:ascii="Garamond" w:hAnsi="Garamond"/>
          <w:bCs/>
          <w:iCs/>
          <w:sz w:val="20"/>
          <w:szCs w:val="20"/>
        </w:rPr>
        <w:lastRenderedPageBreak/>
        <w:t>developed to protect AMPs from proteolytic degradation</w:t>
      </w:r>
      <w:r w:rsidRPr="004F6574">
        <w:rPr>
          <w:rFonts w:ascii="Garamond" w:hAnsi="Garamond"/>
          <w:bCs/>
          <w:iCs/>
          <w:sz w:val="20"/>
          <w:szCs w:val="20"/>
          <w:vertAlign w:val="superscript"/>
        </w:rPr>
        <w:t>9</w:t>
      </w:r>
    </w:p>
    <w:p w14:paraId="03806056" w14:textId="0D2746F6" w:rsidR="004F6574" w:rsidRPr="00A212F6" w:rsidRDefault="004F6574" w:rsidP="004F6574">
      <w:pPr>
        <w:spacing w:line="259" w:lineRule="auto"/>
        <w:jc w:val="both"/>
        <w:rPr>
          <w:rFonts w:ascii="Garamond" w:hAnsi="Garamond"/>
          <w:bCs/>
          <w:iCs/>
          <w:sz w:val="20"/>
          <w:szCs w:val="20"/>
        </w:rPr>
      </w:pPr>
      <w:r w:rsidRPr="004F6574">
        <w:rPr>
          <w:rFonts w:ascii="Garamond" w:hAnsi="Garamond"/>
          <w:bCs/>
          <w:iCs/>
          <w:sz w:val="20"/>
          <w:szCs w:val="20"/>
        </w:rPr>
        <w:t>Advances in synthetic peptide design and peptide-mimetic engineering aim to improve antimicrobial efficacy while reducing host toxicity, thereby expanding the therapeutic potential of AMPs</w:t>
      </w:r>
      <w:r w:rsidR="00A212F6">
        <w:rPr>
          <w:rFonts w:ascii="Garamond" w:hAnsi="Garamond"/>
          <w:bCs/>
          <w:iCs/>
          <w:sz w:val="20"/>
          <w:szCs w:val="20"/>
        </w:rPr>
        <w:t>.</w:t>
      </w:r>
      <w:r w:rsidRPr="00A212F6">
        <w:rPr>
          <w:rFonts w:ascii="Garamond" w:hAnsi="Garamond"/>
          <w:bCs/>
          <w:iCs/>
          <w:sz w:val="20"/>
          <w:szCs w:val="20"/>
          <w:vertAlign w:val="superscript"/>
        </w:rPr>
        <w:t>10</w:t>
      </w:r>
      <w:r w:rsidRPr="004F6574">
        <w:rPr>
          <w:rFonts w:ascii="Garamond" w:hAnsi="Garamond"/>
          <w:bCs/>
          <w:iCs/>
          <w:sz w:val="20"/>
          <w:szCs w:val="20"/>
        </w:rPr>
        <w:t xml:space="preserve"> These developments, coupled with their broad activity against multidrug-resistant ESKAPE pathogens and biofilm-associated infections, have positioned AMPs as promising alternatives to conventional antibiotics</w:t>
      </w:r>
      <w:r w:rsidR="00A212F6">
        <w:rPr>
          <w:rFonts w:ascii="Garamond" w:hAnsi="Garamond"/>
          <w:bCs/>
          <w:iCs/>
          <w:sz w:val="20"/>
          <w:szCs w:val="20"/>
        </w:rPr>
        <w:t>.</w:t>
      </w:r>
      <w:r w:rsidRPr="004F6574">
        <w:rPr>
          <w:rFonts w:ascii="Garamond" w:hAnsi="Garamond"/>
          <w:bCs/>
          <w:iCs/>
          <w:sz w:val="20"/>
          <w:szCs w:val="20"/>
          <w:vertAlign w:val="superscript"/>
        </w:rPr>
        <w:t>11</w:t>
      </w:r>
      <w:r w:rsidRPr="004F6574">
        <w:rPr>
          <w:rFonts w:ascii="Garamond" w:hAnsi="Garamond"/>
          <w:bCs/>
          <w:iCs/>
          <w:sz w:val="20"/>
          <w:szCs w:val="20"/>
        </w:rPr>
        <w:t xml:space="preserve"> Representative human- and marine-derived AMPs, their sources, target organisms, and sequences are summarized in </w:t>
      </w:r>
      <w:hyperlink w:anchor="Table1" w:tooltip="Table 1: Representative Antimicrobial Peptides, Structures, Sources, and Target Pathogens." w:history="1">
        <w:r w:rsidRPr="004F6574">
          <w:rPr>
            <w:rStyle w:val="Hyperlink"/>
            <w:rFonts w:ascii="Garamond" w:hAnsi="Garamond"/>
            <w:bCs/>
            <w:iCs/>
            <w:sz w:val="20"/>
            <w:szCs w:val="20"/>
          </w:rPr>
          <w:t>Table 1</w:t>
        </w:r>
      </w:hyperlink>
      <w:r w:rsidRPr="004F6574">
        <w:rPr>
          <w:rFonts w:ascii="Garamond" w:hAnsi="Garamond"/>
          <w:bCs/>
          <w:iCs/>
          <w:sz w:val="20"/>
          <w:szCs w:val="20"/>
        </w:rPr>
        <w:t>.</w:t>
      </w:r>
    </w:p>
    <w:p w14:paraId="376926CA" w14:textId="1C4B8DDD" w:rsidR="004F6574" w:rsidRDefault="004F6574" w:rsidP="004F6574">
      <w:pPr>
        <w:spacing w:line="259" w:lineRule="auto"/>
        <w:jc w:val="both"/>
        <w:rPr>
          <w:rFonts w:ascii="Garamond" w:hAnsi="Garamond"/>
          <w:bCs/>
          <w:iCs/>
          <w:sz w:val="20"/>
          <w:szCs w:val="20"/>
        </w:rPr>
      </w:pPr>
      <w:r w:rsidRPr="00A212F6">
        <w:rPr>
          <w:rFonts w:ascii="Garamond" w:hAnsi="Garamond"/>
          <w:b/>
          <w:bCs/>
          <w:i/>
          <w:sz w:val="20"/>
          <w:szCs w:val="20"/>
        </w:rPr>
        <w:t>Groups of antimicrobial peptides</w:t>
      </w:r>
      <w:r w:rsidR="00A212F6" w:rsidRPr="00A212F6">
        <w:rPr>
          <w:rFonts w:ascii="Garamond" w:hAnsi="Garamond"/>
          <w:b/>
          <w:bCs/>
          <w:i/>
          <w:sz w:val="20"/>
          <w:szCs w:val="20"/>
        </w:rPr>
        <w:t xml:space="preserve">: </w:t>
      </w:r>
      <w:r w:rsidRPr="004F6574">
        <w:rPr>
          <w:rFonts w:ascii="Garamond" w:hAnsi="Garamond"/>
          <w:bCs/>
          <w:iCs/>
          <w:sz w:val="20"/>
          <w:szCs w:val="20"/>
        </w:rPr>
        <w:t>Antimicrobial peptides (AMPs) possess evolutionarily conserved structural features that enable activity under diverse conditions. Lipopeptides such as peptaibols, which contain the non-standard amino acid α-</w:t>
      </w:r>
      <w:proofErr w:type="spellStart"/>
      <w:r w:rsidRPr="004F6574">
        <w:rPr>
          <w:rFonts w:ascii="Garamond" w:hAnsi="Garamond"/>
          <w:bCs/>
          <w:iCs/>
          <w:sz w:val="20"/>
          <w:szCs w:val="20"/>
        </w:rPr>
        <w:t>aminoisobutyric</w:t>
      </w:r>
      <w:proofErr w:type="spellEnd"/>
      <w:r w:rsidRPr="004F6574">
        <w:rPr>
          <w:rFonts w:ascii="Garamond" w:hAnsi="Garamond"/>
          <w:bCs/>
          <w:iCs/>
          <w:sz w:val="20"/>
          <w:szCs w:val="20"/>
        </w:rPr>
        <w:t xml:space="preserve"> acid, carry N-terminal lipid tails that promote stable α-helical conformations, facilitating membrane penetration and microbial cell disruption</w:t>
      </w:r>
      <w:r w:rsidR="00A212F6">
        <w:rPr>
          <w:rFonts w:ascii="Garamond" w:hAnsi="Garamond"/>
          <w:bCs/>
          <w:iCs/>
          <w:sz w:val="20"/>
          <w:szCs w:val="20"/>
        </w:rPr>
        <w:t>.</w:t>
      </w:r>
      <w:r w:rsidRPr="004F6574">
        <w:rPr>
          <w:rFonts w:ascii="Garamond" w:hAnsi="Garamond"/>
          <w:bCs/>
          <w:iCs/>
          <w:sz w:val="20"/>
          <w:szCs w:val="20"/>
          <w:vertAlign w:val="superscript"/>
        </w:rPr>
        <w:t>12</w:t>
      </w:r>
      <w:r w:rsidRPr="004F6574">
        <w:rPr>
          <w:rFonts w:ascii="Garamond" w:hAnsi="Garamond"/>
          <w:bCs/>
          <w:iCs/>
          <w:sz w:val="20"/>
          <w:szCs w:val="20"/>
        </w:rPr>
        <w:t xml:space="preserve"> Their amphipathic architecture allows effective movement through biofilm matrices and destabilization of embedded cells</w:t>
      </w:r>
      <w:r w:rsidRPr="004F6574">
        <w:rPr>
          <w:rFonts w:ascii="Garamond" w:hAnsi="Garamond"/>
          <w:bCs/>
          <w:iCs/>
          <w:sz w:val="20"/>
          <w:szCs w:val="20"/>
          <w:vertAlign w:val="superscript"/>
        </w:rPr>
        <w:t>13</w:t>
      </w:r>
      <w:r w:rsidRPr="004F6574">
        <w:rPr>
          <w:rFonts w:ascii="Garamond" w:hAnsi="Garamond"/>
          <w:bCs/>
          <w:iCs/>
          <w:sz w:val="20"/>
          <w:szCs w:val="20"/>
        </w:rPr>
        <w:t>. Many AMPs are derived from aquatic invertebrates, fish, and amphibians, and these marine-derived peptides exhibit strong antimicrobial and antibiofilm activity against resistant ESKAPE pathogens.</w:t>
      </w:r>
    </w:p>
    <w:p w14:paraId="55565D20" w14:textId="0A3B5403" w:rsidR="004F6574" w:rsidRDefault="004F6574" w:rsidP="004F6574">
      <w:pPr>
        <w:spacing w:line="259" w:lineRule="auto"/>
        <w:jc w:val="both"/>
        <w:rPr>
          <w:rFonts w:ascii="Garamond" w:hAnsi="Garamond"/>
          <w:bCs/>
          <w:iCs/>
          <w:sz w:val="20"/>
          <w:szCs w:val="20"/>
        </w:rPr>
      </w:pPr>
      <w:r w:rsidRPr="004F6574">
        <w:rPr>
          <w:rFonts w:ascii="Garamond" w:hAnsi="Garamond"/>
          <w:bCs/>
          <w:iCs/>
          <w:sz w:val="20"/>
          <w:szCs w:val="20"/>
        </w:rPr>
        <w:t xml:space="preserve">Marine AMPs such as </w:t>
      </w:r>
      <w:proofErr w:type="spellStart"/>
      <w:r w:rsidRPr="004F6574">
        <w:rPr>
          <w:rFonts w:ascii="Garamond" w:hAnsi="Garamond"/>
          <w:bCs/>
          <w:iCs/>
          <w:sz w:val="20"/>
          <w:szCs w:val="20"/>
        </w:rPr>
        <w:t>mytilins</w:t>
      </w:r>
      <w:proofErr w:type="spellEnd"/>
      <w:r w:rsidRPr="004F6574">
        <w:rPr>
          <w:rFonts w:ascii="Garamond" w:hAnsi="Garamond"/>
          <w:bCs/>
          <w:iCs/>
          <w:sz w:val="20"/>
          <w:szCs w:val="20"/>
        </w:rPr>
        <w:t xml:space="preserve"> and </w:t>
      </w:r>
      <w:proofErr w:type="spellStart"/>
      <w:r w:rsidRPr="004F6574">
        <w:rPr>
          <w:rFonts w:ascii="Garamond" w:hAnsi="Garamond"/>
          <w:bCs/>
          <w:iCs/>
          <w:sz w:val="20"/>
          <w:szCs w:val="20"/>
        </w:rPr>
        <w:t>tachyplesins</w:t>
      </w:r>
      <w:proofErr w:type="spellEnd"/>
      <w:r w:rsidRPr="004F6574">
        <w:rPr>
          <w:rFonts w:ascii="Garamond" w:hAnsi="Garamond"/>
          <w:bCs/>
          <w:iCs/>
          <w:sz w:val="20"/>
          <w:szCs w:val="20"/>
        </w:rPr>
        <w:t xml:space="preserve"> are enriched in positively charged residues, enhancing their interaction with negatively charged bacterial membranes and biofilm extracellular polymeric substances, thereby disrupting biofilm stability across multiple pathogens </w:t>
      </w:r>
      <w:r w:rsidRPr="004F6574">
        <w:rPr>
          <w:rFonts w:ascii="Garamond" w:hAnsi="Garamond"/>
          <w:bCs/>
          <w:iCs/>
          <w:sz w:val="20"/>
          <w:szCs w:val="20"/>
          <w:vertAlign w:val="superscript"/>
        </w:rPr>
        <w:t>13</w:t>
      </w:r>
      <w:r w:rsidRPr="004F6574">
        <w:rPr>
          <w:rFonts w:ascii="Garamond" w:hAnsi="Garamond"/>
          <w:bCs/>
          <w:iCs/>
          <w:sz w:val="20"/>
          <w:szCs w:val="20"/>
        </w:rPr>
        <w:t xml:space="preserve">. Bacteriocins, another AMP class produced by bacteria, contribute to microbial competition and survival. Gram-positive bacteriocins, including </w:t>
      </w:r>
      <w:proofErr w:type="spellStart"/>
      <w:r w:rsidRPr="004F6574">
        <w:rPr>
          <w:rFonts w:ascii="Garamond" w:hAnsi="Garamond"/>
          <w:bCs/>
          <w:iCs/>
          <w:sz w:val="20"/>
          <w:szCs w:val="20"/>
        </w:rPr>
        <w:t>lantibiotics</w:t>
      </w:r>
      <w:proofErr w:type="spellEnd"/>
      <w:r w:rsidRPr="004F6574">
        <w:rPr>
          <w:rFonts w:ascii="Garamond" w:hAnsi="Garamond"/>
          <w:bCs/>
          <w:iCs/>
          <w:sz w:val="20"/>
          <w:szCs w:val="20"/>
        </w:rPr>
        <w:t xml:space="preserve"> and class II peptides, primarily target lipid II involved in cell wall synthesis, whereas Gram-negative bacteriocins such as colicins and </w:t>
      </w:r>
      <w:proofErr w:type="spellStart"/>
      <w:r w:rsidRPr="004F6574">
        <w:rPr>
          <w:rFonts w:ascii="Garamond" w:hAnsi="Garamond"/>
          <w:bCs/>
          <w:iCs/>
          <w:sz w:val="20"/>
          <w:szCs w:val="20"/>
        </w:rPr>
        <w:t>microcins</w:t>
      </w:r>
      <w:proofErr w:type="spellEnd"/>
      <w:r w:rsidRPr="004F6574">
        <w:rPr>
          <w:rFonts w:ascii="Garamond" w:hAnsi="Garamond"/>
          <w:bCs/>
          <w:iCs/>
          <w:sz w:val="20"/>
          <w:szCs w:val="20"/>
        </w:rPr>
        <w:t xml:space="preserve"> enter target cells via specific receptors and disrupt essential processes including DNA or RNA function</w:t>
      </w:r>
      <w:r w:rsidR="00A212F6">
        <w:rPr>
          <w:rFonts w:ascii="Garamond" w:hAnsi="Garamond"/>
          <w:bCs/>
          <w:iCs/>
          <w:sz w:val="20"/>
          <w:szCs w:val="20"/>
        </w:rPr>
        <w:t>.</w:t>
      </w:r>
      <w:r w:rsidRPr="004F6574">
        <w:rPr>
          <w:rFonts w:ascii="Garamond" w:hAnsi="Garamond"/>
          <w:bCs/>
          <w:iCs/>
          <w:sz w:val="20"/>
          <w:szCs w:val="20"/>
          <w:vertAlign w:val="superscript"/>
        </w:rPr>
        <w:t>14</w:t>
      </w:r>
    </w:p>
    <w:p w14:paraId="1DC92D02" w14:textId="7D856A78" w:rsidR="004F6574" w:rsidRPr="004F6574" w:rsidRDefault="004F6574" w:rsidP="004F6574">
      <w:pPr>
        <w:spacing w:line="259" w:lineRule="auto"/>
        <w:jc w:val="both"/>
        <w:rPr>
          <w:rFonts w:ascii="Garamond" w:hAnsi="Garamond"/>
          <w:bCs/>
          <w:iCs/>
          <w:sz w:val="20"/>
          <w:szCs w:val="20"/>
        </w:rPr>
      </w:pPr>
      <w:r w:rsidRPr="004F6574">
        <w:rPr>
          <w:rFonts w:ascii="Garamond" w:hAnsi="Garamond"/>
          <w:bCs/>
          <w:iCs/>
          <w:sz w:val="20"/>
          <w:szCs w:val="20"/>
        </w:rPr>
        <w:t xml:space="preserve">To overcome the limitations of natural AMPs, including proteolytic instability, toxicity, and poor bioavailability, synthetic and peptidomimetic AMPs have been developed </w:t>
      </w:r>
      <w:r w:rsidRPr="004F6574">
        <w:rPr>
          <w:rFonts w:ascii="Garamond" w:hAnsi="Garamond"/>
          <w:bCs/>
          <w:iCs/>
          <w:sz w:val="20"/>
          <w:szCs w:val="20"/>
          <w:vertAlign w:val="superscript"/>
        </w:rPr>
        <w:t>15</w:t>
      </w:r>
      <w:r>
        <w:rPr>
          <w:rFonts w:ascii="Garamond" w:hAnsi="Garamond"/>
          <w:bCs/>
          <w:iCs/>
          <w:sz w:val="20"/>
          <w:szCs w:val="20"/>
        </w:rPr>
        <w:t xml:space="preserve">. </w:t>
      </w:r>
      <w:r w:rsidRPr="004F6574">
        <w:rPr>
          <w:rFonts w:ascii="Garamond" w:hAnsi="Garamond"/>
          <w:bCs/>
          <w:iCs/>
          <w:sz w:val="20"/>
          <w:szCs w:val="20"/>
        </w:rPr>
        <w:t xml:space="preserve">Mimetic peptides replicate the structure or function of natural AMPs and are classified into three types: Type 1, which closely resemble native peptides (e.g., β-peptides and </w:t>
      </w:r>
      <w:proofErr w:type="spellStart"/>
      <w:r w:rsidRPr="004F6574">
        <w:rPr>
          <w:rFonts w:ascii="Garamond" w:hAnsi="Garamond"/>
          <w:bCs/>
          <w:iCs/>
          <w:sz w:val="20"/>
          <w:szCs w:val="20"/>
        </w:rPr>
        <w:t>peptoids</w:t>
      </w:r>
      <w:proofErr w:type="spellEnd"/>
      <w:r w:rsidRPr="004F6574">
        <w:rPr>
          <w:rFonts w:ascii="Garamond" w:hAnsi="Garamond"/>
          <w:bCs/>
          <w:iCs/>
          <w:sz w:val="20"/>
          <w:szCs w:val="20"/>
        </w:rPr>
        <w:t xml:space="preserve">); Type 2, which lack natural backbones but retain partial biological activity; </w:t>
      </w:r>
      <w:r w:rsidRPr="004F6574">
        <w:rPr>
          <w:rFonts w:ascii="Garamond" w:hAnsi="Garamond"/>
          <w:bCs/>
          <w:iCs/>
          <w:sz w:val="20"/>
          <w:szCs w:val="20"/>
        </w:rPr>
        <w:t xml:space="preserve">and Type 3, which are fully synthetic designs optimized for stability and bioavailability </w:t>
      </w:r>
      <w:r w:rsidRPr="004F6574">
        <w:rPr>
          <w:rFonts w:ascii="Garamond" w:hAnsi="Garamond"/>
          <w:bCs/>
          <w:iCs/>
          <w:sz w:val="20"/>
          <w:szCs w:val="20"/>
          <w:vertAlign w:val="superscript"/>
        </w:rPr>
        <w:t>16, 17</w:t>
      </w:r>
      <w:r w:rsidRPr="004F6574">
        <w:rPr>
          <w:rFonts w:ascii="Garamond" w:hAnsi="Garamond"/>
          <w:bCs/>
          <w:iCs/>
          <w:sz w:val="20"/>
          <w:szCs w:val="20"/>
        </w:rPr>
        <w:t xml:space="preserve">. Notable examples include the β-hairpin peptidomimetic </w:t>
      </w:r>
      <w:proofErr w:type="spellStart"/>
      <w:r w:rsidRPr="004F6574">
        <w:rPr>
          <w:rFonts w:ascii="Garamond" w:hAnsi="Garamond"/>
          <w:bCs/>
          <w:iCs/>
          <w:sz w:val="20"/>
          <w:szCs w:val="20"/>
        </w:rPr>
        <w:t>murepavadin</w:t>
      </w:r>
      <w:proofErr w:type="spellEnd"/>
      <w:r w:rsidRPr="004F6574">
        <w:rPr>
          <w:rFonts w:ascii="Garamond" w:hAnsi="Garamond"/>
          <w:bCs/>
          <w:iCs/>
          <w:sz w:val="20"/>
          <w:szCs w:val="20"/>
        </w:rPr>
        <w:t xml:space="preserve">, which targets the outer membrane protein </w:t>
      </w:r>
      <w:proofErr w:type="spellStart"/>
      <w:r w:rsidRPr="004F6574">
        <w:rPr>
          <w:rFonts w:ascii="Garamond" w:hAnsi="Garamond"/>
          <w:bCs/>
          <w:iCs/>
          <w:sz w:val="20"/>
          <w:szCs w:val="20"/>
        </w:rPr>
        <w:t>LptD</w:t>
      </w:r>
      <w:proofErr w:type="spellEnd"/>
      <w:r w:rsidRPr="004F6574">
        <w:rPr>
          <w:rFonts w:ascii="Garamond" w:hAnsi="Garamond"/>
          <w:bCs/>
          <w:iCs/>
          <w:sz w:val="20"/>
          <w:szCs w:val="20"/>
        </w:rPr>
        <w:t xml:space="preserve"> in </w:t>
      </w:r>
      <w:r w:rsidRPr="004F6574">
        <w:rPr>
          <w:rFonts w:ascii="Garamond" w:hAnsi="Garamond"/>
          <w:bCs/>
          <w:i/>
          <w:iCs/>
          <w:sz w:val="20"/>
          <w:szCs w:val="20"/>
        </w:rPr>
        <w:t>Pseudomonas aeruginosa</w:t>
      </w:r>
      <w:r w:rsidRPr="004F6574">
        <w:rPr>
          <w:rFonts w:ascii="Garamond" w:hAnsi="Garamond"/>
          <w:bCs/>
          <w:iCs/>
          <w:sz w:val="20"/>
          <w:szCs w:val="20"/>
        </w:rPr>
        <w:t xml:space="preserve"> </w:t>
      </w:r>
      <w:r w:rsidRPr="004F6574">
        <w:rPr>
          <w:rFonts w:ascii="Garamond" w:hAnsi="Garamond"/>
          <w:bCs/>
          <w:iCs/>
          <w:sz w:val="20"/>
          <w:szCs w:val="20"/>
          <w:vertAlign w:val="superscript"/>
        </w:rPr>
        <w:t>17</w:t>
      </w:r>
      <w:r w:rsidRPr="004F6574">
        <w:rPr>
          <w:rFonts w:ascii="Garamond" w:hAnsi="Garamond"/>
          <w:bCs/>
          <w:iCs/>
          <w:sz w:val="20"/>
          <w:szCs w:val="20"/>
        </w:rPr>
        <w:t xml:space="preserve"> and </w:t>
      </w:r>
      <w:proofErr w:type="spellStart"/>
      <w:r w:rsidRPr="004F6574">
        <w:rPr>
          <w:rFonts w:ascii="Garamond" w:hAnsi="Garamond"/>
          <w:bCs/>
          <w:iCs/>
          <w:sz w:val="20"/>
          <w:szCs w:val="20"/>
        </w:rPr>
        <w:t>brilacidin</w:t>
      </w:r>
      <w:proofErr w:type="spellEnd"/>
      <w:r w:rsidRPr="004F6574">
        <w:rPr>
          <w:rFonts w:ascii="Garamond" w:hAnsi="Garamond"/>
          <w:bCs/>
          <w:iCs/>
          <w:sz w:val="20"/>
          <w:szCs w:val="20"/>
        </w:rPr>
        <w:t xml:space="preserve">, an arylamide foldamer that mimics host-defense peptides and demonstrates membrane-disruptive activity with reduced toxicity in early clinical studies </w:t>
      </w:r>
      <w:r w:rsidRPr="004F6574">
        <w:rPr>
          <w:rFonts w:ascii="Garamond" w:hAnsi="Garamond"/>
          <w:bCs/>
          <w:iCs/>
          <w:sz w:val="20"/>
          <w:szCs w:val="20"/>
          <w:vertAlign w:val="superscript"/>
        </w:rPr>
        <w:t>18</w:t>
      </w:r>
      <w:r w:rsidRPr="004F6574">
        <w:rPr>
          <w:rFonts w:ascii="Garamond" w:hAnsi="Garamond"/>
          <w:bCs/>
          <w:iCs/>
          <w:sz w:val="20"/>
          <w:szCs w:val="20"/>
        </w:rPr>
        <w:t>.  Additional strategies such as backbone and side-chain modification further enhance AMP stability and function (</w:t>
      </w:r>
      <w:hyperlink w:anchor="Figure11" w:tooltip="Figure 1: Understanding the different types of mimetic peptides: how structure and function shape their roles" w:history="1">
        <w:r w:rsidRPr="004F6574">
          <w:rPr>
            <w:rStyle w:val="Hyperlink"/>
            <w:rFonts w:ascii="Garamond" w:hAnsi="Garamond"/>
            <w:bCs/>
            <w:iCs/>
            <w:sz w:val="20"/>
            <w:szCs w:val="20"/>
          </w:rPr>
          <w:t>Figure 1</w:t>
        </w:r>
      </w:hyperlink>
      <w:r w:rsidRPr="004F6574">
        <w:rPr>
          <w:rFonts w:ascii="Garamond" w:hAnsi="Garamond"/>
          <w:bCs/>
          <w:iCs/>
          <w:sz w:val="20"/>
          <w:szCs w:val="20"/>
        </w:rPr>
        <w:t>).</w:t>
      </w:r>
    </w:p>
    <w:p w14:paraId="73905A3E" w14:textId="77777777" w:rsidR="00057CF5" w:rsidRDefault="00057CF5" w:rsidP="007A1526">
      <w:pPr>
        <w:spacing w:line="259" w:lineRule="auto"/>
        <w:jc w:val="both"/>
        <w:rPr>
          <w:rFonts w:ascii="Garamond" w:hAnsi="Garamond"/>
          <w:bCs/>
          <w:iCs/>
          <w:sz w:val="20"/>
          <w:szCs w:val="20"/>
        </w:rPr>
      </w:pPr>
    </w:p>
    <w:p w14:paraId="757399EF" w14:textId="089C90EC" w:rsidR="004F6574" w:rsidRDefault="004F6574" w:rsidP="007A1526">
      <w:pPr>
        <w:spacing w:line="259" w:lineRule="auto"/>
        <w:jc w:val="both"/>
        <w:rPr>
          <w:rFonts w:ascii="Garamond" w:hAnsi="Garamond"/>
          <w:bCs/>
          <w:iCs/>
          <w:sz w:val="20"/>
          <w:szCs w:val="20"/>
        </w:rPr>
      </w:pPr>
      <w:r w:rsidRPr="004F6574">
        <w:rPr>
          <w:rFonts w:ascii="Times New Roman" w:eastAsia="Calibri" w:hAnsi="Times New Roman" w:cs="Times New Roman"/>
          <w:noProof/>
        </w:rPr>
        <mc:AlternateContent>
          <mc:Choice Requires="wpg">
            <w:drawing>
              <wp:anchor distT="0" distB="0" distL="114300" distR="114300" simplePos="0" relativeHeight="251665408" behindDoc="0" locked="0" layoutInCell="1" allowOverlap="1" wp14:anchorId="5B755B76" wp14:editId="0E4A3D9C">
                <wp:simplePos x="0" y="0"/>
                <wp:positionH relativeFrom="page">
                  <wp:posOffset>4174408</wp:posOffset>
                </wp:positionH>
                <wp:positionV relativeFrom="paragraph">
                  <wp:posOffset>64715</wp:posOffset>
                </wp:positionV>
                <wp:extent cx="2829560" cy="2043430"/>
                <wp:effectExtent l="0" t="0" r="27940" b="13970"/>
                <wp:wrapThrough wrapText="bothSides">
                  <wp:wrapPolygon edited="0">
                    <wp:start x="13088" y="0"/>
                    <wp:lineTo x="0" y="1007"/>
                    <wp:lineTo x="0" y="6645"/>
                    <wp:lineTo x="3636" y="9666"/>
                    <wp:lineTo x="3636" y="11075"/>
                    <wp:lineTo x="1890" y="16109"/>
                    <wp:lineTo x="1890" y="21546"/>
                    <wp:lineTo x="10325" y="21546"/>
                    <wp:lineTo x="18032" y="21546"/>
                    <wp:lineTo x="20504" y="20942"/>
                    <wp:lineTo x="20650" y="15505"/>
                    <wp:lineTo x="19196" y="14700"/>
                    <wp:lineTo x="14978" y="12888"/>
                    <wp:lineTo x="15706" y="10672"/>
                    <wp:lineTo x="15560" y="9666"/>
                    <wp:lineTo x="14833" y="6444"/>
                    <wp:lineTo x="21668" y="5638"/>
                    <wp:lineTo x="21668" y="0"/>
                    <wp:lineTo x="13088" y="0"/>
                  </wp:wrapPolygon>
                </wp:wrapThrough>
                <wp:docPr id="1612650927" name="Group 10"/>
                <wp:cNvGraphicFramePr/>
                <a:graphic xmlns:a="http://schemas.openxmlformats.org/drawingml/2006/main">
                  <a:graphicData uri="http://schemas.microsoft.com/office/word/2010/wordprocessingGroup">
                    <wpg:wgp>
                      <wpg:cNvGrpSpPr/>
                      <wpg:grpSpPr>
                        <a:xfrm>
                          <a:off x="0" y="0"/>
                          <a:ext cx="2829560" cy="2043430"/>
                          <a:chOff x="0" y="0"/>
                          <a:chExt cx="5135446" cy="2973039"/>
                        </a:xfrm>
                      </wpg:grpSpPr>
                      <wps:wsp>
                        <wps:cNvPr id="1010801468" name="Oval 1010801468"/>
                        <wps:cNvSpPr/>
                        <wps:spPr>
                          <a:xfrm>
                            <a:off x="892097" y="981307"/>
                            <a:ext cx="2781300" cy="965200"/>
                          </a:xfrm>
                          <a:prstGeom prst="ellipse">
                            <a:avLst/>
                          </a:prstGeom>
                          <a:solidFill>
                            <a:sysClr val="window" lastClr="FFFFFF"/>
                          </a:solidFill>
                          <a:ln w="25400" cap="flat" cmpd="sng" algn="ctr">
                            <a:solidFill>
                              <a:srgbClr val="F79646"/>
                            </a:solidFill>
                            <a:prstDash val="solid"/>
                          </a:ln>
                          <a:effectLst/>
                        </wps:spPr>
                        <wps:txbx>
                          <w:txbxContent>
                            <w:p w14:paraId="2E8F4313" w14:textId="77777777" w:rsidR="004F6574" w:rsidRDefault="004F6574" w:rsidP="004F6574">
                              <w:pPr>
                                <w:jc w:val="center"/>
                              </w:pPr>
                              <w:r>
                                <w:t>Mimetic peptides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6086591" name="Straight Arrow Connector 1586086591"/>
                        <wps:cNvCnPr/>
                        <wps:spPr>
                          <a:xfrm flipH="1" flipV="1">
                            <a:off x="1052861" y="885593"/>
                            <a:ext cx="241300" cy="25400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256973981" name="Rectangle 256973981"/>
                        <wps:cNvSpPr/>
                        <wps:spPr>
                          <a:xfrm>
                            <a:off x="0" y="156117"/>
                            <a:ext cx="1993900" cy="717550"/>
                          </a:xfrm>
                          <a:prstGeom prst="rect">
                            <a:avLst/>
                          </a:prstGeom>
                          <a:solidFill>
                            <a:sysClr val="window" lastClr="FFFFFF"/>
                          </a:solidFill>
                          <a:ln w="25400" cap="flat" cmpd="sng" algn="ctr">
                            <a:solidFill>
                              <a:srgbClr val="F79646"/>
                            </a:solidFill>
                            <a:prstDash val="solid"/>
                          </a:ln>
                          <a:effectLst/>
                        </wps:spPr>
                        <wps:txbx>
                          <w:txbxContent>
                            <w:p w14:paraId="116A1029" w14:textId="77777777" w:rsidR="004F6574" w:rsidRDefault="004F6574" w:rsidP="004F6574">
                              <w:pPr>
                                <w:jc w:val="center"/>
                              </w:pPr>
                              <w:r>
                                <w:t>Type I.</w:t>
                              </w:r>
                            </w:p>
                            <w:p w14:paraId="2CFAA680" w14:textId="77777777" w:rsidR="004F6574" w:rsidRDefault="004F6574" w:rsidP="004F6574">
                              <w:pPr>
                                <w:jc w:val="center"/>
                              </w:pPr>
                              <w:r>
                                <w:t>Structural Mimetic peptides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2140683" name="Straight Arrow Connector 1532140683"/>
                        <wps:cNvCnPr/>
                        <wps:spPr>
                          <a:xfrm flipV="1">
                            <a:off x="3166946" y="762929"/>
                            <a:ext cx="298450" cy="31750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345045056" name="Rectangle 345045056"/>
                        <wps:cNvSpPr/>
                        <wps:spPr>
                          <a:xfrm>
                            <a:off x="3166946" y="0"/>
                            <a:ext cx="1968500" cy="742950"/>
                          </a:xfrm>
                          <a:prstGeom prst="rect">
                            <a:avLst/>
                          </a:prstGeom>
                          <a:solidFill>
                            <a:sysClr val="window" lastClr="FFFFFF"/>
                          </a:solidFill>
                          <a:ln w="25400" cap="flat" cmpd="sng" algn="ctr">
                            <a:solidFill>
                              <a:srgbClr val="F79646"/>
                            </a:solidFill>
                            <a:prstDash val="solid"/>
                          </a:ln>
                          <a:effectLst/>
                        </wps:spPr>
                        <wps:txbx>
                          <w:txbxContent>
                            <w:p w14:paraId="69F18B32" w14:textId="77777777" w:rsidR="004F6574" w:rsidRDefault="004F6574" w:rsidP="004F6574">
                              <w:pPr>
                                <w:jc w:val="center"/>
                              </w:pPr>
                              <w:r>
                                <w:t>Type 2</w:t>
                              </w:r>
                            </w:p>
                            <w:p w14:paraId="7275E862" w14:textId="77777777" w:rsidR="004F6574" w:rsidRDefault="004F6574" w:rsidP="004F6574">
                              <w:pPr>
                                <w:jc w:val="center"/>
                              </w:pPr>
                              <w:r>
                                <w:t>Functional Mimetic peptides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869836" name="Rectangle 139869836"/>
                        <wps:cNvSpPr/>
                        <wps:spPr>
                          <a:xfrm>
                            <a:off x="2754351" y="2107581"/>
                            <a:ext cx="2006600" cy="762000"/>
                          </a:xfrm>
                          <a:prstGeom prst="rect">
                            <a:avLst/>
                          </a:prstGeom>
                          <a:solidFill>
                            <a:sysClr val="window" lastClr="FFFFFF"/>
                          </a:solidFill>
                          <a:ln w="25400" cap="flat" cmpd="sng" algn="ctr">
                            <a:solidFill>
                              <a:srgbClr val="F79646"/>
                            </a:solidFill>
                            <a:prstDash val="solid"/>
                          </a:ln>
                          <a:effectLst/>
                        </wps:spPr>
                        <wps:txbx>
                          <w:txbxContent>
                            <w:p w14:paraId="12A51072" w14:textId="77777777" w:rsidR="004F6574" w:rsidRDefault="004F6574" w:rsidP="004F6574">
                              <w:pPr>
                                <w:jc w:val="center"/>
                              </w:pPr>
                              <w:r>
                                <w:t>Backbone chain modified Mimetic peptides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511933" name="Straight Arrow Connector 227511933"/>
                        <wps:cNvCnPr/>
                        <wps:spPr>
                          <a:xfrm>
                            <a:off x="3222702" y="1851103"/>
                            <a:ext cx="241300" cy="22225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737881671" name="Straight Arrow Connector 737881671"/>
                        <wps:cNvCnPr/>
                        <wps:spPr>
                          <a:xfrm flipH="1">
                            <a:off x="1331641" y="1906859"/>
                            <a:ext cx="247650" cy="30480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1906624540" name="Rectangle 1906624540"/>
                        <wps:cNvSpPr/>
                        <wps:spPr>
                          <a:xfrm>
                            <a:off x="501804" y="2185639"/>
                            <a:ext cx="1873250" cy="787400"/>
                          </a:xfrm>
                          <a:prstGeom prst="rect">
                            <a:avLst/>
                          </a:prstGeom>
                          <a:solidFill>
                            <a:sysClr val="window" lastClr="FFFFFF"/>
                          </a:solidFill>
                          <a:ln w="25400" cap="flat" cmpd="sng" algn="ctr">
                            <a:solidFill>
                              <a:srgbClr val="F79646"/>
                            </a:solidFill>
                            <a:prstDash val="solid"/>
                          </a:ln>
                          <a:effectLst/>
                        </wps:spPr>
                        <wps:txbx>
                          <w:txbxContent>
                            <w:p w14:paraId="52FA3EE7" w14:textId="77777777" w:rsidR="004F6574" w:rsidRDefault="004F6574" w:rsidP="004F6574">
                              <w:pPr>
                                <w:jc w:val="center"/>
                              </w:pPr>
                              <w:r>
                                <w:t>Side chain modified Mimetic peptides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B755B76" id="Group 10" o:spid="_x0000_s1028" style="position:absolute;left:0;text-align:left;margin-left:328.7pt;margin-top:5.1pt;width:222.8pt;height:160.9pt;z-index:251665408;mso-position-horizontal-relative:page;mso-width-relative:margin;mso-height-relative:margin" coordsize="51354,29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">
                <v:oval id="Oval 1010801468" o:spid="_x0000_s1029" style="position:absolute;left:8920;top:9813;width:27813;height:9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" fillcolor="window" strokecolor="#f79646" strokeweight="2pt">
                  <v:textbox>
                    <w:txbxContent>
                      <w:p w14:paraId="2E8F4313" w14:textId="77777777" w:rsidR="004F6574" w:rsidRDefault="004F6574" w:rsidP="004F6574">
                        <w:pPr>
                          <w:jc w:val="center"/>
                        </w:pPr>
                        <w:r>
                          <w:t>Mimetic peptides</w:t>
                        </w:r>
                      </w:p>
                    </w:txbxContent>
                  </v:textbox>
                </v:oval>
                <v:shapetype id="_x0000_t32" coordsize="21600,21600" o:spt="32" o:oned="t" path="m,l21600,21600e" filled="f">
                  <v:path arrowok="t" fillok="f" o:connecttype="none"/>
                  <o:lock v:ext="edit" shapetype="t"/>
                </v:shapetype>
                <v:shape id="Straight Arrow Connector 1586086591" o:spid="_x0000_s1030" type="#_x0000_t32" style="position:absolute;left:10528;top:8855;width:2413;height:25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" strokecolor="#4a7ebb">
                  <v:stroke endarrow="open"/>
                </v:shape>
                <v:rect id="Rectangle 256973981" o:spid="_x0000_s1031" style="position:absolute;top:1561;width:19939;height:7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" fillcolor="window" strokecolor="#f79646" strokeweight="2pt">
                  <v:textbox>
                    <w:txbxContent>
                      <w:p w14:paraId="116A1029" w14:textId="77777777" w:rsidR="004F6574" w:rsidRDefault="004F6574" w:rsidP="004F6574">
                        <w:pPr>
                          <w:jc w:val="center"/>
                        </w:pPr>
                        <w:r>
                          <w:t>Type I.</w:t>
                        </w:r>
                      </w:p>
                      <w:p w14:paraId="2CFAA680" w14:textId="77777777" w:rsidR="004F6574" w:rsidRDefault="004F6574" w:rsidP="004F6574">
                        <w:pPr>
                          <w:jc w:val="center"/>
                        </w:pPr>
                        <w:r>
                          <w:t>Structural Mimetic peptides</w:t>
                        </w:r>
                      </w:p>
                    </w:txbxContent>
                  </v:textbox>
                </v:rect>
                <v:shape id="Straight Arrow Connector 1532140683" o:spid="_x0000_s1032" type="#_x0000_t32" style="position:absolute;left:31669;top:7629;width:2984;height:31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" strokecolor="#4a7ebb">
                  <v:stroke endarrow="open"/>
                </v:shape>
                <v:rect id="Rectangle 345045056" o:spid="_x0000_s1033" style="position:absolute;left:31669;width:19685;height:7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" fillcolor="window" strokecolor="#f79646" strokeweight="2pt">
                  <v:textbox>
                    <w:txbxContent>
                      <w:p w14:paraId="69F18B32" w14:textId="77777777" w:rsidR="004F6574" w:rsidRDefault="004F6574" w:rsidP="004F6574">
                        <w:pPr>
                          <w:jc w:val="center"/>
                        </w:pPr>
                        <w:r>
                          <w:t>Type 2</w:t>
                        </w:r>
                      </w:p>
                      <w:p w14:paraId="7275E862" w14:textId="77777777" w:rsidR="004F6574" w:rsidRDefault="004F6574" w:rsidP="004F6574">
                        <w:pPr>
                          <w:jc w:val="center"/>
                        </w:pPr>
                        <w:r>
                          <w:t>Functional Mimetic peptides</w:t>
                        </w:r>
                      </w:p>
                    </w:txbxContent>
                  </v:textbox>
                </v:rect>
                <v:rect id="Rectangle 139869836" o:spid="_x0000_s1034" style="position:absolute;left:27543;top:21075;width:20066;height:7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" fillcolor="window" strokecolor="#f79646" strokeweight="2pt">
                  <v:textbox>
                    <w:txbxContent>
                      <w:p w14:paraId="12A51072" w14:textId="77777777" w:rsidR="004F6574" w:rsidRDefault="004F6574" w:rsidP="004F6574">
                        <w:pPr>
                          <w:jc w:val="center"/>
                        </w:pPr>
                        <w:r>
                          <w:t>Backbone chain modified Mimetic peptides</w:t>
                        </w:r>
                      </w:p>
                    </w:txbxContent>
                  </v:textbox>
                </v:rect>
                <v:shape id="Straight Arrow Connector 227511933" o:spid="_x0000_s1035" type="#_x0000_t32" style="position:absolute;left:32227;top:18511;width:2413;height:22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" strokecolor="#4a7ebb">
                  <v:stroke endarrow="open"/>
                </v:shape>
                <v:shape id="Straight Arrow Connector 737881671" o:spid="_x0000_s1036" type="#_x0000_t32" style="position:absolute;left:13316;top:19068;width:2476;height:30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" strokecolor="#4a7ebb">
                  <v:stroke endarrow="open"/>
                </v:shape>
                <v:rect id="Rectangle 1906624540" o:spid="_x0000_s1037" style="position:absolute;left:5018;top:21856;width:18732;height:7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" fillcolor="window" strokecolor="#f79646" strokeweight="2pt">
                  <v:textbox>
                    <w:txbxContent>
                      <w:p w14:paraId="52FA3EE7" w14:textId="77777777" w:rsidR="004F6574" w:rsidRDefault="004F6574" w:rsidP="004F6574">
                        <w:pPr>
                          <w:jc w:val="center"/>
                        </w:pPr>
                        <w:r>
                          <w:t>Side chain modified Mimetic peptides</w:t>
                        </w:r>
                      </w:p>
                    </w:txbxContent>
                  </v:textbox>
                </v:rect>
                <w10:wrap type="through" anchorx="page"/>
              </v:group>
            </w:pict>
          </mc:Fallback>
        </mc:AlternateContent>
      </w:r>
    </w:p>
    <w:p w14:paraId="655FBC88" w14:textId="77777777" w:rsidR="004F6574" w:rsidRDefault="004F6574" w:rsidP="007A1526">
      <w:pPr>
        <w:spacing w:line="259" w:lineRule="auto"/>
        <w:jc w:val="both"/>
        <w:rPr>
          <w:rFonts w:ascii="Garamond" w:hAnsi="Garamond"/>
          <w:bCs/>
          <w:iCs/>
          <w:sz w:val="20"/>
          <w:szCs w:val="20"/>
        </w:rPr>
      </w:pPr>
    </w:p>
    <w:p w14:paraId="6E0FB453" w14:textId="00467689" w:rsidR="004F6574" w:rsidRDefault="004F6574" w:rsidP="007A1526">
      <w:pPr>
        <w:spacing w:line="259" w:lineRule="auto"/>
        <w:jc w:val="both"/>
        <w:rPr>
          <w:rFonts w:ascii="Garamond" w:hAnsi="Garamond"/>
          <w:bCs/>
          <w:iCs/>
          <w:sz w:val="20"/>
          <w:szCs w:val="20"/>
        </w:rPr>
      </w:pPr>
    </w:p>
    <w:p w14:paraId="059596D0" w14:textId="02B19561" w:rsidR="004F6574" w:rsidRDefault="004F6574" w:rsidP="007A1526">
      <w:pPr>
        <w:spacing w:line="259" w:lineRule="auto"/>
        <w:jc w:val="both"/>
        <w:rPr>
          <w:rFonts w:ascii="Garamond" w:hAnsi="Garamond"/>
          <w:bCs/>
          <w:iCs/>
          <w:sz w:val="20"/>
          <w:szCs w:val="20"/>
        </w:rPr>
      </w:pPr>
    </w:p>
    <w:p w14:paraId="39D31419" w14:textId="77777777" w:rsidR="004F6574" w:rsidRDefault="004F6574" w:rsidP="007A1526">
      <w:pPr>
        <w:spacing w:line="259" w:lineRule="auto"/>
        <w:jc w:val="both"/>
        <w:rPr>
          <w:rFonts w:ascii="Garamond" w:hAnsi="Garamond"/>
          <w:bCs/>
          <w:iCs/>
          <w:sz w:val="20"/>
          <w:szCs w:val="20"/>
        </w:rPr>
      </w:pPr>
    </w:p>
    <w:p w14:paraId="0E4EE688" w14:textId="77777777" w:rsidR="004F6574" w:rsidRDefault="004F6574" w:rsidP="007A1526">
      <w:pPr>
        <w:spacing w:line="259" w:lineRule="auto"/>
        <w:jc w:val="both"/>
        <w:rPr>
          <w:rFonts w:ascii="Garamond" w:hAnsi="Garamond"/>
          <w:bCs/>
          <w:iCs/>
          <w:sz w:val="20"/>
          <w:szCs w:val="20"/>
        </w:rPr>
      </w:pPr>
    </w:p>
    <w:p w14:paraId="06227644" w14:textId="77777777" w:rsidR="004F6574" w:rsidRDefault="004F6574" w:rsidP="004F6574">
      <w:pPr>
        <w:rPr>
          <w:rFonts w:ascii="Garamond" w:hAnsi="Garamond" w:cs="Times New Roman"/>
          <w:sz w:val="20"/>
          <w:szCs w:val="20"/>
        </w:rPr>
      </w:pPr>
      <w:bookmarkStart w:id="8" w:name="Figure11"/>
      <w:r w:rsidRPr="004F6574">
        <w:rPr>
          <w:rFonts w:ascii="Garamond" w:hAnsi="Garamond" w:cs="Times New Roman"/>
          <w:b/>
          <w:sz w:val="20"/>
          <w:szCs w:val="20"/>
        </w:rPr>
        <w:t>Figure 1:</w:t>
      </w:r>
      <w:r w:rsidRPr="004F6574">
        <w:rPr>
          <w:rFonts w:ascii="Garamond" w:hAnsi="Garamond" w:cs="Times New Roman"/>
          <w:sz w:val="20"/>
          <w:szCs w:val="20"/>
        </w:rPr>
        <w:t xml:space="preserve"> Understanding the different types of mimetic peptides: how structure and function shape their roles</w:t>
      </w:r>
    </w:p>
    <w:p w14:paraId="3021AE8F" w14:textId="77777777" w:rsidR="00FB51C7" w:rsidRDefault="00FB51C7" w:rsidP="004F6574">
      <w:pPr>
        <w:rPr>
          <w:rFonts w:ascii="Garamond" w:hAnsi="Garamond" w:cs="Times New Roman"/>
          <w:sz w:val="20"/>
          <w:szCs w:val="20"/>
        </w:rPr>
      </w:pPr>
    </w:p>
    <w:p w14:paraId="14EB94B8" w14:textId="77777777" w:rsidR="00FB51C7" w:rsidRDefault="00FB51C7" w:rsidP="004F6574">
      <w:pPr>
        <w:rPr>
          <w:rFonts w:ascii="Garamond" w:hAnsi="Garamond" w:cs="Times New Roman"/>
          <w:sz w:val="20"/>
          <w:szCs w:val="20"/>
        </w:rPr>
      </w:pPr>
    </w:p>
    <w:p w14:paraId="160815D3" w14:textId="77777777" w:rsidR="00FB51C7" w:rsidRDefault="00FB51C7" w:rsidP="004F6574">
      <w:pPr>
        <w:rPr>
          <w:rFonts w:ascii="Garamond" w:hAnsi="Garamond" w:cs="Times New Roman"/>
          <w:sz w:val="20"/>
          <w:szCs w:val="20"/>
        </w:rPr>
      </w:pPr>
    </w:p>
    <w:p w14:paraId="33000F17" w14:textId="77777777" w:rsidR="00E97661" w:rsidRDefault="00E97661" w:rsidP="004F6574">
      <w:pPr>
        <w:rPr>
          <w:rFonts w:ascii="Garamond" w:hAnsi="Garamond" w:cs="Times New Roman"/>
          <w:sz w:val="20"/>
          <w:szCs w:val="20"/>
        </w:rPr>
        <w:sectPr w:rsidR="00E97661" w:rsidSect="003D02D5">
          <w:type w:val="continuous"/>
          <w:pgSz w:w="12240" w:h="15840"/>
          <w:pgMar w:top="1440" w:right="1440" w:bottom="1440" w:left="1440" w:header="720" w:footer="720" w:gutter="0"/>
          <w:cols w:num="2" w:space="720"/>
          <w:titlePg/>
          <w:docGrid w:linePitch="360"/>
        </w:sectPr>
      </w:pPr>
    </w:p>
    <w:p w14:paraId="67045822" w14:textId="77777777" w:rsidR="00E97661" w:rsidRPr="00E97661" w:rsidRDefault="00E97661" w:rsidP="00E97661">
      <w:pPr>
        <w:rPr>
          <w:rFonts w:ascii="Garamond" w:hAnsi="Garamond" w:cs="Times New Roman"/>
          <w:sz w:val="20"/>
          <w:szCs w:val="20"/>
        </w:rPr>
      </w:pPr>
      <w:bookmarkStart w:id="9" w:name="Table1"/>
      <w:r w:rsidRPr="00E97661">
        <w:rPr>
          <w:rFonts w:ascii="Garamond" w:hAnsi="Garamond" w:cs="Times New Roman"/>
          <w:b/>
          <w:sz w:val="20"/>
          <w:szCs w:val="20"/>
        </w:rPr>
        <w:lastRenderedPageBreak/>
        <w:t>Table 1:</w:t>
      </w:r>
      <w:r w:rsidRPr="00E97661">
        <w:rPr>
          <w:rFonts w:ascii="Garamond" w:hAnsi="Garamond" w:cs="Times New Roman"/>
          <w:sz w:val="20"/>
          <w:szCs w:val="20"/>
        </w:rPr>
        <w:t xml:space="preserve"> </w:t>
      </w:r>
      <w:bookmarkStart w:id="10" w:name="representative"/>
      <w:r w:rsidRPr="00E97661">
        <w:rPr>
          <w:rFonts w:ascii="Garamond" w:hAnsi="Garamond" w:cs="Times New Roman"/>
          <w:sz w:val="20"/>
          <w:szCs w:val="20"/>
        </w:rPr>
        <w:t>Representative Antimicrobial Peptides, Structures, Sources, and Target Pathogens</w:t>
      </w:r>
      <w:bookmarkEnd w:id="10"/>
      <w:r w:rsidRPr="00E97661">
        <w:rPr>
          <w:rFonts w:ascii="Garamond" w:hAnsi="Garamond" w:cs="Times New Roman"/>
          <w:sz w:val="20"/>
          <w:szCs w:val="20"/>
        </w:rPr>
        <w:t>.</w:t>
      </w:r>
    </w:p>
    <w:bookmarkEnd w:id="9"/>
    <w:p w14:paraId="2CB6101B" w14:textId="77777777" w:rsidR="00E97661" w:rsidRPr="00E97661" w:rsidRDefault="00E97661" w:rsidP="00E97661">
      <w:pPr>
        <w:rPr>
          <w:rFonts w:ascii="Garamond" w:hAnsi="Garamond" w:cs="Times New Roman"/>
          <w:iCs/>
          <w:sz w:val="20"/>
          <w:szCs w:val="20"/>
        </w:rPr>
      </w:pPr>
    </w:p>
    <w:tbl>
      <w:tblPr>
        <w:tblW w:w="9571" w:type="dxa"/>
        <w:tblCellSpacing w:w="15" w:type="dxa"/>
        <w:tblCellMar>
          <w:top w:w="15" w:type="dxa"/>
          <w:left w:w="15" w:type="dxa"/>
          <w:bottom w:w="15" w:type="dxa"/>
          <w:right w:w="15" w:type="dxa"/>
        </w:tblCellMar>
        <w:tblLook w:val="04A0" w:firstRow="1" w:lastRow="0" w:firstColumn="1" w:lastColumn="0" w:noHBand="0" w:noVBand="1"/>
      </w:tblPr>
      <w:tblGrid>
        <w:gridCol w:w="1208"/>
        <w:gridCol w:w="3330"/>
        <w:gridCol w:w="2134"/>
        <w:gridCol w:w="1976"/>
        <w:gridCol w:w="923"/>
      </w:tblGrid>
      <w:tr w:rsidR="00E97661" w:rsidRPr="00E97661" w14:paraId="5657852F" w14:textId="77777777" w:rsidTr="00E97661">
        <w:trPr>
          <w:trHeight w:val="476"/>
          <w:tblHeader/>
          <w:tblCellSpacing w:w="15" w:type="dxa"/>
        </w:trPr>
        <w:tc>
          <w:tcPr>
            <w:tcW w:w="0" w:type="auto"/>
            <w:vAlign w:val="center"/>
            <w:hideMark/>
          </w:tcPr>
          <w:p w14:paraId="5F94AA08"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Peptide Name</w:t>
            </w:r>
          </w:p>
        </w:tc>
        <w:tc>
          <w:tcPr>
            <w:tcW w:w="0" w:type="auto"/>
            <w:vAlign w:val="center"/>
            <w:hideMark/>
          </w:tcPr>
          <w:p w14:paraId="654BE705"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Simplified Structure</w:t>
            </w:r>
          </w:p>
        </w:tc>
        <w:tc>
          <w:tcPr>
            <w:tcW w:w="0" w:type="auto"/>
            <w:vAlign w:val="center"/>
            <w:hideMark/>
          </w:tcPr>
          <w:p w14:paraId="2BEA9D29"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Source</w:t>
            </w:r>
          </w:p>
        </w:tc>
        <w:tc>
          <w:tcPr>
            <w:tcW w:w="0" w:type="auto"/>
            <w:vAlign w:val="center"/>
            <w:hideMark/>
          </w:tcPr>
          <w:p w14:paraId="629BE869"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Target Organisms</w:t>
            </w:r>
          </w:p>
        </w:tc>
        <w:tc>
          <w:tcPr>
            <w:tcW w:w="0" w:type="auto"/>
            <w:vAlign w:val="center"/>
            <w:hideMark/>
          </w:tcPr>
          <w:p w14:paraId="122FFF08"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 xml:space="preserve">Reference </w:t>
            </w:r>
          </w:p>
        </w:tc>
      </w:tr>
      <w:tr w:rsidR="00E97661" w:rsidRPr="00E97661" w14:paraId="70B99410" w14:textId="77777777" w:rsidTr="00E97661">
        <w:trPr>
          <w:trHeight w:val="1468"/>
          <w:tblCellSpacing w:w="15" w:type="dxa"/>
        </w:trPr>
        <w:tc>
          <w:tcPr>
            <w:tcW w:w="0" w:type="auto"/>
            <w:vAlign w:val="center"/>
            <w:hideMark/>
          </w:tcPr>
          <w:p w14:paraId="769D4D83" w14:textId="77777777" w:rsidR="00E97661" w:rsidRPr="00E97661" w:rsidRDefault="00E97661" w:rsidP="00E97661">
            <w:pPr>
              <w:rPr>
                <w:rFonts w:ascii="Garamond" w:hAnsi="Garamond" w:cs="Times New Roman"/>
                <w:sz w:val="20"/>
                <w:szCs w:val="20"/>
              </w:rPr>
            </w:pPr>
            <w:r w:rsidRPr="00E97661">
              <w:rPr>
                <w:rFonts w:ascii="Garamond" w:hAnsi="Garamond" w:cs="Times New Roman"/>
                <w:b/>
                <w:bCs/>
                <w:sz w:val="20"/>
                <w:szCs w:val="20"/>
              </w:rPr>
              <w:t>LL-37</w:t>
            </w:r>
          </w:p>
        </w:tc>
        <w:tc>
          <w:tcPr>
            <w:tcW w:w="0" w:type="auto"/>
            <w:vAlign w:val="center"/>
            <w:hideMark/>
          </w:tcPr>
          <w:p w14:paraId="0BB39AF2" w14:textId="77777777" w:rsidR="00E97661" w:rsidRPr="00E97661" w:rsidRDefault="00E97661" w:rsidP="00E97661">
            <w:pPr>
              <w:rPr>
                <w:rFonts w:ascii="Garamond" w:hAnsi="Garamond" w:cs="Times New Roman"/>
                <w:sz w:val="20"/>
                <w:szCs w:val="20"/>
              </w:rPr>
            </w:pPr>
            <w:r w:rsidRPr="00E97661">
              <w:rPr>
                <w:rFonts w:ascii="Garamond" w:hAnsi="Garamond" w:cs="Times New Roman"/>
                <w:noProof/>
                <w:sz w:val="20"/>
                <w:szCs w:val="20"/>
              </w:rPr>
              <w:drawing>
                <wp:inline distT="0" distB="0" distL="0" distR="0" wp14:anchorId="3B8F8A97" wp14:editId="0CC49701">
                  <wp:extent cx="2066925" cy="876300"/>
                  <wp:effectExtent l="0" t="0" r="9525" b="0"/>
                  <wp:docPr id="509844448" name="Picture 509844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066925" cy="876300"/>
                          </a:xfrm>
                          <a:prstGeom prst="rect">
                            <a:avLst/>
                          </a:prstGeom>
                        </pic:spPr>
                      </pic:pic>
                    </a:graphicData>
                  </a:graphic>
                </wp:inline>
              </w:drawing>
            </w:r>
          </w:p>
        </w:tc>
        <w:tc>
          <w:tcPr>
            <w:tcW w:w="0" w:type="auto"/>
            <w:vAlign w:val="center"/>
            <w:hideMark/>
          </w:tcPr>
          <w:p w14:paraId="044BEF3D"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 xml:space="preserve">It is encoded in humans by an antimicrobial peptide known as </w:t>
            </w:r>
            <w:proofErr w:type="spellStart"/>
            <w:r w:rsidRPr="00E97661">
              <w:rPr>
                <w:rFonts w:ascii="Garamond" w:hAnsi="Garamond" w:cs="Times New Roman"/>
                <w:sz w:val="20"/>
                <w:szCs w:val="20"/>
              </w:rPr>
              <w:t>Cathelicidin</w:t>
            </w:r>
            <w:proofErr w:type="spellEnd"/>
            <w:r w:rsidRPr="00E97661">
              <w:rPr>
                <w:rFonts w:ascii="Garamond" w:hAnsi="Garamond" w:cs="Times New Roman"/>
                <w:sz w:val="20"/>
                <w:szCs w:val="20"/>
              </w:rPr>
              <w:t xml:space="preserve">. </w:t>
            </w:r>
          </w:p>
          <w:p w14:paraId="7025A8E9" w14:textId="77777777" w:rsidR="00E97661" w:rsidRPr="00E97661" w:rsidRDefault="00E97661" w:rsidP="00E97661">
            <w:pPr>
              <w:rPr>
                <w:rFonts w:ascii="Garamond" w:hAnsi="Garamond" w:cs="Times New Roman"/>
                <w:sz w:val="20"/>
                <w:szCs w:val="20"/>
              </w:rPr>
            </w:pPr>
          </w:p>
        </w:tc>
        <w:tc>
          <w:tcPr>
            <w:tcW w:w="0" w:type="auto"/>
            <w:vAlign w:val="center"/>
            <w:hideMark/>
          </w:tcPr>
          <w:p w14:paraId="6FCDE3DC"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It targets bacteria, irrespective of their Gram reaction.</w:t>
            </w:r>
          </w:p>
        </w:tc>
        <w:tc>
          <w:tcPr>
            <w:tcW w:w="0" w:type="auto"/>
            <w:vAlign w:val="center"/>
            <w:hideMark/>
          </w:tcPr>
          <w:p w14:paraId="48AB5A72"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[19]</w:t>
            </w:r>
          </w:p>
        </w:tc>
      </w:tr>
      <w:tr w:rsidR="00E97661" w:rsidRPr="00E97661" w14:paraId="02BB2B27" w14:textId="77777777" w:rsidTr="00E97661">
        <w:trPr>
          <w:trHeight w:val="1561"/>
          <w:tblCellSpacing w:w="15" w:type="dxa"/>
        </w:trPr>
        <w:tc>
          <w:tcPr>
            <w:tcW w:w="0" w:type="auto"/>
            <w:vAlign w:val="center"/>
            <w:hideMark/>
          </w:tcPr>
          <w:p w14:paraId="1A72230D" w14:textId="77777777" w:rsidR="00E97661" w:rsidRPr="00E97661" w:rsidRDefault="00E97661" w:rsidP="00E97661">
            <w:pPr>
              <w:rPr>
                <w:rFonts w:ascii="Garamond" w:hAnsi="Garamond" w:cs="Times New Roman"/>
                <w:sz w:val="20"/>
                <w:szCs w:val="20"/>
              </w:rPr>
            </w:pPr>
            <w:r w:rsidRPr="00E97661">
              <w:rPr>
                <w:rFonts w:ascii="Garamond" w:hAnsi="Garamond" w:cs="Times New Roman"/>
                <w:b/>
                <w:bCs/>
                <w:sz w:val="20"/>
                <w:szCs w:val="20"/>
              </w:rPr>
              <w:t>Magainin 2</w:t>
            </w:r>
          </w:p>
        </w:tc>
        <w:tc>
          <w:tcPr>
            <w:tcW w:w="0" w:type="auto"/>
            <w:vAlign w:val="center"/>
            <w:hideMark/>
          </w:tcPr>
          <w:p w14:paraId="27B7594E" w14:textId="77777777" w:rsidR="00E97661" w:rsidRPr="00E97661" w:rsidRDefault="00E97661" w:rsidP="00E97661">
            <w:pPr>
              <w:rPr>
                <w:rFonts w:ascii="Garamond" w:hAnsi="Garamond" w:cs="Times New Roman"/>
                <w:sz w:val="20"/>
                <w:szCs w:val="20"/>
              </w:rPr>
            </w:pPr>
            <w:r w:rsidRPr="00E97661">
              <w:rPr>
                <w:rFonts w:ascii="Garamond" w:hAnsi="Garamond" w:cs="Times New Roman"/>
                <w:noProof/>
                <w:sz w:val="20"/>
                <w:szCs w:val="20"/>
              </w:rPr>
              <w:drawing>
                <wp:inline distT="0" distB="0" distL="0" distR="0" wp14:anchorId="6CE1B42A" wp14:editId="29C98EF1">
                  <wp:extent cx="2066925" cy="933450"/>
                  <wp:effectExtent l="0" t="0" r="9525" b="0"/>
                  <wp:docPr id="1127817585" name="Picture 1127817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066925" cy="933450"/>
                          </a:xfrm>
                          <a:prstGeom prst="rect">
                            <a:avLst/>
                          </a:prstGeom>
                        </pic:spPr>
                      </pic:pic>
                    </a:graphicData>
                  </a:graphic>
                </wp:inline>
              </w:drawing>
            </w:r>
          </w:p>
        </w:tc>
        <w:tc>
          <w:tcPr>
            <w:tcW w:w="0" w:type="auto"/>
            <w:vAlign w:val="center"/>
            <w:hideMark/>
          </w:tcPr>
          <w:p w14:paraId="3FE9C5ED"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They are naturally produced in the skin of the African clawed frog, and found in the skin’s mucous glands.</w:t>
            </w:r>
          </w:p>
        </w:tc>
        <w:tc>
          <w:tcPr>
            <w:tcW w:w="0" w:type="auto"/>
            <w:vAlign w:val="center"/>
            <w:hideMark/>
          </w:tcPr>
          <w:p w14:paraId="065ADE9B"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They target a wide range of bacteria (Gram-negative and Gram-positive)</w:t>
            </w:r>
          </w:p>
        </w:tc>
        <w:tc>
          <w:tcPr>
            <w:tcW w:w="0" w:type="auto"/>
            <w:vAlign w:val="center"/>
            <w:hideMark/>
          </w:tcPr>
          <w:p w14:paraId="671A9B0D"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[20]</w:t>
            </w:r>
          </w:p>
        </w:tc>
      </w:tr>
      <w:tr w:rsidR="00E97661" w:rsidRPr="00E97661" w14:paraId="7DAE07AE" w14:textId="77777777" w:rsidTr="00E97661">
        <w:trPr>
          <w:trHeight w:val="1441"/>
          <w:tblCellSpacing w:w="15" w:type="dxa"/>
        </w:trPr>
        <w:tc>
          <w:tcPr>
            <w:tcW w:w="0" w:type="auto"/>
            <w:vAlign w:val="center"/>
            <w:hideMark/>
          </w:tcPr>
          <w:p w14:paraId="61731A15" w14:textId="77777777" w:rsidR="00E97661" w:rsidRPr="00E97661" w:rsidRDefault="00E97661" w:rsidP="00E97661">
            <w:pPr>
              <w:rPr>
                <w:rFonts w:ascii="Garamond" w:hAnsi="Garamond" w:cs="Times New Roman"/>
                <w:sz w:val="20"/>
                <w:szCs w:val="20"/>
              </w:rPr>
            </w:pPr>
            <w:proofErr w:type="spellStart"/>
            <w:r w:rsidRPr="00E97661">
              <w:rPr>
                <w:rFonts w:ascii="Garamond" w:hAnsi="Garamond" w:cs="Times New Roman"/>
                <w:b/>
                <w:bCs/>
                <w:sz w:val="20"/>
                <w:szCs w:val="20"/>
              </w:rPr>
              <w:t>TachyplesinI</w:t>
            </w:r>
            <w:proofErr w:type="spellEnd"/>
          </w:p>
        </w:tc>
        <w:tc>
          <w:tcPr>
            <w:tcW w:w="0" w:type="auto"/>
            <w:vAlign w:val="center"/>
            <w:hideMark/>
          </w:tcPr>
          <w:p w14:paraId="17BC8A33" w14:textId="77777777" w:rsidR="00E97661" w:rsidRPr="00E97661" w:rsidRDefault="00E97661" w:rsidP="00E97661">
            <w:pPr>
              <w:rPr>
                <w:rFonts w:ascii="Garamond" w:hAnsi="Garamond" w:cs="Times New Roman"/>
                <w:sz w:val="20"/>
                <w:szCs w:val="20"/>
              </w:rPr>
            </w:pPr>
            <w:r w:rsidRPr="00E97661">
              <w:rPr>
                <w:rFonts w:ascii="Garamond" w:hAnsi="Garamond" w:cs="Times New Roman"/>
                <w:noProof/>
                <w:sz w:val="20"/>
                <w:szCs w:val="20"/>
              </w:rPr>
              <w:drawing>
                <wp:inline distT="0" distB="0" distL="0" distR="0" wp14:anchorId="347D8BBE" wp14:editId="4F66C9D8">
                  <wp:extent cx="1733550" cy="847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733550" cy="847725"/>
                          </a:xfrm>
                          <a:prstGeom prst="rect">
                            <a:avLst/>
                          </a:prstGeom>
                        </pic:spPr>
                      </pic:pic>
                    </a:graphicData>
                  </a:graphic>
                </wp:inline>
              </w:drawing>
            </w:r>
          </w:p>
        </w:tc>
        <w:tc>
          <w:tcPr>
            <w:tcW w:w="0" w:type="auto"/>
            <w:vAlign w:val="center"/>
            <w:hideMark/>
          </w:tcPr>
          <w:p w14:paraId="370E8698"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 xml:space="preserve">The production takes place within the hemocytes of the Horseshoe crab, </w:t>
            </w:r>
          </w:p>
        </w:tc>
        <w:tc>
          <w:tcPr>
            <w:tcW w:w="0" w:type="auto"/>
            <w:vAlign w:val="center"/>
            <w:hideMark/>
          </w:tcPr>
          <w:p w14:paraId="434E344F" w14:textId="77777777" w:rsidR="00E97661" w:rsidRPr="00E97661" w:rsidRDefault="00E97661" w:rsidP="00E97661">
            <w:pPr>
              <w:rPr>
                <w:rFonts w:ascii="Garamond" w:hAnsi="Garamond" w:cs="Times New Roman"/>
                <w:sz w:val="20"/>
                <w:szCs w:val="20"/>
              </w:rPr>
            </w:pPr>
            <w:r w:rsidRPr="00E97661">
              <w:rPr>
                <w:rFonts w:ascii="Garamond" w:hAnsi="Garamond" w:cs="Times New Roman"/>
                <w:iCs/>
                <w:sz w:val="20"/>
                <w:szCs w:val="20"/>
              </w:rPr>
              <w:t xml:space="preserve">It targets specific bacteria and fungi such as </w:t>
            </w:r>
            <w:r w:rsidRPr="00E97661">
              <w:rPr>
                <w:rFonts w:ascii="Garamond" w:hAnsi="Garamond" w:cs="Times New Roman"/>
                <w:i/>
                <w:iCs/>
                <w:sz w:val="20"/>
                <w:szCs w:val="20"/>
              </w:rPr>
              <w:t>Candida albicans, Escherichia coli</w:t>
            </w:r>
            <w:r w:rsidRPr="00E97661">
              <w:rPr>
                <w:rFonts w:ascii="Garamond" w:hAnsi="Garamond" w:cs="Times New Roman"/>
                <w:iCs/>
                <w:sz w:val="20"/>
                <w:szCs w:val="20"/>
              </w:rPr>
              <w:t xml:space="preserve">, and </w:t>
            </w:r>
            <w:r w:rsidRPr="00E97661">
              <w:rPr>
                <w:rFonts w:ascii="Garamond" w:hAnsi="Garamond" w:cs="Times New Roman"/>
                <w:i/>
                <w:iCs/>
                <w:sz w:val="20"/>
                <w:szCs w:val="20"/>
              </w:rPr>
              <w:t>Acinetobacter baumannii.</w:t>
            </w:r>
          </w:p>
        </w:tc>
        <w:tc>
          <w:tcPr>
            <w:tcW w:w="0" w:type="auto"/>
            <w:vAlign w:val="center"/>
            <w:hideMark/>
          </w:tcPr>
          <w:p w14:paraId="2A39924B"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[21]</w:t>
            </w:r>
          </w:p>
        </w:tc>
      </w:tr>
      <w:tr w:rsidR="00E97661" w:rsidRPr="00E97661" w14:paraId="2F4A8667" w14:textId="77777777" w:rsidTr="00E97661">
        <w:trPr>
          <w:trHeight w:val="1494"/>
          <w:tblCellSpacing w:w="15" w:type="dxa"/>
        </w:trPr>
        <w:tc>
          <w:tcPr>
            <w:tcW w:w="0" w:type="auto"/>
            <w:vAlign w:val="center"/>
            <w:hideMark/>
          </w:tcPr>
          <w:p w14:paraId="1869A682" w14:textId="77777777" w:rsidR="00E97661" w:rsidRPr="00E97661" w:rsidRDefault="00E97661" w:rsidP="00E97661">
            <w:pPr>
              <w:rPr>
                <w:rFonts w:ascii="Garamond" w:hAnsi="Garamond" w:cs="Times New Roman"/>
                <w:sz w:val="20"/>
                <w:szCs w:val="20"/>
              </w:rPr>
            </w:pPr>
            <w:r w:rsidRPr="00E97661">
              <w:rPr>
                <w:rFonts w:ascii="Garamond" w:hAnsi="Garamond" w:cs="Times New Roman"/>
                <w:b/>
                <w:bCs/>
                <w:sz w:val="20"/>
                <w:szCs w:val="20"/>
              </w:rPr>
              <w:t>Arenicin-1</w:t>
            </w:r>
          </w:p>
        </w:tc>
        <w:tc>
          <w:tcPr>
            <w:tcW w:w="0" w:type="auto"/>
            <w:vAlign w:val="center"/>
            <w:hideMark/>
          </w:tcPr>
          <w:p w14:paraId="28258C4A" w14:textId="77777777" w:rsidR="00E97661" w:rsidRPr="00E97661" w:rsidRDefault="00E97661" w:rsidP="00E97661">
            <w:pPr>
              <w:rPr>
                <w:rFonts w:ascii="Garamond" w:hAnsi="Garamond" w:cs="Times New Roman"/>
                <w:sz w:val="20"/>
                <w:szCs w:val="20"/>
              </w:rPr>
            </w:pPr>
            <w:r w:rsidRPr="00E97661">
              <w:rPr>
                <w:rFonts w:ascii="Garamond" w:hAnsi="Garamond" w:cs="Times New Roman"/>
                <w:noProof/>
                <w:sz w:val="20"/>
                <w:szCs w:val="20"/>
              </w:rPr>
              <w:drawing>
                <wp:inline distT="0" distB="0" distL="0" distR="0" wp14:anchorId="355A4ACC" wp14:editId="63F43A17">
                  <wp:extent cx="1819275" cy="895350"/>
                  <wp:effectExtent l="0" t="0" r="9525" b="0"/>
                  <wp:docPr id="1768110790" name="Picture 1768110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819275" cy="895350"/>
                          </a:xfrm>
                          <a:prstGeom prst="rect">
                            <a:avLst/>
                          </a:prstGeom>
                        </pic:spPr>
                      </pic:pic>
                    </a:graphicData>
                  </a:graphic>
                </wp:inline>
              </w:drawing>
            </w:r>
          </w:p>
        </w:tc>
        <w:tc>
          <w:tcPr>
            <w:tcW w:w="0" w:type="auto"/>
            <w:vAlign w:val="center"/>
            <w:hideMark/>
          </w:tcPr>
          <w:p w14:paraId="4383BC2A"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 xml:space="preserve">The antimicrobial peptide is produced in the coelomocytes of the </w:t>
            </w:r>
            <w:r w:rsidRPr="00E97661">
              <w:rPr>
                <w:rFonts w:ascii="Garamond" w:hAnsi="Garamond" w:cs="Times New Roman"/>
                <w:i/>
                <w:iCs/>
                <w:sz w:val="20"/>
                <w:szCs w:val="20"/>
              </w:rPr>
              <w:t>Arenicola marina.</w:t>
            </w:r>
          </w:p>
        </w:tc>
        <w:tc>
          <w:tcPr>
            <w:tcW w:w="0" w:type="auto"/>
            <w:vAlign w:val="center"/>
            <w:hideMark/>
          </w:tcPr>
          <w:p w14:paraId="2FD66376" w14:textId="543F8FE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They aim at multi-</w:t>
            </w:r>
            <w:r w:rsidR="00F362EB" w:rsidRPr="00E97661">
              <w:rPr>
                <w:rFonts w:ascii="Garamond" w:hAnsi="Garamond" w:cs="Times New Roman"/>
                <w:sz w:val="20"/>
                <w:szCs w:val="20"/>
              </w:rPr>
              <w:t>drug-resistant</w:t>
            </w:r>
            <w:r w:rsidRPr="00E97661">
              <w:rPr>
                <w:rFonts w:ascii="Garamond" w:hAnsi="Garamond" w:cs="Times New Roman"/>
                <w:sz w:val="20"/>
                <w:szCs w:val="20"/>
              </w:rPr>
              <w:t xml:space="preserve"> microbes, particularly Gram-negative bacteria. </w:t>
            </w:r>
          </w:p>
        </w:tc>
        <w:tc>
          <w:tcPr>
            <w:tcW w:w="0" w:type="auto"/>
            <w:vAlign w:val="center"/>
            <w:hideMark/>
          </w:tcPr>
          <w:p w14:paraId="4EB2754A"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[22]</w:t>
            </w:r>
          </w:p>
        </w:tc>
      </w:tr>
      <w:tr w:rsidR="00E97661" w:rsidRPr="00E97661" w14:paraId="79FA9DF0" w14:textId="77777777" w:rsidTr="00E97661">
        <w:trPr>
          <w:trHeight w:val="952"/>
          <w:tblCellSpacing w:w="15" w:type="dxa"/>
        </w:trPr>
        <w:tc>
          <w:tcPr>
            <w:tcW w:w="0" w:type="auto"/>
            <w:vAlign w:val="center"/>
            <w:hideMark/>
          </w:tcPr>
          <w:p w14:paraId="5912F42F" w14:textId="77777777" w:rsidR="00E97661" w:rsidRPr="00E97661" w:rsidRDefault="00E97661" w:rsidP="00E97661">
            <w:pPr>
              <w:rPr>
                <w:rFonts w:ascii="Garamond" w:hAnsi="Garamond" w:cs="Times New Roman"/>
                <w:sz w:val="20"/>
                <w:szCs w:val="20"/>
              </w:rPr>
            </w:pPr>
            <w:r w:rsidRPr="00E97661">
              <w:rPr>
                <w:rFonts w:ascii="Garamond" w:hAnsi="Garamond" w:cs="Times New Roman"/>
                <w:b/>
                <w:bCs/>
                <w:sz w:val="20"/>
                <w:szCs w:val="20"/>
              </w:rPr>
              <w:t>PGLα</w:t>
            </w:r>
          </w:p>
        </w:tc>
        <w:tc>
          <w:tcPr>
            <w:tcW w:w="0" w:type="auto"/>
            <w:vAlign w:val="center"/>
            <w:hideMark/>
          </w:tcPr>
          <w:p w14:paraId="472E95F3" w14:textId="77777777" w:rsidR="00E97661" w:rsidRPr="00E97661" w:rsidRDefault="00E97661" w:rsidP="00E97661">
            <w:pPr>
              <w:rPr>
                <w:rFonts w:ascii="Garamond" w:hAnsi="Garamond" w:cs="Times New Roman"/>
                <w:sz w:val="20"/>
                <w:szCs w:val="20"/>
              </w:rPr>
            </w:pPr>
            <w:r w:rsidRPr="00E97661">
              <w:rPr>
                <w:rFonts w:ascii="Garamond" w:hAnsi="Garamond" w:cs="Times New Roman"/>
                <w:noProof/>
                <w:sz w:val="20"/>
                <w:szCs w:val="20"/>
              </w:rPr>
              <w:drawing>
                <wp:inline distT="0" distB="0" distL="0" distR="0" wp14:anchorId="2B657739" wp14:editId="6E9B8AA3">
                  <wp:extent cx="1905000" cy="561975"/>
                  <wp:effectExtent l="0" t="0" r="0" b="9525"/>
                  <wp:docPr id="655508923" name="Picture 655508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905000" cy="561975"/>
                          </a:xfrm>
                          <a:prstGeom prst="rect">
                            <a:avLst/>
                          </a:prstGeom>
                        </pic:spPr>
                      </pic:pic>
                    </a:graphicData>
                  </a:graphic>
                </wp:inline>
              </w:drawing>
            </w:r>
          </w:p>
        </w:tc>
        <w:tc>
          <w:tcPr>
            <w:tcW w:w="0" w:type="auto"/>
            <w:vAlign w:val="center"/>
            <w:hideMark/>
          </w:tcPr>
          <w:p w14:paraId="613B742D" w14:textId="77777777" w:rsidR="00E97661" w:rsidRPr="00E97661" w:rsidRDefault="00E97661" w:rsidP="00E97661">
            <w:pPr>
              <w:rPr>
                <w:rFonts w:ascii="Garamond" w:hAnsi="Garamond" w:cs="Times New Roman"/>
                <w:sz w:val="20"/>
                <w:szCs w:val="20"/>
              </w:rPr>
            </w:pPr>
            <w:r w:rsidRPr="00E97661">
              <w:rPr>
                <w:rFonts w:ascii="Garamond" w:hAnsi="Garamond" w:cs="Times New Roman"/>
                <w:iCs/>
                <w:sz w:val="20"/>
                <w:szCs w:val="20"/>
              </w:rPr>
              <w:t xml:space="preserve">It is produced and stored in the granular glands of </w:t>
            </w:r>
            <w:r w:rsidRPr="00E97661">
              <w:rPr>
                <w:rFonts w:ascii="Garamond" w:hAnsi="Garamond" w:cs="Times New Roman"/>
                <w:i/>
                <w:iCs/>
                <w:sz w:val="20"/>
                <w:szCs w:val="20"/>
              </w:rPr>
              <w:t>Xenopus laevis</w:t>
            </w:r>
            <w:r w:rsidRPr="00E97661">
              <w:rPr>
                <w:rFonts w:ascii="Garamond" w:hAnsi="Garamond" w:cs="Times New Roman"/>
                <w:sz w:val="20"/>
                <w:szCs w:val="20"/>
              </w:rPr>
              <w:t xml:space="preserve"> </w:t>
            </w:r>
          </w:p>
        </w:tc>
        <w:tc>
          <w:tcPr>
            <w:tcW w:w="0" w:type="auto"/>
            <w:vAlign w:val="center"/>
            <w:hideMark/>
          </w:tcPr>
          <w:p w14:paraId="40E4C793" w14:textId="77777777" w:rsidR="00E97661" w:rsidRPr="00E97661" w:rsidRDefault="00E97661" w:rsidP="00E97661">
            <w:pPr>
              <w:rPr>
                <w:rFonts w:ascii="Garamond" w:hAnsi="Garamond" w:cs="Times New Roman"/>
                <w:sz w:val="20"/>
                <w:szCs w:val="20"/>
              </w:rPr>
            </w:pPr>
            <w:r w:rsidRPr="00E97661">
              <w:rPr>
                <w:rFonts w:ascii="Garamond" w:hAnsi="Garamond" w:cs="Times New Roman"/>
                <w:iCs/>
                <w:sz w:val="20"/>
                <w:szCs w:val="20"/>
              </w:rPr>
              <w:t xml:space="preserve">The targeted bacteria are </w:t>
            </w:r>
            <w:r w:rsidRPr="00E97661">
              <w:rPr>
                <w:rFonts w:ascii="Garamond" w:hAnsi="Garamond" w:cs="Times New Roman"/>
                <w:i/>
                <w:iCs/>
                <w:sz w:val="20"/>
                <w:szCs w:val="20"/>
              </w:rPr>
              <w:t>P. aeruginosa</w:t>
            </w:r>
            <w:r w:rsidRPr="00E97661">
              <w:rPr>
                <w:rFonts w:ascii="Garamond" w:hAnsi="Garamond" w:cs="Times New Roman"/>
                <w:sz w:val="20"/>
                <w:szCs w:val="20"/>
              </w:rPr>
              <w:t xml:space="preserve">, </w:t>
            </w:r>
            <w:r w:rsidRPr="00E97661">
              <w:rPr>
                <w:rFonts w:ascii="Garamond" w:hAnsi="Garamond" w:cs="Times New Roman"/>
                <w:i/>
                <w:iCs/>
                <w:sz w:val="20"/>
                <w:szCs w:val="20"/>
              </w:rPr>
              <w:t>K. pneumonia</w:t>
            </w:r>
          </w:p>
        </w:tc>
        <w:tc>
          <w:tcPr>
            <w:tcW w:w="0" w:type="auto"/>
            <w:vAlign w:val="center"/>
            <w:hideMark/>
          </w:tcPr>
          <w:p w14:paraId="23C93B74"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[8]</w:t>
            </w:r>
          </w:p>
        </w:tc>
      </w:tr>
    </w:tbl>
    <w:p w14:paraId="7FAA6413" w14:textId="77777777" w:rsidR="00E97661" w:rsidRDefault="00E97661" w:rsidP="00E97661">
      <w:pPr>
        <w:rPr>
          <w:rFonts w:ascii="Garamond" w:hAnsi="Garamond" w:cs="Times New Roman"/>
          <w:b/>
          <w:bCs/>
          <w:sz w:val="20"/>
          <w:szCs w:val="20"/>
        </w:rPr>
      </w:pPr>
    </w:p>
    <w:p w14:paraId="1E8A075C" w14:textId="11D0506F" w:rsidR="00E97661" w:rsidRPr="00E97661" w:rsidRDefault="00E97661" w:rsidP="00E97661">
      <w:pPr>
        <w:rPr>
          <w:rFonts w:ascii="Garamond" w:hAnsi="Garamond" w:cs="Times New Roman"/>
          <w:b/>
          <w:bCs/>
          <w:iCs/>
          <w:sz w:val="20"/>
          <w:szCs w:val="20"/>
        </w:rPr>
      </w:pPr>
      <w:r w:rsidRPr="00E97661">
        <w:rPr>
          <w:rFonts w:ascii="Garamond" w:hAnsi="Garamond" w:cs="Times New Roman"/>
          <w:b/>
          <w:bCs/>
          <w:sz w:val="20"/>
          <w:szCs w:val="20"/>
        </w:rPr>
        <w:t xml:space="preserve">Antimicrobial peptides and Acinetobacter </w:t>
      </w:r>
      <w:r w:rsidRPr="00E97661">
        <w:rPr>
          <w:rFonts w:ascii="Garamond" w:hAnsi="Garamond" w:cs="Times New Roman"/>
          <w:b/>
          <w:bCs/>
          <w:i/>
          <w:iCs/>
          <w:sz w:val="20"/>
          <w:szCs w:val="20"/>
        </w:rPr>
        <w:t>baumannii</w:t>
      </w:r>
    </w:p>
    <w:p w14:paraId="304921F9" w14:textId="2112AE8A" w:rsidR="00E97661" w:rsidRPr="00E97661" w:rsidRDefault="00E97661" w:rsidP="00E97661">
      <w:pPr>
        <w:jc w:val="both"/>
        <w:rPr>
          <w:rFonts w:ascii="Garamond" w:hAnsi="Garamond" w:cs="Times New Roman"/>
          <w:sz w:val="20"/>
          <w:szCs w:val="20"/>
        </w:rPr>
      </w:pPr>
      <w:r w:rsidRPr="00E97661">
        <w:rPr>
          <w:rFonts w:ascii="Garamond" w:hAnsi="Garamond" w:cs="Times New Roman"/>
          <w:sz w:val="20"/>
          <w:szCs w:val="20"/>
        </w:rPr>
        <w:t xml:space="preserve">Antimicrobial peptides (AMPs) inhibit biofilm formation through multiple mechanisms, including membrane disruption, matrix penetration, and quorum-sensing (QS) interference, enabling them to overcome the resilience of biofilm-forming pathogens such as </w:t>
      </w:r>
      <w:r w:rsidRPr="00E97661">
        <w:rPr>
          <w:rFonts w:ascii="Garamond" w:hAnsi="Garamond" w:cs="Times New Roman"/>
          <w:i/>
          <w:iCs/>
          <w:sz w:val="20"/>
          <w:szCs w:val="20"/>
        </w:rPr>
        <w:t>Acinetobacter baumannii</w:t>
      </w:r>
      <w:r w:rsidRPr="00E97661">
        <w:rPr>
          <w:rFonts w:ascii="Garamond" w:hAnsi="Garamond" w:cs="Times New Roman"/>
          <w:sz w:val="20"/>
          <w:szCs w:val="20"/>
        </w:rPr>
        <w:t xml:space="preserve"> and other ESKAPE organisms</w:t>
      </w:r>
      <w:r w:rsidRPr="00E97661">
        <w:rPr>
          <w:rFonts w:ascii="Garamond" w:hAnsi="Garamond" w:cs="Times New Roman"/>
          <w:sz w:val="20"/>
          <w:szCs w:val="20"/>
          <w:vertAlign w:val="superscript"/>
        </w:rPr>
        <w:t>23</w:t>
      </w:r>
    </w:p>
    <w:p w14:paraId="00A9273A" w14:textId="211B732E" w:rsidR="00E97661" w:rsidRPr="00E97661" w:rsidRDefault="00E97661" w:rsidP="00E97661">
      <w:pPr>
        <w:jc w:val="both"/>
        <w:rPr>
          <w:rFonts w:ascii="Garamond" w:hAnsi="Garamond" w:cs="Times New Roman"/>
          <w:sz w:val="20"/>
          <w:szCs w:val="20"/>
        </w:rPr>
      </w:pPr>
      <w:r w:rsidRPr="00E97661">
        <w:rPr>
          <w:rFonts w:ascii="Garamond" w:hAnsi="Garamond" w:cs="Times New Roman"/>
          <w:sz w:val="20"/>
          <w:szCs w:val="20"/>
          <w:vertAlign w:val="superscript"/>
        </w:rPr>
        <w:t>3</w:t>
      </w:r>
      <w:r w:rsidRPr="00E97661">
        <w:rPr>
          <w:rFonts w:ascii="Garamond" w:hAnsi="Garamond" w:cs="Times New Roman"/>
          <w:sz w:val="20"/>
          <w:szCs w:val="20"/>
        </w:rPr>
        <w:t xml:space="preserve"> demonstrated that a modified cecropin-4 peptide (Cec4) effectively reduced biofilm formation in carbapenem-resistant </w:t>
      </w:r>
      <w:r w:rsidRPr="00E97661">
        <w:rPr>
          <w:rFonts w:ascii="Garamond" w:hAnsi="Garamond" w:cs="Times New Roman"/>
          <w:i/>
          <w:iCs/>
          <w:sz w:val="20"/>
          <w:szCs w:val="20"/>
        </w:rPr>
        <w:t>A. baumannii</w:t>
      </w:r>
      <w:r w:rsidRPr="00E97661">
        <w:rPr>
          <w:rFonts w:ascii="Garamond" w:hAnsi="Garamond" w:cs="Times New Roman"/>
          <w:sz w:val="20"/>
          <w:szCs w:val="20"/>
        </w:rPr>
        <w:t xml:space="preserve">, with a minimum inhibitory concentration of 4 </w:t>
      </w:r>
      <w:proofErr w:type="spellStart"/>
      <w:r w:rsidRPr="00E97661">
        <w:rPr>
          <w:rFonts w:ascii="Garamond" w:hAnsi="Garamond" w:cs="Times New Roman"/>
          <w:sz w:val="20"/>
          <w:szCs w:val="20"/>
        </w:rPr>
        <w:t>μg</w:t>
      </w:r>
      <w:proofErr w:type="spellEnd"/>
      <w:r w:rsidRPr="00E97661">
        <w:rPr>
          <w:rFonts w:ascii="Garamond" w:hAnsi="Garamond" w:cs="Times New Roman"/>
          <w:sz w:val="20"/>
          <w:szCs w:val="20"/>
        </w:rPr>
        <w:t xml:space="preserve">/ml. Genetic analyses revealed that the porin-encoding gene </w:t>
      </w:r>
      <w:proofErr w:type="spellStart"/>
      <w:r w:rsidRPr="00E97661">
        <w:rPr>
          <w:rFonts w:ascii="Garamond" w:hAnsi="Garamond" w:cs="Times New Roman"/>
          <w:bCs/>
          <w:sz w:val="20"/>
          <w:szCs w:val="20"/>
        </w:rPr>
        <w:t>OmpH</w:t>
      </w:r>
      <w:proofErr w:type="spellEnd"/>
      <w:r w:rsidRPr="00E97661">
        <w:rPr>
          <w:rFonts w:ascii="Garamond" w:hAnsi="Garamond" w:cs="Times New Roman"/>
          <w:sz w:val="20"/>
          <w:szCs w:val="20"/>
        </w:rPr>
        <w:t xml:space="preserve"> influenced susceptibility to Cec4, as its deletion increased biofilm formation but enhanced peptide sensitivity, indicating that Cec4 compromises bacterial defense by targeting OmpH</w:t>
      </w:r>
      <w:r w:rsidR="00A212F6">
        <w:rPr>
          <w:rFonts w:ascii="Garamond" w:hAnsi="Garamond" w:cs="Times New Roman"/>
          <w:sz w:val="20"/>
          <w:szCs w:val="20"/>
        </w:rPr>
        <w:t>.</w:t>
      </w:r>
      <w:r w:rsidRPr="00E97661">
        <w:rPr>
          <w:rFonts w:ascii="Garamond" w:hAnsi="Garamond" w:cs="Times New Roman"/>
          <w:sz w:val="20"/>
          <w:szCs w:val="20"/>
          <w:vertAlign w:val="superscript"/>
        </w:rPr>
        <w:t>3</w:t>
      </w:r>
    </w:p>
    <w:p w14:paraId="74528068" w14:textId="7E12357A" w:rsidR="00E97661" w:rsidRPr="00E97661" w:rsidRDefault="00E97661" w:rsidP="00E97661">
      <w:pPr>
        <w:jc w:val="both"/>
        <w:rPr>
          <w:rFonts w:ascii="Garamond" w:hAnsi="Garamond" w:cs="Times New Roman"/>
          <w:sz w:val="20"/>
          <w:szCs w:val="20"/>
        </w:rPr>
      </w:pPr>
      <w:r w:rsidRPr="00E97661">
        <w:rPr>
          <w:rFonts w:ascii="Garamond" w:hAnsi="Garamond" w:cs="Times New Roman"/>
          <w:sz w:val="20"/>
          <w:szCs w:val="20"/>
        </w:rPr>
        <w:t>Similarly,</w:t>
      </w:r>
      <w:r w:rsidRPr="00E97661">
        <w:rPr>
          <w:rFonts w:ascii="Garamond" w:hAnsi="Garamond" w:cs="Times New Roman"/>
          <w:sz w:val="20"/>
          <w:szCs w:val="20"/>
          <w:vertAlign w:val="superscript"/>
        </w:rPr>
        <w:t>23</w:t>
      </w:r>
      <w:r w:rsidRPr="00E97661">
        <w:rPr>
          <w:rFonts w:ascii="Garamond" w:hAnsi="Garamond" w:cs="Times New Roman"/>
          <w:sz w:val="20"/>
          <w:szCs w:val="20"/>
        </w:rPr>
        <w:t xml:space="preserve"> reported that random peptide mixtures (RPMs) displayed rapid bactericidal activity against clinical </w:t>
      </w:r>
      <w:r w:rsidRPr="00E97661">
        <w:rPr>
          <w:rFonts w:ascii="Garamond" w:hAnsi="Garamond" w:cs="Times New Roman"/>
          <w:i/>
          <w:iCs/>
          <w:sz w:val="20"/>
          <w:szCs w:val="20"/>
        </w:rPr>
        <w:t>A. baumannii</w:t>
      </w:r>
      <w:r w:rsidRPr="00E97661">
        <w:rPr>
          <w:rFonts w:ascii="Garamond" w:hAnsi="Garamond" w:cs="Times New Roman"/>
          <w:sz w:val="20"/>
          <w:szCs w:val="20"/>
        </w:rPr>
        <w:t xml:space="preserve"> isolates, significantly inhibiting and disrupting biofilms in vitro while reducing bacterial burden and improving survival in murine infection models. The compositional diversity of RPMs may also limit resistance development. In addition,</w:t>
      </w:r>
      <w:r w:rsidRPr="00E97661">
        <w:rPr>
          <w:rFonts w:ascii="Garamond" w:hAnsi="Garamond" w:cs="Times New Roman"/>
          <w:sz w:val="20"/>
          <w:szCs w:val="20"/>
          <w:vertAlign w:val="superscript"/>
        </w:rPr>
        <w:t>24</w:t>
      </w:r>
      <w:r w:rsidRPr="00E97661">
        <w:rPr>
          <w:rFonts w:ascii="Garamond" w:hAnsi="Garamond" w:cs="Times New Roman"/>
          <w:sz w:val="20"/>
          <w:szCs w:val="20"/>
        </w:rPr>
        <w:t xml:space="preserve"> developed a de novo α-helical AMP, S24, which exhibited potent activity against multidrug-resistant </w:t>
      </w:r>
      <w:r w:rsidRPr="00E97661">
        <w:rPr>
          <w:rFonts w:ascii="Garamond" w:hAnsi="Garamond" w:cs="Times New Roman"/>
          <w:i/>
          <w:iCs/>
          <w:sz w:val="20"/>
          <w:szCs w:val="20"/>
        </w:rPr>
        <w:t>A. baumannii</w:t>
      </w:r>
      <w:r w:rsidRPr="00E97661">
        <w:rPr>
          <w:rFonts w:ascii="Garamond" w:hAnsi="Garamond" w:cs="Times New Roman"/>
          <w:sz w:val="20"/>
          <w:szCs w:val="20"/>
        </w:rPr>
        <w:t xml:space="preserve"> by increasing membrane permeability and binding genomic DNA. In vivo wound infection models showed enhanced healing, while S24 maintained high stability, low hemolytic activity, and strong salt tolerance, highlighting its therapeutic potential</w:t>
      </w:r>
      <w:r w:rsidR="00A212F6">
        <w:rPr>
          <w:rFonts w:ascii="Garamond" w:hAnsi="Garamond" w:cs="Times New Roman"/>
          <w:sz w:val="20"/>
          <w:szCs w:val="20"/>
        </w:rPr>
        <w:t>.</w:t>
      </w:r>
      <w:r w:rsidRPr="00E97661">
        <w:rPr>
          <w:rFonts w:ascii="Garamond" w:hAnsi="Garamond" w:cs="Times New Roman"/>
          <w:sz w:val="20"/>
          <w:szCs w:val="20"/>
        </w:rPr>
        <w:t xml:space="preserve"> </w:t>
      </w:r>
      <w:r w:rsidRPr="00E97661">
        <w:rPr>
          <w:rFonts w:ascii="Garamond" w:hAnsi="Garamond" w:cs="Times New Roman"/>
          <w:sz w:val="20"/>
          <w:szCs w:val="20"/>
          <w:vertAlign w:val="superscript"/>
        </w:rPr>
        <w:t>24</w:t>
      </w:r>
    </w:p>
    <w:p w14:paraId="6C66506B" w14:textId="77777777" w:rsidR="00E97661" w:rsidRDefault="00E97661" w:rsidP="00E97661">
      <w:pPr>
        <w:rPr>
          <w:rFonts w:ascii="Garamond" w:hAnsi="Garamond" w:cs="Times New Roman"/>
          <w:b/>
          <w:bCs/>
          <w:sz w:val="20"/>
          <w:szCs w:val="20"/>
        </w:rPr>
      </w:pPr>
    </w:p>
    <w:p w14:paraId="70861B6B" w14:textId="37325FFF" w:rsidR="00E97661" w:rsidRPr="00E97661" w:rsidRDefault="00E97661" w:rsidP="00A212F6">
      <w:pPr>
        <w:rPr>
          <w:rFonts w:ascii="Garamond" w:hAnsi="Garamond" w:cs="Times New Roman"/>
          <w:sz w:val="20"/>
          <w:szCs w:val="20"/>
        </w:rPr>
      </w:pPr>
      <w:r w:rsidRPr="00A212F6">
        <w:rPr>
          <w:rFonts w:ascii="Garamond" w:hAnsi="Garamond" w:cs="Times New Roman"/>
          <w:b/>
          <w:bCs/>
          <w:i/>
          <w:iCs/>
          <w:sz w:val="20"/>
          <w:szCs w:val="20"/>
        </w:rPr>
        <w:lastRenderedPageBreak/>
        <w:t>Antimicrobial peptides and other ESKAPE Pathogens</w:t>
      </w:r>
      <w:r w:rsidR="00A212F6">
        <w:rPr>
          <w:rFonts w:ascii="Garamond" w:hAnsi="Garamond" w:cs="Times New Roman"/>
          <w:b/>
          <w:bCs/>
          <w:sz w:val="20"/>
          <w:szCs w:val="20"/>
        </w:rPr>
        <w:t xml:space="preserve">: </w:t>
      </w:r>
      <w:r w:rsidRPr="00E97661">
        <w:rPr>
          <w:rFonts w:ascii="Garamond" w:hAnsi="Garamond" w:cs="Times New Roman"/>
          <w:sz w:val="20"/>
          <w:szCs w:val="20"/>
        </w:rPr>
        <w:t xml:space="preserve">Antimicrobial peptides (AMPs) exhibit broad-spectrum activity against clinically significant pathogens, including multidrug-resistant organisms prevalent in healthcare settings. </w:t>
      </w:r>
      <w:r w:rsidRPr="00E97661">
        <w:rPr>
          <w:rFonts w:ascii="Garamond" w:hAnsi="Garamond" w:cs="Times New Roman"/>
          <w:sz w:val="20"/>
          <w:szCs w:val="20"/>
          <w:vertAlign w:val="superscript"/>
        </w:rPr>
        <w:t>25</w:t>
      </w:r>
      <w:r w:rsidRPr="00E97661">
        <w:rPr>
          <w:rFonts w:ascii="Garamond" w:hAnsi="Garamond" w:cs="Times New Roman"/>
          <w:sz w:val="20"/>
          <w:szCs w:val="20"/>
        </w:rPr>
        <w:t xml:space="preserve">. reported that the FWK peptide showed potent activity against </w:t>
      </w:r>
      <w:r w:rsidRPr="00E97661">
        <w:rPr>
          <w:rFonts w:ascii="Garamond" w:hAnsi="Garamond" w:cs="Times New Roman"/>
          <w:i/>
          <w:iCs/>
          <w:sz w:val="20"/>
          <w:szCs w:val="20"/>
        </w:rPr>
        <w:t>Klebsiella pneumoniae</w:t>
      </w:r>
      <w:r w:rsidRPr="00E97661">
        <w:rPr>
          <w:rFonts w:ascii="Garamond" w:hAnsi="Garamond" w:cs="Times New Roman"/>
          <w:sz w:val="20"/>
          <w:szCs w:val="20"/>
        </w:rPr>
        <w:t>, causing rapid membrane disruption and bacterial death. The antimicrobial efficacy of FWK was influenced by lipopolysaccharide (LPS) concentration, with higher LPS levels increasing the minimum inhibitory concentration, indicating interactions between the peptide and bacterial outer membrane components</w:t>
      </w:r>
      <w:r w:rsidR="00A212F6">
        <w:rPr>
          <w:rFonts w:ascii="Garamond" w:hAnsi="Garamond" w:cs="Times New Roman"/>
          <w:sz w:val="20"/>
          <w:szCs w:val="20"/>
        </w:rPr>
        <w:t>.</w:t>
      </w:r>
      <w:r w:rsidRPr="00E97661">
        <w:rPr>
          <w:rFonts w:ascii="Garamond" w:hAnsi="Garamond" w:cs="Times New Roman"/>
          <w:sz w:val="20"/>
          <w:szCs w:val="20"/>
          <w:vertAlign w:val="superscript"/>
        </w:rPr>
        <w:t>25</w:t>
      </w:r>
    </w:p>
    <w:p w14:paraId="63D6CC75" w14:textId="26F4673D" w:rsidR="00E97661" w:rsidRPr="00E97661" w:rsidRDefault="00E97661" w:rsidP="00E97661">
      <w:pPr>
        <w:jc w:val="both"/>
        <w:rPr>
          <w:rFonts w:ascii="Garamond" w:hAnsi="Garamond" w:cs="Times New Roman"/>
          <w:sz w:val="20"/>
          <w:szCs w:val="20"/>
        </w:rPr>
      </w:pPr>
      <w:r w:rsidRPr="00E97661">
        <w:rPr>
          <w:rFonts w:ascii="Garamond" w:hAnsi="Garamond" w:cs="Times New Roman"/>
          <w:sz w:val="20"/>
          <w:szCs w:val="20"/>
        </w:rPr>
        <w:t>Similarly,</w:t>
      </w:r>
      <w:r w:rsidRPr="00A212F6">
        <w:rPr>
          <w:rFonts w:ascii="Garamond" w:hAnsi="Garamond" w:cs="Times New Roman"/>
          <w:sz w:val="20"/>
          <w:szCs w:val="20"/>
          <w:vertAlign w:val="superscript"/>
        </w:rPr>
        <w:t>5</w:t>
      </w:r>
      <w:r w:rsidRPr="00E97661">
        <w:rPr>
          <w:rFonts w:ascii="Garamond" w:hAnsi="Garamond" w:cs="Times New Roman"/>
          <w:sz w:val="20"/>
          <w:szCs w:val="20"/>
        </w:rPr>
        <w:t xml:space="preserve"> demonstrated that the hybrid peptide GA-C16G2 effectively inhibited </w:t>
      </w:r>
      <w:r w:rsidRPr="00E97661">
        <w:rPr>
          <w:rFonts w:ascii="Garamond" w:hAnsi="Garamond" w:cs="Times New Roman"/>
          <w:i/>
          <w:iCs/>
          <w:sz w:val="20"/>
          <w:szCs w:val="20"/>
        </w:rPr>
        <w:t>Streptococcus mutans</w:t>
      </w:r>
      <w:r w:rsidRPr="00E97661">
        <w:rPr>
          <w:rFonts w:ascii="Garamond" w:hAnsi="Garamond" w:cs="Times New Roman"/>
          <w:sz w:val="20"/>
          <w:szCs w:val="20"/>
        </w:rPr>
        <w:t xml:space="preserve"> growth and biofilm formation, outperforming its parent peptide C16G2. GA-C16G2 significantly reduced bacterial viability and suppressed biofilm development at bactericidal concentrations, highlighting its potential for controlling biofilm-associated infections</w:t>
      </w:r>
      <w:r w:rsidR="00A212F6">
        <w:rPr>
          <w:rFonts w:ascii="Garamond" w:hAnsi="Garamond" w:cs="Times New Roman"/>
          <w:sz w:val="20"/>
          <w:szCs w:val="20"/>
        </w:rPr>
        <w:t>.</w:t>
      </w:r>
      <w:r w:rsidRPr="00E97661">
        <w:rPr>
          <w:rFonts w:ascii="Garamond" w:hAnsi="Garamond" w:cs="Times New Roman"/>
          <w:sz w:val="20"/>
          <w:szCs w:val="20"/>
          <w:vertAlign w:val="superscript"/>
        </w:rPr>
        <w:t>5</w:t>
      </w:r>
    </w:p>
    <w:p w14:paraId="426E969F" w14:textId="4ECCDD1A" w:rsidR="00E97661" w:rsidRPr="00E97661" w:rsidRDefault="00E97661" w:rsidP="00E97661">
      <w:pPr>
        <w:jc w:val="both"/>
        <w:rPr>
          <w:rFonts w:ascii="Garamond" w:hAnsi="Garamond" w:cs="Times New Roman"/>
          <w:sz w:val="20"/>
          <w:szCs w:val="20"/>
        </w:rPr>
      </w:pPr>
      <w:r w:rsidRPr="00E97661">
        <w:rPr>
          <w:rFonts w:ascii="Garamond" w:hAnsi="Garamond" w:cs="Times New Roman"/>
          <w:sz w:val="20"/>
          <w:szCs w:val="20"/>
        </w:rPr>
        <w:t xml:space="preserve">Several synthetic AMPs have also advanced toward clinical relevance. Pexiganan, a magainin analogue, exhibits strong activity against </w:t>
      </w:r>
      <w:r w:rsidRPr="00E97661">
        <w:rPr>
          <w:rFonts w:ascii="Garamond" w:hAnsi="Garamond" w:cs="Times New Roman"/>
          <w:i/>
          <w:iCs/>
          <w:sz w:val="20"/>
          <w:szCs w:val="20"/>
        </w:rPr>
        <w:t>Staphylococcus aureus</w:t>
      </w:r>
      <w:r w:rsidRPr="00E97661">
        <w:rPr>
          <w:rFonts w:ascii="Garamond" w:hAnsi="Garamond" w:cs="Times New Roman"/>
          <w:sz w:val="20"/>
          <w:szCs w:val="20"/>
        </w:rPr>
        <w:t xml:space="preserve"> and </w:t>
      </w:r>
      <w:r w:rsidRPr="00E97661">
        <w:rPr>
          <w:rFonts w:ascii="Garamond" w:hAnsi="Garamond" w:cs="Times New Roman"/>
          <w:i/>
          <w:iCs/>
          <w:sz w:val="20"/>
          <w:szCs w:val="20"/>
        </w:rPr>
        <w:t>Enterococcus faecalis</w:t>
      </w:r>
      <w:r w:rsidRPr="00E97661">
        <w:rPr>
          <w:rFonts w:ascii="Garamond" w:hAnsi="Garamond" w:cs="Times New Roman"/>
          <w:sz w:val="20"/>
          <w:szCs w:val="20"/>
        </w:rPr>
        <w:t xml:space="preserve">, including resistant strains, while </w:t>
      </w:r>
      <w:proofErr w:type="spellStart"/>
      <w:r w:rsidRPr="00E97661">
        <w:rPr>
          <w:rFonts w:ascii="Garamond" w:hAnsi="Garamond" w:cs="Times New Roman"/>
          <w:sz w:val="20"/>
          <w:szCs w:val="20"/>
        </w:rPr>
        <w:t>Brilacidin</w:t>
      </w:r>
      <w:proofErr w:type="spellEnd"/>
      <w:r w:rsidRPr="00E97661">
        <w:rPr>
          <w:rFonts w:ascii="Garamond" w:hAnsi="Garamond" w:cs="Times New Roman"/>
          <w:sz w:val="20"/>
          <w:szCs w:val="20"/>
        </w:rPr>
        <w:t xml:space="preserve">, a defensin mimetic, demonstrates broad efficacy against </w:t>
      </w:r>
      <w:r w:rsidRPr="00E97661">
        <w:rPr>
          <w:rFonts w:ascii="Garamond" w:hAnsi="Garamond" w:cs="Times New Roman"/>
          <w:i/>
          <w:iCs/>
          <w:sz w:val="20"/>
          <w:szCs w:val="20"/>
        </w:rPr>
        <w:t>S. aureus</w:t>
      </w:r>
      <w:r w:rsidRPr="00E97661">
        <w:rPr>
          <w:rFonts w:ascii="Garamond" w:hAnsi="Garamond" w:cs="Times New Roman"/>
          <w:sz w:val="20"/>
          <w:szCs w:val="20"/>
        </w:rPr>
        <w:t xml:space="preserve">, </w:t>
      </w:r>
      <w:r w:rsidRPr="00E97661">
        <w:rPr>
          <w:rFonts w:ascii="Garamond" w:hAnsi="Garamond" w:cs="Times New Roman"/>
          <w:i/>
          <w:iCs/>
          <w:sz w:val="20"/>
          <w:szCs w:val="20"/>
        </w:rPr>
        <w:t>K. pneumoniae</w:t>
      </w:r>
      <w:r w:rsidRPr="00E97661">
        <w:rPr>
          <w:rFonts w:ascii="Garamond" w:hAnsi="Garamond" w:cs="Times New Roman"/>
          <w:sz w:val="20"/>
          <w:szCs w:val="20"/>
        </w:rPr>
        <w:t xml:space="preserve">, and </w:t>
      </w:r>
      <w:r w:rsidRPr="00E97661">
        <w:rPr>
          <w:rFonts w:ascii="Garamond" w:hAnsi="Garamond" w:cs="Times New Roman"/>
          <w:i/>
          <w:iCs/>
          <w:sz w:val="20"/>
          <w:szCs w:val="20"/>
        </w:rPr>
        <w:t>Acinetobacter baumannii</w:t>
      </w:r>
      <w:r w:rsidRPr="00E97661">
        <w:rPr>
          <w:rFonts w:ascii="Garamond" w:hAnsi="Garamond" w:cs="Times New Roman"/>
          <w:sz w:val="20"/>
          <w:szCs w:val="20"/>
        </w:rPr>
        <w:t>, alongside anti-inflammatory properties</w:t>
      </w:r>
      <w:r w:rsidR="00A212F6">
        <w:rPr>
          <w:rFonts w:ascii="Garamond" w:hAnsi="Garamond" w:cs="Times New Roman"/>
          <w:sz w:val="20"/>
          <w:szCs w:val="20"/>
        </w:rPr>
        <w:t>.</w:t>
      </w:r>
      <w:r w:rsidRPr="00E97661">
        <w:rPr>
          <w:rFonts w:ascii="Garamond" w:hAnsi="Garamond" w:cs="Times New Roman"/>
          <w:sz w:val="20"/>
          <w:szCs w:val="20"/>
          <w:vertAlign w:val="superscript"/>
        </w:rPr>
        <w:t>26</w:t>
      </w:r>
      <w:r w:rsidRPr="00E97661">
        <w:rPr>
          <w:rFonts w:ascii="Garamond" w:hAnsi="Garamond" w:cs="Times New Roman"/>
          <w:sz w:val="20"/>
          <w:szCs w:val="20"/>
        </w:rPr>
        <w:t xml:space="preserve">  </w:t>
      </w:r>
      <w:proofErr w:type="spellStart"/>
      <w:r w:rsidRPr="00E97661">
        <w:rPr>
          <w:rFonts w:ascii="Garamond" w:hAnsi="Garamond" w:cs="Times New Roman"/>
          <w:sz w:val="20"/>
          <w:szCs w:val="20"/>
        </w:rPr>
        <w:t>Omiganan</w:t>
      </w:r>
      <w:proofErr w:type="spellEnd"/>
      <w:r w:rsidRPr="00E97661">
        <w:rPr>
          <w:rFonts w:ascii="Garamond" w:hAnsi="Garamond" w:cs="Times New Roman"/>
          <w:sz w:val="20"/>
          <w:szCs w:val="20"/>
        </w:rPr>
        <w:t xml:space="preserve">, an </w:t>
      </w:r>
      <w:proofErr w:type="spellStart"/>
      <w:r w:rsidRPr="00E97661">
        <w:rPr>
          <w:rFonts w:ascii="Garamond" w:hAnsi="Garamond" w:cs="Times New Roman"/>
          <w:sz w:val="20"/>
          <w:szCs w:val="20"/>
        </w:rPr>
        <w:t>indolicidin</w:t>
      </w:r>
      <w:proofErr w:type="spellEnd"/>
      <w:r w:rsidRPr="00E97661">
        <w:rPr>
          <w:rFonts w:ascii="Garamond" w:hAnsi="Garamond" w:cs="Times New Roman"/>
          <w:sz w:val="20"/>
          <w:szCs w:val="20"/>
        </w:rPr>
        <w:t xml:space="preserve"> analogue, effectively disrupts bacterial membranes with minimal cytotoxicity, making it a promising candidate for treating biofilm-related infections caused by ESKAPE pathogens</w:t>
      </w:r>
      <w:r w:rsidR="00A212F6">
        <w:rPr>
          <w:rFonts w:ascii="Garamond" w:hAnsi="Garamond" w:cs="Times New Roman"/>
          <w:sz w:val="20"/>
          <w:szCs w:val="20"/>
        </w:rPr>
        <w:t>.</w:t>
      </w:r>
      <w:r w:rsidRPr="00E97661">
        <w:rPr>
          <w:rFonts w:ascii="Garamond" w:hAnsi="Garamond" w:cs="Times New Roman"/>
          <w:sz w:val="20"/>
          <w:szCs w:val="20"/>
          <w:vertAlign w:val="superscript"/>
        </w:rPr>
        <w:t>26</w:t>
      </w:r>
      <w:r w:rsidRPr="00E97661">
        <w:rPr>
          <w:rFonts w:ascii="Garamond" w:hAnsi="Garamond" w:cs="Times New Roman"/>
          <w:sz w:val="20"/>
          <w:szCs w:val="20"/>
        </w:rPr>
        <w:t xml:space="preserve"> In addition, several AMPs act synergistically with conventional antibiotics, restoring susceptibility in resistant strains and enhancing therapeutic outcomes</w:t>
      </w:r>
      <w:r w:rsidR="00A212F6">
        <w:rPr>
          <w:rFonts w:ascii="Garamond" w:hAnsi="Garamond" w:cs="Times New Roman"/>
          <w:sz w:val="20"/>
          <w:szCs w:val="20"/>
        </w:rPr>
        <w:t>.</w:t>
      </w:r>
      <w:r w:rsidRPr="00E97661">
        <w:rPr>
          <w:rFonts w:ascii="Garamond" w:hAnsi="Garamond" w:cs="Times New Roman"/>
          <w:sz w:val="20"/>
          <w:szCs w:val="20"/>
          <w:vertAlign w:val="superscript"/>
        </w:rPr>
        <w:t>27</w:t>
      </w:r>
    </w:p>
    <w:p w14:paraId="27951DBE" w14:textId="4DDD35FB" w:rsidR="00E97661" w:rsidRPr="00E97661" w:rsidRDefault="00E97661" w:rsidP="00E97661">
      <w:pPr>
        <w:jc w:val="both"/>
        <w:rPr>
          <w:rFonts w:ascii="Garamond" w:hAnsi="Garamond" w:cs="Times New Roman"/>
          <w:sz w:val="20"/>
          <w:szCs w:val="20"/>
        </w:rPr>
      </w:pPr>
      <w:r w:rsidRPr="00E97661">
        <w:rPr>
          <w:rFonts w:ascii="Garamond" w:hAnsi="Garamond" w:cs="Times New Roman"/>
          <w:sz w:val="20"/>
          <w:szCs w:val="20"/>
        </w:rPr>
        <w:t xml:space="preserve">Beyond direct bactericidal effects, AMPs interfere with key resistance mechanisms, including biofilm formation, quorum sensing, and efflux pump activity. </w:t>
      </w:r>
      <w:proofErr w:type="spellStart"/>
      <w:r w:rsidRPr="00E97661">
        <w:rPr>
          <w:rFonts w:ascii="Garamond" w:hAnsi="Garamond" w:cs="Times New Roman"/>
          <w:sz w:val="20"/>
          <w:szCs w:val="20"/>
        </w:rPr>
        <w:t>Brilacidin</w:t>
      </w:r>
      <w:proofErr w:type="spellEnd"/>
      <w:r w:rsidRPr="00E97661">
        <w:rPr>
          <w:rFonts w:ascii="Garamond" w:hAnsi="Garamond" w:cs="Times New Roman"/>
          <w:sz w:val="20"/>
          <w:szCs w:val="20"/>
        </w:rPr>
        <w:t xml:space="preserve">, for example, inhibits biofilm development in </w:t>
      </w:r>
      <w:r w:rsidRPr="00E97661">
        <w:rPr>
          <w:rFonts w:ascii="Garamond" w:hAnsi="Garamond" w:cs="Times New Roman"/>
          <w:i/>
          <w:iCs/>
          <w:sz w:val="20"/>
          <w:szCs w:val="20"/>
        </w:rPr>
        <w:t>Staphylococcus aureus</w:t>
      </w:r>
      <w:r w:rsidRPr="00E97661">
        <w:rPr>
          <w:rFonts w:ascii="Garamond" w:hAnsi="Garamond" w:cs="Times New Roman"/>
          <w:sz w:val="20"/>
          <w:szCs w:val="20"/>
        </w:rPr>
        <w:t xml:space="preserve"> and </w:t>
      </w:r>
      <w:r w:rsidRPr="00E97661">
        <w:rPr>
          <w:rFonts w:ascii="Garamond" w:hAnsi="Garamond" w:cs="Times New Roman"/>
          <w:i/>
          <w:iCs/>
          <w:sz w:val="20"/>
          <w:szCs w:val="20"/>
        </w:rPr>
        <w:t>Pseudomonas aeruginosa</w:t>
      </w:r>
      <w:r w:rsidRPr="00E97661">
        <w:rPr>
          <w:rFonts w:ascii="Garamond" w:hAnsi="Garamond" w:cs="Times New Roman"/>
          <w:sz w:val="20"/>
          <w:szCs w:val="20"/>
        </w:rPr>
        <w:t>, an important advantage in managing chronic infections</w:t>
      </w:r>
      <w:r w:rsidR="00A212F6">
        <w:rPr>
          <w:rFonts w:ascii="Garamond" w:hAnsi="Garamond" w:cs="Times New Roman"/>
          <w:sz w:val="20"/>
          <w:szCs w:val="20"/>
        </w:rPr>
        <w:t>.</w:t>
      </w:r>
      <w:r w:rsidRPr="00A212F6">
        <w:rPr>
          <w:rFonts w:ascii="Garamond" w:hAnsi="Garamond" w:cs="Times New Roman"/>
          <w:sz w:val="20"/>
          <w:szCs w:val="20"/>
          <w:vertAlign w:val="superscript"/>
        </w:rPr>
        <w:t>26</w:t>
      </w:r>
      <w:r w:rsidRPr="00E97661">
        <w:rPr>
          <w:rFonts w:ascii="Garamond" w:hAnsi="Garamond" w:cs="Times New Roman"/>
          <w:sz w:val="20"/>
          <w:szCs w:val="20"/>
        </w:rPr>
        <w:t xml:space="preserve"> Collectively, the broad antimicrobial and antibiofilm activities of AMPs underscore their clinical potential, with future research focusing on improving stability, reducing host toxicity, and optimizing delivery strategies to enhance therapeutic efficacy.</w:t>
      </w:r>
    </w:p>
    <w:p w14:paraId="1EA2BC8B" w14:textId="77777777" w:rsidR="00E97661" w:rsidRDefault="00E97661" w:rsidP="00E97661">
      <w:pPr>
        <w:jc w:val="both"/>
        <w:rPr>
          <w:rFonts w:ascii="Garamond" w:hAnsi="Garamond" w:cs="Times New Roman"/>
          <w:sz w:val="20"/>
          <w:szCs w:val="20"/>
        </w:rPr>
      </w:pPr>
      <w:r w:rsidRPr="00E97661">
        <w:rPr>
          <w:rFonts w:ascii="Garamond" w:hAnsi="Garamond" w:cs="Times New Roman"/>
          <w:sz w:val="20"/>
          <w:szCs w:val="20"/>
        </w:rPr>
        <w:t xml:space="preserve">A comparative summary of clinically relevant AMPs including </w:t>
      </w:r>
      <w:proofErr w:type="spellStart"/>
      <w:r w:rsidRPr="00E97661">
        <w:rPr>
          <w:rFonts w:ascii="Garamond" w:hAnsi="Garamond" w:cs="Times New Roman"/>
          <w:sz w:val="20"/>
          <w:szCs w:val="20"/>
        </w:rPr>
        <w:t>Omiganan</w:t>
      </w:r>
      <w:proofErr w:type="spellEnd"/>
      <w:r w:rsidRPr="00E97661">
        <w:rPr>
          <w:rFonts w:ascii="Garamond" w:hAnsi="Garamond" w:cs="Times New Roman"/>
          <w:sz w:val="20"/>
          <w:szCs w:val="20"/>
        </w:rPr>
        <w:t xml:space="preserve">, Pexiganan, </w:t>
      </w:r>
      <w:proofErr w:type="spellStart"/>
      <w:r w:rsidRPr="00E97661">
        <w:rPr>
          <w:rFonts w:ascii="Garamond" w:hAnsi="Garamond" w:cs="Times New Roman"/>
          <w:sz w:val="20"/>
          <w:szCs w:val="20"/>
        </w:rPr>
        <w:t>Brilacidin</w:t>
      </w:r>
      <w:proofErr w:type="spellEnd"/>
      <w:r w:rsidRPr="00E97661">
        <w:rPr>
          <w:rFonts w:ascii="Garamond" w:hAnsi="Garamond" w:cs="Times New Roman"/>
          <w:sz w:val="20"/>
          <w:szCs w:val="20"/>
        </w:rPr>
        <w:t xml:space="preserve">, LL-37, and Arenicin-3 is provided in </w:t>
      </w:r>
      <w:hyperlink w:anchor="Table2" w:tooltip="Table 2: The mechanism of actions of selected AMPs against ESKAPE Pathogens" w:history="1">
        <w:r w:rsidRPr="00E97661">
          <w:rPr>
            <w:rStyle w:val="Hyperlink"/>
            <w:rFonts w:ascii="Garamond" w:hAnsi="Garamond" w:cs="Times New Roman"/>
            <w:sz w:val="20"/>
            <w:szCs w:val="20"/>
          </w:rPr>
          <w:t>Table 2</w:t>
        </w:r>
      </w:hyperlink>
      <w:r w:rsidRPr="00E97661">
        <w:rPr>
          <w:rFonts w:ascii="Garamond" w:hAnsi="Garamond" w:cs="Times New Roman"/>
          <w:sz w:val="20"/>
          <w:szCs w:val="20"/>
        </w:rPr>
        <w:t>.</w:t>
      </w:r>
    </w:p>
    <w:p w14:paraId="4F51EB8E" w14:textId="77777777" w:rsidR="00E97661" w:rsidRPr="00E97661" w:rsidRDefault="00E97661" w:rsidP="00E97661">
      <w:pPr>
        <w:jc w:val="both"/>
        <w:rPr>
          <w:rFonts w:ascii="Garamond" w:hAnsi="Garamond" w:cs="Times New Roman"/>
          <w:sz w:val="20"/>
          <w:szCs w:val="20"/>
        </w:rPr>
      </w:pPr>
    </w:p>
    <w:p w14:paraId="6427F503" w14:textId="77777777" w:rsidR="00E97661" w:rsidRPr="00E97661" w:rsidRDefault="00E97661" w:rsidP="00E97661">
      <w:pPr>
        <w:rPr>
          <w:rFonts w:ascii="Garamond" w:hAnsi="Garamond" w:cs="Times New Roman"/>
          <w:sz w:val="20"/>
          <w:szCs w:val="20"/>
        </w:rPr>
      </w:pPr>
      <w:bookmarkStart w:id="11" w:name="Table2"/>
      <w:r w:rsidRPr="00E97661">
        <w:rPr>
          <w:rFonts w:ascii="Garamond" w:hAnsi="Garamond" w:cs="Times New Roman"/>
          <w:b/>
          <w:sz w:val="20"/>
          <w:szCs w:val="20"/>
        </w:rPr>
        <w:t>Table 2:</w:t>
      </w:r>
      <w:r w:rsidRPr="00E97661">
        <w:rPr>
          <w:rFonts w:ascii="Garamond" w:hAnsi="Garamond" w:cs="Times New Roman"/>
          <w:sz w:val="20"/>
          <w:szCs w:val="20"/>
        </w:rPr>
        <w:t xml:space="preserve"> The mechanism of actions of selected AMPs against ESKAPE Pathogens</w:t>
      </w:r>
    </w:p>
    <w:tbl>
      <w:tblPr>
        <w:tblStyle w:val="TableGrid"/>
        <w:tblW w:w="948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4"/>
        <w:gridCol w:w="1500"/>
        <w:gridCol w:w="1829"/>
        <w:gridCol w:w="1709"/>
        <w:gridCol w:w="2069"/>
        <w:gridCol w:w="1115"/>
      </w:tblGrid>
      <w:tr w:rsidR="00E97661" w:rsidRPr="00E97661" w14:paraId="70EDCD70" w14:textId="77777777" w:rsidTr="00A212F6">
        <w:trPr>
          <w:jc w:val="center"/>
        </w:trPr>
        <w:tc>
          <w:tcPr>
            <w:tcW w:w="1264" w:type="dxa"/>
            <w:tcBorders>
              <w:top w:val="single" w:sz="4" w:space="0" w:color="auto"/>
              <w:bottom w:val="single" w:sz="4" w:space="0" w:color="auto"/>
            </w:tcBorders>
            <w:hideMark/>
          </w:tcPr>
          <w:bookmarkEnd w:id="11"/>
          <w:p w14:paraId="6BEF7018"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AMP</w:t>
            </w:r>
          </w:p>
        </w:tc>
        <w:tc>
          <w:tcPr>
            <w:tcW w:w="1500" w:type="dxa"/>
            <w:tcBorders>
              <w:top w:val="single" w:sz="4" w:space="0" w:color="auto"/>
              <w:bottom w:val="single" w:sz="4" w:space="0" w:color="auto"/>
            </w:tcBorders>
            <w:hideMark/>
          </w:tcPr>
          <w:p w14:paraId="5BAC3A29"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Structural Class</w:t>
            </w:r>
          </w:p>
        </w:tc>
        <w:tc>
          <w:tcPr>
            <w:tcW w:w="1829" w:type="dxa"/>
            <w:tcBorders>
              <w:top w:val="single" w:sz="4" w:space="0" w:color="auto"/>
              <w:bottom w:val="single" w:sz="4" w:space="0" w:color="auto"/>
            </w:tcBorders>
            <w:hideMark/>
          </w:tcPr>
          <w:p w14:paraId="79401108"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Mechanism of Action</w:t>
            </w:r>
          </w:p>
        </w:tc>
        <w:tc>
          <w:tcPr>
            <w:tcW w:w="1709" w:type="dxa"/>
            <w:tcBorders>
              <w:top w:val="single" w:sz="4" w:space="0" w:color="auto"/>
              <w:bottom w:val="single" w:sz="4" w:space="0" w:color="auto"/>
            </w:tcBorders>
            <w:hideMark/>
          </w:tcPr>
          <w:p w14:paraId="29DA4D74"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ESKAPE Pathogens Targeted</w:t>
            </w:r>
          </w:p>
        </w:tc>
        <w:tc>
          <w:tcPr>
            <w:tcW w:w="2069" w:type="dxa"/>
            <w:tcBorders>
              <w:top w:val="single" w:sz="4" w:space="0" w:color="auto"/>
              <w:bottom w:val="single" w:sz="4" w:space="0" w:color="auto"/>
            </w:tcBorders>
            <w:hideMark/>
          </w:tcPr>
          <w:p w14:paraId="36DA2432"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Notable Activity / Comments</w:t>
            </w:r>
          </w:p>
        </w:tc>
        <w:tc>
          <w:tcPr>
            <w:tcW w:w="1115" w:type="dxa"/>
            <w:tcBorders>
              <w:top w:val="single" w:sz="4" w:space="0" w:color="auto"/>
              <w:bottom w:val="single" w:sz="4" w:space="0" w:color="auto"/>
            </w:tcBorders>
            <w:hideMark/>
          </w:tcPr>
          <w:p w14:paraId="69AB6FD2" w14:textId="77777777" w:rsidR="00E97661" w:rsidRPr="00E97661" w:rsidRDefault="00E97661" w:rsidP="00E97661">
            <w:pPr>
              <w:rPr>
                <w:rFonts w:ascii="Garamond" w:hAnsi="Garamond" w:cs="Times New Roman"/>
                <w:b/>
                <w:bCs/>
                <w:sz w:val="20"/>
                <w:szCs w:val="20"/>
              </w:rPr>
            </w:pPr>
            <w:r w:rsidRPr="00E97661">
              <w:rPr>
                <w:rFonts w:ascii="Garamond" w:hAnsi="Garamond" w:cs="Times New Roman"/>
                <w:b/>
                <w:bCs/>
                <w:sz w:val="20"/>
                <w:szCs w:val="20"/>
              </w:rPr>
              <w:t>Reference</w:t>
            </w:r>
          </w:p>
        </w:tc>
      </w:tr>
      <w:tr w:rsidR="00E97661" w:rsidRPr="00E97661" w14:paraId="1276281D" w14:textId="77777777" w:rsidTr="00A212F6">
        <w:trPr>
          <w:jc w:val="center"/>
        </w:trPr>
        <w:tc>
          <w:tcPr>
            <w:tcW w:w="1264" w:type="dxa"/>
            <w:tcBorders>
              <w:top w:val="single" w:sz="4" w:space="0" w:color="auto"/>
            </w:tcBorders>
            <w:hideMark/>
          </w:tcPr>
          <w:p w14:paraId="6DEF2F15" w14:textId="77777777" w:rsidR="00E97661" w:rsidRPr="00E97661" w:rsidRDefault="00E97661" w:rsidP="00E97661">
            <w:pPr>
              <w:rPr>
                <w:rFonts w:ascii="Garamond" w:hAnsi="Garamond" w:cs="Times New Roman"/>
                <w:sz w:val="20"/>
                <w:szCs w:val="20"/>
              </w:rPr>
            </w:pPr>
            <w:proofErr w:type="spellStart"/>
            <w:r w:rsidRPr="00E97661">
              <w:rPr>
                <w:rFonts w:ascii="Garamond" w:hAnsi="Garamond" w:cs="Times New Roman"/>
                <w:b/>
                <w:bCs/>
                <w:sz w:val="20"/>
                <w:szCs w:val="20"/>
              </w:rPr>
              <w:t>Omiganan</w:t>
            </w:r>
            <w:proofErr w:type="spellEnd"/>
          </w:p>
        </w:tc>
        <w:tc>
          <w:tcPr>
            <w:tcW w:w="1500" w:type="dxa"/>
            <w:tcBorders>
              <w:top w:val="single" w:sz="4" w:space="0" w:color="auto"/>
            </w:tcBorders>
            <w:hideMark/>
          </w:tcPr>
          <w:p w14:paraId="0BEE19F7"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Tryptophan-rich, linear cationic peptide (12 aa)</w:t>
            </w:r>
          </w:p>
        </w:tc>
        <w:tc>
          <w:tcPr>
            <w:tcW w:w="1829" w:type="dxa"/>
            <w:tcBorders>
              <w:top w:val="single" w:sz="4" w:space="0" w:color="auto"/>
            </w:tcBorders>
            <w:hideMark/>
          </w:tcPr>
          <w:p w14:paraId="4866CA68"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Membrane disruption via intercalation and depolarization</w:t>
            </w:r>
          </w:p>
        </w:tc>
        <w:tc>
          <w:tcPr>
            <w:tcW w:w="1709" w:type="dxa"/>
            <w:tcBorders>
              <w:top w:val="single" w:sz="4" w:space="0" w:color="auto"/>
            </w:tcBorders>
            <w:hideMark/>
          </w:tcPr>
          <w:p w14:paraId="2A6FE208" w14:textId="77777777" w:rsidR="00E97661" w:rsidRPr="00E97661" w:rsidRDefault="00E97661" w:rsidP="00E97661">
            <w:pPr>
              <w:rPr>
                <w:rFonts w:ascii="Garamond" w:hAnsi="Garamond" w:cs="Times New Roman"/>
                <w:sz w:val="20"/>
                <w:szCs w:val="20"/>
              </w:rPr>
            </w:pPr>
            <w:r w:rsidRPr="00E97661">
              <w:rPr>
                <w:rFonts w:ascii="Garamond" w:hAnsi="Garamond" w:cs="Times New Roman"/>
                <w:i/>
                <w:iCs/>
                <w:sz w:val="20"/>
                <w:szCs w:val="20"/>
              </w:rPr>
              <w:t>Staphylococcus aureus, Pseudomonas aeruginosa, Enterobacter cloacae</w:t>
            </w:r>
          </w:p>
        </w:tc>
        <w:tc>
          <w:tcPr>
            <w:tcW w:w="2069" w:type="dxa"/>
            <w:tcBorders>
              <w:top w:val="single" w:sz="4" w:space="0" w:color="auto"/>
            </w:tcBorders>
            <w:hideMark/>
          </w:tcPr>
          <w:p w14:paraId="213F161D"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High membrane selectivity; shown to reduce bacterial load in catheter infections and rosacea models.</w:t>
            </w:r>
          </w:p>
        </w:tc>
        <w:tc>
          <w:tcPr>
            <w:tcW w:w="1115" w:type="dxa"/>
            <w:tcBorders>
              <w:top w:val="single" w:sz="4" w:space="0" w:color="auto"/>
            </w:tcBorders>
            <w:hideMark/>
          </w:tcPr>
          <w:p w14:paraId="0C401BC6"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[28]</w:t>
            </w:r>
          </w:p>
        </w:tc>
      </w:tr>
      <w:tr w:rsidR="00E97661" w:rsidRPr="00E97661" w14:paraId="10CF5679" w14:textId="77777777" w:rsidTr="00A212F6">
        <w:trPr>
          <w:jc w:val="center"/>
        </w:trPr>
        <w:tc>
          <w:tcPr>
            <w:tcW w:w="1264" w:type="dxa"/>
            <w:hideMark/>
          </w:tcPr>
          <w:p w14:paraId="59EDA851" w14:textId="77777777" w:rsidR="00E97661" w:rsidRPr="00E97661" w:rsidRDefault="00E97661" w:rsidP="00E97661">
            <w:pPr>
              <w:rPr>
                <w:rFonts w:ascii="Garamond" w:hAnsi="Garamond" w:cs="Times New Roman"/>
                <w:sz w:val="20"/>
                <w:szCs w:val="20"/>
              </w:rPr>
            </w:pPr>
            <w:r w:rsidRPr="00E97661">
              <w:rPr>
                <w:rFonts w:ascii="Garamond" w:hAnsi="Garamond" w:cs="Times New Roman"/>
                <w:b/>
                <w:bCs/>
                <w:sz w:val="20"/>
                <w:szCs w:val="20"/>
              </w:rPr>
              <w:t>Pexiganan</w:t>
            </w:r>
          </w:p>
        </w:tc>
        <w:tc>
          <w:tcPr>
            <w:tcW w:w="1500" w:type="dxa"/>
            <w:hideMark/>
          </w:tcPr>
          <w:p w14:paraId="0D5F05B8"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Amphipathic α-helical peptide (22 aa; magainin analogue)</w:t>
            </w:r>
          </w:p>
        </w:tc>
        <w:tc>
          <w:tcPr>
            <w:tcW w:w="1829" w:type="dxa"/>
            <w:hideMark/>
          </w:tcPr>
          <w:p w14:paraId="116B129A"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Pore formation in lipid bilayers; membrane destabilization</w:t>
            </w:r>
          </w:p>
        </w:tc>
        <w:tc>
          <w:tcPr>
            <w:tcW w:w="1709" w:type="dxa"/>
            <w:hideMark/>
          </w:tcPr>
          <w:p w14:paraId="53B55E9C" w14:textId="77777777" w:rsidR="00E97661" w:rsidRPr="00E97661" w:rsidRDefault="00E97661" w:rsidP="00E97661">
            <w:pPr>
              <w:rPr>
                <w:rFonts w:ascii="Garamond" w:hAnsi="Garamond" w:cs="Times New Roman"/>
                <w:sz w:val="20"/>
                <w:szCs w:val="20"/>
              </w:rPr>
            </w:pPr>
            <w:r w:rsidRPr="00E97661">
              <w:rPr>
                <w:rFonts w:ascii="Garamond" w:hAnsi="Garamond" w:cs="Times New Roman"/>
                <w:i/>
                <w:iCs/>
                <w:sz w:val="20"/>
                <w:szCs w:val="20"/>
              </w:rPr>
              <w:t>S. aureus, Enterococcus faecium, Klebsiella pneumoniae, P. aeruginosa</w:t>
            </w:r>
          </w:p>
        </w:tc>
        <w:tc>
          <w:tcPr>
            <w:tcW w:w="2069" w:type="dxa"/>
            <w:hideMark/>
          </w:tcPr>
          <w:p w14:paraId="6FFB5724"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Active against MDR strains; reformulated for topical diabetic ulcer treatment.</w:t>
            </w:r>
          </w:p>
        </w:tc>
        <w:tc>
          <w:tcPr>
            <w:tcW w:w="1115" w:type="dxa"/>
            <w:hideMark/>
          </w:tcPr>
          <w:p w14:paraId="184B036E"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[29]</w:t>
            </w:r>
          </w:p>
        </w:tc>
      </w:tr>
      <w:tr w:rsidR="00E97661" w:rsidRPr="00E97661" w14:paraId="22B539B6" w14:textId="77777777" w:rsidTr="00A212F6">
        <w:trPr>
          <w:trHeight w:val="998"/>
          <w:jc w:val="center"/>
        </w:trPr>
        <w:tc>
          <w:tcPr>
            <w:tcW w:w="1264" w:type="dxa"/>
            <w:hideMark/>
          </w:tcPr>
          <w:p w14:paraId="7D352CAE" w14:textId="77777777" w:rsidR="00E97661" w:rsidRPr="00E97661" w:rsidRDefault="00E97661" w:rsidP="00E97661">
            <w:pPr>
              <w:rPr>
                <w:rFonts w:ascii="Garamond" w:hAnsi="Garamond" w:cs="Times New Roman"/>
                <w:sz w:val="20"/>
                <w:szCs w:val="20"/>
              </w:rPr>
            </w:pPr>
            <w:proofErr w:type="spellStart"/>
            <w:r w:rsidRPr="00E97661">
              <w:rPr>
                <w:rFonts w:ascii="Garamond" w:hAnsi="Garamond" w:cs="Times New Roman"/>
                <w:b/>
                <w:bCs/>
                <w:sz w:val="20"/>
                <w:szCs w:val="20"/>
              </w:rPr>
              <w:t>Brilacidin</w:t>
            </w:r>
            <w:proofErr w:type="spellEnd"/>
          </w:p>
        </w:tc>
        <w:tc>
          <w:tcPr>
            <w:tcW w:w="1500" w:type="dxa"/>
            <w:hideMark/>
          </w:tcPr>
          <w:p w14:paraId="7C000F69"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β-sheet mimetic, non-</w:t>
            </w:r>
            <w:proofErr w:type="spellStart"/>
            <w:r w:rsidRPr="00E97661">
              <w:rPr>
                <w:rFonts w:ascii="Garamond" w:hAnsi="Garamond" w:cs="Times New Roman"/>
                <w:sz w:val="20"/>
                <w:szCs w:val="20"/>
              </w:rPr>
              <w:t>peptidic</w:t>
            </w:r>
            <w:proofErr w:type="spellEnd"/>
            <w:r w:rsidRPr="00E97661">
              <w:rPr>
                <w:rFonts w:ascii="Garamond" w:hAnsi="Garamond" w:cs="Times New Roman"/>
                <w:sz w:val="20"/>
                <w:szCs w:val="20"/>
              </w:rPr>
              <w:t xml:space="preserve"> foldamer (defensin-like)</w:t>
            </w:r>
          </w:p>
        </w:tc>
        <w:tc>
          <w:tcPr>
            <w:tcW w:w="1829" w:type="dxa"/>
            <w:hideMark/>
          </w:tcPr>
          <w:p w14:paraId="295C2742"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 xml:space="preserve">Membrane </w:t>
            </w:r>
            <w:proofErr w:type="spellStart"/>
            <w:r w:rsidRPr="00E97661">
              <w:rPr>
                <w:rFonts w:ascii="Garamond" w:hAnsi="Garamond" w:cs="Times New Roman"/>
                <w:sz w:val="20"/>
                <w:szCs w:val="20"/>
              </w:rPr>
              <w:t>depolarisation</w:t>
            </w:r>
            <w:proofErr w:type="spellEnd"/>
            <w:r w:rsidRPr="00E97661">
              <w:rPr>
                <w:rFonts w:ascii="Garamond" w:hAnsi="Garamond" w:cs="Times New Roman"/>
                <w:sz w:val="20"/>
                <w:szCs w:val="20"/>
              </w:rPr>
              <w:t xml:space="preserve"> and ROS induction</w:t>
            </w:r>
          </w:p>
        </w:tc>
        <w:tc>
          <w:tcPr>
            <w:tcW w:w="1709" w:type="dxa"/>
            <w:hideMark/>
          </w:tcPr>
          <w:p w14:paraId="4F5AC90C" w14:textId="77777777" w:rsidR="00E97661" w:rsidRPr="00E97661" w:rsidRDefault="00E97661" w:rsidP="00E97661">
            <w:pPr>
              <w:rPr>
                <w:rFonts w:ascii="Garamond" w:hAnsi="Garamond" w:cs="Times New Roman"/>
                <w:sz w:val="20"/>
                <w:szCs w:val="20"/>
              </w:rPr>
            </w:pPr>
            <w:r w:rsidRPr="00E97661">
              <w:rPr>
                <w:rFonts w:ascii="Garamond" w:hAnsi="Garamond" w:cs="Times New Roman"/>
                <w:i/>
                <w:iCs/>
                <w:sz w:val="20"/>
                <w:szCs w:val="20"/>
              </w:rPr>
              <w:t>S. aureus, Acinetobacter baumannii, Klebsiella pneumoniae, P. aeruginosa</w:t>
            </w:r>
          </w:p>
        </w:tc>
        <w:tc>
          <w:tcPr>
            <w:tcW w:w="2069" w:type="dxa"/>
            <w:hideMark/>
          </w:tcPr>
          <w:p w14:paraId="68DFA26E"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Potent Gram-positive coverage; biofilm inhibition; additional anti-inflammatory properties.</w:t>
            </w:r>
          </w:p>
        </w:tc>
        <w:tc>
          <w:tcPr>
            <w:tcW w:w="1115" w:type="dxa"/>
            <w:hideMark/>
          </w:tcPr>
          <w:p w14:paraId="66674454"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[5]</w:t>
            </w:r>
          </w:p>
        </w:tc>
      </w:tr>
      <w:tr w:rsidR="00E97661" w:rsidRPr="00E97661" w14:paraId="58E8AF5E" w14:textId="77777777" w:rsidTr="00A212F6">
        <w:trPr>
          <w:jc w:val="center"/>
        </w:trPr>
        <w:tc>
          <w:tcPr>
            <w:tcW w:w="1264" w:type="dxa"/>
            <w:hideMark/>
          </w:tcPr>
          <w:p w14:paraId="1D73C3E0" w14:textId="77777777" w:rsidR="00E97661" w:rsidRPr="00E97661" w:rsidRDefault="00E97661" w:rsidP="00E97661">
            <w:pPr>
              <w:rPr>
                <w:rFonts w:ascii="Garamond" w:hAnsi="Garamond" w:cs="Times New Roman"/>
                <w:sz w:val="20"/>
                <w:szCs w:val="20"/>
              </w:rPr>
            </w:pPr>
            <w:r w:rsidRPr="00E97661">
              <w:rPr>
                <w:rFonts w:ascii="Garamond" w:hAnsi="Garamond" w:cs="Times New Roman"/>
                <w:b/>
                <w:bCs/>
                <w:sz w:val="20"/>
                <w:szCs w:val="20"/>
              </w:rPr>
              <w:t>LL-37</w:t>
            </w:r>
          </w:p>
          <w:p w14:paraId="7D2E2A29" w14:textId="77777777" w:rsidR="00E97661" w:rsidRPr="00E97661" w:rsidRDefault="00E97661" w:rsidP="00E97661">
            <w:pPr>
              <w:rPr>
                <w:rFonts w:ascii="Garamond" w:hAnsi="Garamond" w:cs="Times New Roman"/>
                <w:sz w:val="20"/>
                <w:szCs w:val="20"/>
              </w:rPr>
            </w:pPr>
          </w:p>
        </w:tc>
        <w:tc>
          <w:tcPr>
            <w:tcW w:w="1500" w:type="dxa"/>
            <w:hideMark/>
          </w:tcPr>
          <w:p w14:paraId="6F14532A"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 xml:space="preserve">Human </w:t>
            </w:r>
            <w:proofErr w:type="spellStart"/>
            <w:r w:rsidRPr="00E97661">
              <w:rPr>
                <w:rFonts w:ascii="Garamond" w:hAnsi="Garamond" w:cs="Times New Roman"/>
                <w:sz w:val="20"/>
                <w:szCs w:val="20"/>
              </w:rPr>
              <w:t>cathelicidin</w:t>
            </w:r>
            <w:proofErr w:type="spellEnd"/>
            <w:r w:rsidRPr="00E97661">
              <w:rPr>
                <w:rFonts w:ascii="Garamond" w:hAnsi="Garamond" w:cs="Times New Roman"/>
                <w:sz w:val="20"/>
                <w:szCs w:val="20"/>
              </w:rPr>
              <w:t>; α-helical</w:t>
            </w:r>
          </w:p>
        </w:tc>
        <w:tc>
          <w:tcPr>
            <w:tcW w:w="1829" w:type="dxa"/>
            <w:hideMark/>
          </w:tcPr>
          <w:p w14:paraId="79C75E3A"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Membrane lysis, immune modulation, and LPS neutralization</w:t>
            </w:r>
          </w:p>
        </w:tc>
        <w:tc>
          <w:tcPr>
            <w:tcW w:w="1709" w:type="dxa"/>
            <w:hideMark/>
          </w:tcPr>
          <w:p w14:paraId="7076CD88" w14:textId="77777777" w:rsidR="00E97661" w:rsidRPr="00E97661" w:rsidRDefault="00E97661" w:rsidP="00E97661">
            <w:pPr>
              <w:rPr>
                <w:rFonts w:ascii="Garamond" w:hAnsi="Garamond" w:cs="Times New Roman"/>
                <w:sz w:val="20"/>
                <w:szCs w:val="20"/>
              </w:rPr>
            </w:pPr>
            <w:r w:rsidRPr="00E97661">
              <w:rPr>
                <w:rFonts w:ascii="Garamond" w:hAnsi="Garamond" w:cs="Times New Roman"/>
                <w:i/>
                <w:iCs/>
                <w:sz w:val="20"/>
                <w:szCs w:val="20"/>
              </w:rPr>
              <w:t>S. aureus, K. pneumoniae, P. aeruginosa</w:t>
            </w:r>
          </w:p>
        </w:tc>
        <w:tc>
          <w:tcPr>
            <w:tcW w:w="2069" w:type="dxa"/>
            <w:hideMark/>
          </w:tcPr>
          <w:p w14:paraId="18B7BAFE"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Dual role: antimicrobial and immunoregulatory; enhances phagocytosis and wound healing.</w:t>
            </w:r>
          </w:p>
        </w:tc>
        <w:tc>
          <w:tcPr>
            <w:tcW w:w="1115" w:type="dxa"/>
            <w:hideMark/>
          </w:tcPr>
          <w:p w14:paraId="5B8D5AFE"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[13]</w:t>
            </w:r>
          </w:p>
        </w:tc>
      </w:tr>
      <w:tr w:rsidR="00E97661" w:rsidRPr="00E97661" w14:paraId="08B036C4" w14:textId="77777777" w:rsidTr="00A212F6">
        <w:trPr>
          <w:jc w:val="center"/>
        </w:trPr>
        <w:tc>
          <w:tcPr>
            <w:tcW w:w="1264" w:type="dxa"/>
            <w:tcBorders>
              <w:bottom w:val="single" w:sz="4" w:space="0" w:color="auto"/>
            </w:tcBorders>
            <w:hideMark/>
          </w:tcPr>
          <w:p w14:paraId="719C94F8" w14:textId="77777777" w:rsidR="00E97661" w:rsidRPr="00E97661" w:rsidRDefault="00E97661" w:rsidP="00E97661">
            <w:pPr>
              <w:rPr>
                <w:rFonts w:ascii="Garamond" w:hAnsi="Garamond" w:cs="Times New Roman"/>
                <w:sz w:val="20"/>
                <w:szCs w:val="20"/>
              </w:rPr>
            </w:pPr>
            <w:r w:rsidRPr="00E97661">
              <w:rPr>
                <w:rFonts w:ascii="Garamond" w:hAnsi="Garamond" w:cs="Times New Roman"/>
                <w:b/>
                <w:bCs/>
                <w:sz w:val="20"/>
                <w:szCs w:val="20"/>
              </w:rPr>
              <w:t>Arenicin-3</w:t>
            </w:r>
          </w:p>
        </w:tc>
        <w:tc>
          <w:tcPr>
            <w:tcW w:w="1500" w:type="dxa"/>
            <w:tcBorders>
              <w:bottom w:val="single" w:sz="4" w:space="0" w:color="auto"/>
            </w:tcBorders>
            <w:hideMark/>
          </w:tcPr>
          <w:p w14:paraId="1F0BD68C"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 xml:space="preserve">β-hairpin cyclic AMP (isolated from marine </w:t>
            </w:r>
            <w:proofErr w:type="spellStart"/>
            <w:r w:rsidRPr="00E97661">
              <w:rPr>
                <w:rFonts w:ascii="Garamond" w:hAnsi="Garamond" w:cs="Times New Roman"/>
                <w:sz w:val="20"/>
                <w:szCs w:val="20"/>
              </w:rPr>
              <w:t>polychaete</w:t>
            </w:r>
            <w:proofErr w:type="spellEnd"/>
            <w:r w:rsidRPr="00E97661">
              <w:rPr>
                <w:rFonts w:ascii="Garamond" w:hAnsi="Garamond" w:cs="Times New Roman"/>
                <w:sz w:val="20"/>
                <w:szCs w:val="20"/>
              </w:rPr>
              <w:t>)</w:t>
            </w:r>
          </w:p>
        </w:tc>
        <w:tc>
          <w:tcPr>
            <w:tcW w:w="1829" w:type="dxa"/>
            <w:tcBorders>
              <w:bottom w:val="single" w:sz="4" w:space="0" w:color="auto"/>
            </w:tcBorders>
            <w:hideMark/>
          </w:tcPr>
          <w:p w14:paraId="2432746E"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Ion channel formation, rapid bacterial membrane permeabilization</w:t>
            </w:r>
          </w:p>
        </w:tc>
        <w:tc>
          <w:tcPr>
            <w:tcW w:w="1709" w:type="dxa"/>
            <w:tcBorders>
              <w:bottom w:val="single" w:sz="4" w:space="0" w:color="auto"/>
            </w:tcBorders>
            <w:hideMark/>
          </w:tcPr>
          <w:p w14:paraId="3EA962F2" w14:textId="77777777" w:rsidR="00E97661" w:rsidRPr="00E97661" w:rsidRDefault="00E97661" w:rsidP="00E97661">
            <w:pPr>
              <w:rPr>
                <w:rFonts w:ascii="Garamond" w:hAnsi="Garamond" w:cs="Times New Roman"/>
                <w:sz w:val="20"/>
                <w:szCs w:val="20"/>
              </w:rPr>
            </w:pPr>
            <w:r w:rsidRPr="00E97661">
              <w:rPr>
                <w:rFonts w:ascii="Garamond" w:hAnsi="Garamond" w:cs="Times New Roman"/>
                <w:i/>
                <w:iCs/>
                <w:sz w:val="20"/>
                <w:szCs w:val="20"/>
              </w:rPr>
              <w:t>S. aureus, E. faecium, K. pneumoniae, P. aeruginosa</w:t>
            </w:r>
          </w:p>
        </w:tc>
        <w:tc>
          <w:tcPr>
            <w:tcW w:w="2069" w:type="dxa"/>
            <w:tcBorders>
              <w:bottom w:val="single" w:sz="4" w:space="0" w:color="auto"/>
            </w:tcBorders>
            <w:hideMark/>
          </w:tcPr>
          <w:p w14:paraId="0345C698"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Synthetic analogs under development; high salt tolerance and protease stability.</w:t>
            </w:r>
          </w:p>
        </w:tc>
        <w:tc>
          <w:tcPr>
            <w:tcW w:w="1115" w:type="dxa"/>
            <w:tcBorders>
              <w:bottom w:val="single" w:sz="4" w:space="0" w:color="auto"/>
            </w:tcBorders>
            <w:hideMark/>
          </w:tcPr>
          <w:p w14:paraId="26E05F2E" w14:textId="77777777" w:rsidR="00E97661" w:rsidRPr="00E97661" w:rsidRDefault="00E97661" w:rsidP="00E97661">
            <w:pPr>
              <w:rPr>
                <w:rFonts w:ascii="Garamond" w:hAnsi="Garamond" w:cs="Times New Roman"/>
                <w:sz w:val="20"/>
                <w:szCs w:val="20"/>
              </w:rPr>
            </w:pPr>
            <w:r w:rsidRPr="00E97661">
              <w:rPr>
                <w:rFonts w:ascii="Garamond" w:hAnsi="Garamond" w:cs="Times New Roman"/>
                <w:sz w:val="20"/>
                <w:szCs w:val="20"/>
              </w:rPr>
              <w:t>[13]</w:t>
            </w:r>
          </w:p>
        </w:tc>
      </w:tr>
    </w:tbl>
    <w:p w14:paraId="60533D2E" w14:textId="77777777" w:rsidR="00785E9E" w:rsidRDefault="00785E9E" w:rsidP="004F6574">
      <w:pPr>
        <w:rPr>
          <w:rFonts w:ascii="Garamond" w:hAnsi="Garamond" w:cs="Times New Roman"/>
          <w:sz w:val="20"/>
          <w:szCs w:val="20"/>
        </w:rPr>
        <w:sectPr w:rsidR="00785E9E" w:rsidSect="00E97661">
          <w:pgSz w:w="12240" w:h="15840"/>
          <w:pgMar w:top="1440" w:right="1440" w:bottom="1440" w:left="1440" w:header="720" w:footer="720" w:gutter="0"/>
          <w:cols w:space="720"/>
          <w:titlePg/>
          <w:docGrid w:linePitch="360"/>
        </w:sectPr>
      </w:pPr>
    </w:p>
    <w:p w14:paraId="1EA5A8AD" w14:textId="77777777" w:rsidR="00785E9E" w:rsidRPr="00A212F6" w:rsidRDefault="00785E9E" w:rsidP="00785E9E">
      <w:pPr>
        <w:jc w:val="both"/>
        <w:rPr>
          <w:rFonts w:ascii="Garamond" w:hAnsi="Garamond" w:cs="Times New Roman"/>
          <w:b/>
          <w:bCs/>
          <w:i/>
          <w:iCs/>
          <w:sz w:val="20"/>
          <w:szCs w:val="20"/>
        </w:rPr>
      </w:pPr>
      <w:r w:rsidRPr="00A212F6">
        <w:rPr>
          <w:rFonts w:ascii="Garamond" w:hAnsi="Garamond" w:cs="Times New Roman"/>
          <w:b/>
          <w:bCs/>
          <w:i/>
          <w:iCs/>
          <w:sz w:val="20"/>
          <w:szCs w:val="20"/>
        </w:rPr>
        <w:lastRenderedPageBreak/>
        <w:t xml:space="preserve">Different processes of AMP attack on ESKAPE pathogens </w:t>
      </w:r>
    </w:p>
    <w:p w14:paraId="3ABF7BCC" w14:textId="6D890EFB" w:rsidR="00785E9E" w:rsidRPr="00A212F6" w:rsidRDefault="00785E9E" w:rsidP="00785E9E">
      <w:pPr>
        <w:jc w:val="both"/>
        <w:rPr>
          <w:rFonts w:ascii="Garamond" w:hAnsi="Garamond" w:cs="Times New Roman"/>
          <w:sz w:val="20"/>
          <w:szCs w:val="20"/>
        </w:rPr>
      </w:pPr>
      <w:r w:rsidRPr="00A212F6">
        <w:rPr>
          <w:rFonts w:ascii="Garamond" w:hAnsi="Garamond" w:cs="Times New Roman"/>
          <w:i/>
          <w:iCs/>
          <w:sz w:val="20"/>
          <w:szCs w:val="20"/>
        </w:rPr>
        <w:t>Microbial membrane disruption</w:t>
      </w:r>
      <w:r w:rsidR="00A212F6" w:rsidRPr="00A212F6">
        <w:rPr>
          <w:rFonts w:ascii="Garamond" w:hAnsi="Garamond" w:cs="Times New Roman"/>
          <w:i/>
          <w:iCs/>
          <w:sz w:val="20"/>
          <w:szCs w:val="20"/>
        </w:rPr>
        <w:t xml:space="preserve">: </w:t>
      </w:r>
      <w:r w:rsidRPr="00785E9E">
        <w:rPr>
          <w:rFonts w:ascii="Garamond" w:hAnsi="Garamond" w:cs="Times New Roman"/>
          <w:iCs/>
          <w:sz w:val="20"/>
          <w:szCs w:val="20"/>
        </w:rPr>
        <w:t>Antimicrobial peptides are known to disrupt the bacterial cell membranes, enhancing the absorption and efficacy of antibiotics</w:t>
      </w:r>
      <w:r w:rsidRPr="00785E9E">
        <w:rPr>
          <w:rFonts w:ascii="Garamond" w:hAnsi="Garamond" w:cs="Times New Roman"/>
          <w:i/>
          <w:iCs/>
          <w:sz w:val="20"/>
          <w:szCs w:val="20"/>
        </w:rPr>
        <w:t xml:space="preserve">. </w:t>
      </w:r>
      <w:r w:rsidRPr="00785E9E">
        <w:rPr>
          <w:rFonts w:ascii="Garamond" w:hAnsi="Garamond" w:cs="Times New Roman"/>
          <w:sz w:val="20"/>
          <w:szCs w:val="20"/>
        </w:rPr>
        <w:t>The peptides exhibit a positive charge, which enables them to bind tightly to electronegative bacterial membranes. After the attachment, they embed themselves in the cell's lipid membrane, either creating tiny holes or making the membrane thinner, which eventually causes the cell to break apart and die.</w:t>
      </w:r>
      <w:r w:rsidRPr="00AC1900">
        <w:rPr>
          <w:rFonts w:ascii="Garamond" w:hAnsi="Garamond" w:cs="Times New Roman"/>
          <w:sz w:val="20"/>
          <w:szCs w:val="20"/>
          <w:vertAlign w:val="superscript"/>
        </w:rPr>
        <w:t>30</w:t>
      </w:r>
      <w:r w:rsidRPr="00785E9E">
        <w:rPr>
          <w:rFonts w:ascii="Garamond" w:hAnsi="Garamond" w:cs="Times New Roman"/>
          <w:sz w:val="20"/>
          <w:szCs w:val="20"/>
        </w:rPr>
        <w:t xml:space="preserve"> in these processes, the target is not inside the cells, making it difficult for bacteria to develop resistance as usual. </w:t>
      </w:r>
      <w:r w:rsidRPr="00785E9E">
        <w:rPr>
          <w:rFonts w:ascii="Garamond" w:hAnsi="Garamond" w:cs="Times New Roman"/>
          <w:i/>
          <w:iCs/>
          <w:sz w:val="20"/>
          <w:szCs w:val="20"/>
        </w:rPr>
        <w:t xml:space="preserve"> </w:t>
      </w:r>
      <w:r w:rsidRPr="00785E9E">
        <w:rPr>
          <w:rFonts w:ascii="Garamond" w:hAnsi="Garamond" w:cs="Times New Roman"/>
          <w:iCs/>
          <w:sz w:val="20"/>
          <w:szCs w:val="20"/>
        </w:rPr>
        <w:t>Peptide 1018 renders bacterial cells' membranes more porous, allowing easy access of antibiotics to bacterial</w:t>
      </w:r>
      <w:r w:rsidRPr="00785E9E">
        <w:rPr>
          <w:rFonts w:ascii="Garamond" w:hAnsi="Garamond" w:cs="Times New Roman"/>
          <w:sz w:val="20"/>
          <w:szCs w:val="20"/>
        </w:rPr>
        <w:t xml:space="preserve"> cells, which makes them more effective</w:t>
      </w:r>
      <w:r w:rsidR="00AC1900">
        <w:rPr>
          <w:rFonts w:ascii="Garamond" w:hAnsi="Garamond" w:cs="Times New Roman"/>
          <w:sz w:val="20"/>
          <w:szCs w:val="20"/>
        </w:rPr>
        <w:t>.</w:t>
      </w:r>
      <w:r w:rsidRPr="00AC1900">
        <w:rPr>
          <w:rFonts w:ascii="Garamond" w:hAnsi="Garamond" w:cs="Times New Roman"/>
          <w:sz w:val="20"/>
          <w:szCs w:val="20"/>
          <w:vertAlign w:val="superscript"/>
        </w:rPr>
        <w:t>31</w:t>
      </w:r>
      <w:r w:rsidRPr="00785E9E">
        <w:rPr>
          <w:rFonts w:ascii="Garamond" w:hAnsi="Garamond" w:cs="Times New Roman"/>
          <w:i/>
          <w:sz w:val="20"/>
          <w:szCs w:val="20"/>
        </w:rPr>
        <w:t xml:space="preserve"> </w:t>
      </w:r>
      <w:r w:rsidRPr="00785E9E">
        <w:rPr>
          <w:rFonts w:ascii="Garamond" w:hAnsi="Garamond" w:cs="Times New Roman"/>
          <w:sz w:val="20"/>
          <w:szCs w:val="20"/>
        </w:rPr>
        <w:t>Several harmful bacteria form biofilms, shielding them from antibiotics. Peptide 1018 can break down the protective biofilm, exposing the bacteria to treatment by weakening them and working alongside antibiotics. Peptide 1018 helps prevent bacteria from developing resistance</w:t>
      </w:r>
      <w:r w:rsidR="00AC1900">
        <w:rPr>
          <w:rFonts w:ascii="Garamond" w:hAnsi="Garamond" w:cs="Times New Roman"/>
          <w:i/>
          <w:iCs/>
          <w:sz w:val="20"/>
          <w:szCs w:val="20"/>
        </w:rPr>
        <w:t>.</w:t>
      </w:r>
      <w:r w:rsidRPr="00AC1900">
        <w:rPr>
          <w:rFonts w:ascii="Garamond" w:hAnsi="Garamond" w:cs="Times New Roman"/>
          <w:sz w:val="20"/>
          <w:szCs w:val="20"/>
          <w:vertAlign w:val="superscript"/>
        </w:rPr>
        <w:t>31</w:t>
      </w:r>
      <w:r w:rsidRPr="00785E9E">
        <w:rPr>
          <w:rFonts w:ascii="Garamond" w:hAnsi="Garamond" w:cs="Times New Roman"/>
          <w:i/>
          <w:iCs/>
          <w:sz w:val="20"/>
          <w:szCs w:val="20"/>
        </w:rPr>
        <w:t xml:space="preserve"> </w:t>
      </w:r>
      <w:r w:rsidRPr="00785E9E">
        <w:rPr>
          <w:rFonts w:ascii="Garamond" w:hAnsi="Garamond" w:cs="Times New Roman"/>
          <w:sz w:val="20"/>
          <w:szCs w:val="20"/>
        </w:rPr>
        <w:t xml:space="preserve">Human-derived peptide such as LL-37 also shows synergy with polymyxin B against gram-negative bacteria such as </w:t>
      </w:r>
      <w:r w:rsidRPr="00785E9E">
        <w:rPr>
          <w:rFonts w:ascii="Garamond" w:hAnsi="Garamond" w:cs="Times New Roman"/>
          <w:i/>
          <w:sz w:val="20"/>
          <w:szCs w:val="20"/>
        </w:rPr>
        <w:t>E. coli</w:t>
      </w:r>
      <w:r w:rsidRPr="00785E9E">
        <w:rPr>
          <w:rFonts w:ascii="Garamond" w:hAnsi="Garamond" w:cs="Times New Roman"/>
          <w:sz w:val="20"/>
          <w:szCs w:val="20"/>
        </w:rPr>
        <w:t xml:space="preserve"> and </w:t>
      </w:r>
      <w:r w:rsidRPr="00785E9E">
        <w:rPr>
          <w:rFonts w:ascii="Garamond" w:hAnsi="Garamond" w:cs="Times New Roman"/>
          <w:i/>
          <w:sz w:val="20"/>
          <w:szCs w:val="20"/>
        </w:rPr>
        <w:t>Pseudomonas aeruginosa</w:t>
      </w:r>
      <w:r w:rsidRPr="00785E9E">
        <w:rPr>
          <w:rFonts w:ascii="Garamond" w:hAnsi="Garamond" w:cs="Times New Roman"/>
          <w:sz w:val="20"/>
          <w:szCs w:val="20"/>
        </w:rPr>
        <w:t xml:space="preserve">, reducing the survival and formation of biofilm. Antimicrobial peptide such as </w:t>
      </w:r>
      <w:proofErr w:type="spellStart"/>
      <w:r w:rsidRPr="00785E9E">
        <w:rPr>
          <w:rFonts w:ascii="Garamond" w:hAnsi="Garamond" w:cs="Times New Roman"/>
          <w:sz w:val="20"/>
          <w:szCs w:val="20"/>
        </w:rPr>
        <w:t>lantibiotic</w:t>
      </w:r>
      <w:proofErr w:type="spellEnd"/>
      <w:r w:rsidRPr="00785E9E">
        <w:rPr>
          <w:rFonts w:ascii="Garamond" w:hAnsi="Garamond" w:cs="Times New Roman"/>
          <w:sz w:val="20"/>
          <w:szCs w:val="20"/>
        </w:rPr>
        <w:t xml:space="preserve"> nisin combines with antibiotics like oxacillin work much better than using the single antibiotics, it shows efficacy against </w:t>
      </w:r>
      <w:r w:rsidRPr="00785E9E">
        <w:rPr>
          <w:rFonts w:ascii="Garamond" w:hAnsi="Garamond" w:cs="Times New Roman"/>
          <w:i/>
          <w:iCs/>
          <w:sz w:val="20"/>
          <w:szCs w:val="20"/>
        </w:rPr>
        <w:t>Staphylococcus</w:t>
      </w:r>
      <w:r w:rsidRPr="00785E9E">
        <w:rPr>
          <w:rFonts w:ascii="Garamond" w:hAnsi="Garamond" w:cs="Times New Roman"/>
          <w:sz w:val="20"/>
          <w:szCs w:val="20"/>
        </w:rPr>
        <w:t xml:space="preserve"> biofilms</w:t>
      </w:r>
      <w:r w:rsidR="00A212F6">
        <w:rPr>
          <w:rFonts w:ascii="Garamond" w:hAnsi="Garamond" w:cs="Times New Roman"/>
          <w:sz w:val="20"/>
          <w:szCs w:val="20"/>
        </w:rPr>
        <w:t>.</w:t>
      </w:r>
      <w:r w:rsidRPr="00AC1900">
        <w:rPr>
          <w:rFonts w:ascii="Garamond" w:hAnsi="Garamond" w:cs="Times New Roman"/>
          <w:sz w:val="20"/>
          <w:szCs w:val="20"/>
          <w:vertAlign w:val="superscript"/>
        </w:rPr>
        <w:t>9</w:t>
      </w:r>
      <w:r w:rsidRPr="00785E9E">
        <w:rPr>
          <w:rFonts w:ascii="Garamond" w:hAnsi="Garamond" w:cs="Times New Roman"/>
          <w:sz w:val="20"/>
          <w:szCs w:val="20"/>
        </w:rPr>
        <w:t xml:space="preserve"> Which is one of the ESKAPE pathogen, it might also be useful against other notorious multidrug resistant pathogenic species of </w:t>
      </w:r>
      <w:r w:rsidRPr="00785E9E">
        <w:rPr>
          <w:rFonts w:ascii="Garamond" w:hAnsi="Garamond" w:cs="Times New Roman"/>
          <w:i/>
          <w:iCs/>
          <w:sz w:val="20"/>
          <w:szCs w:val="20"/>
        </w:rPr>
        <w:t>Acinetobacter</w:t>
      </w:r>
      <w:r w:rsidRPr="00785E9E">
        <w:rPr>
          <w:rFonts w:ascii="Garamond" w:hAnsi="Garamond" w:cs="Times New Roman"/>
          <w:sz w:val="20"/>
          <w:szCs w:val="20"/>
        </w:rPr>
        <w:t xml:space="preserve">, </w:t>
      </w:r>
      <w:r w:rsidRPr="00785E9E">
        <w:rPr>
          <w:rFonts w:ascii="Garamond" w:hAnsi="Garamond" w:cs="Times New Roman"/>
          <w:i/>
          <w:iCs/>
          <w:sz w:val="20"/>
          <w:szCs w:val="20"/>
        </w:rPr>
        <w:t>Pseudomonas</w:t>
      </w:r>
      <w:r w:rsidRPr="00785E9E">
        <w:rPr>
          <w:rFonts w:ascii="Garamond" w:hAnsi="Garamond" w:cs="Times New Roman"/>
          <w:sz w:val="20"/>
          <w:szCs w:val="20"/>
        </w:rPr>
        <w:t xml:space="preserve">, </w:t>
      </w:r>
      <w:r w:rsidRPr="00785E9E">
        <w:rPr>
          <w:rFonts w:ascii="Garamond" w:hAnsi="Garamond" w:cs="Times New Roman"/>
          <w:i/>
          <w:iCs/>
          <w:sz w:val="20"/>
          <w:szCs w:val="20"/>
        </w:rPr>
        <w:t>Klebsiella</w:t>
      </w:r>
      <w:r w:rsidRPr="00785E9E">
        <w:rPr>
          <w:rFonts w:ascii="Garamond" w:hAnsi="Garamond" w:cs="Times New Roman"/>
          <w:sz w:val="20"/>
          <w:szCs w:val="20"/>
        </w:rPr>
        <w:t>.</w:t>
      </w:r>
    </w:p>
    <w:p w14:paraId="2FFCA292" w14:textId="2CE3283A" w:rsidR="00785E9E" w:rsidRPr="00A212F6" w:rsidRDefault="00785E9E" w:rsidP="00785E9E">
      <w:pPr>
        <w:jc w:val="both"/>
        <w:rPr>
          <w:rFonts w:ascii="Garamond" w:hAnsi="Garamond" w:cs="Times New Roman"/>
          <w:sz w:val="20"/>
          <w:szCs w:val="20"/>
        </w:rPr>
      </w:pPr>
      <w:r w:rsidRPr="00A212F6">
        <w:rPr>
          <w:rFonts w:ascii="Garamond" w:hAnsi="Garamond" w:cs="Times New Roman"/>
          <w:i/>
          <w:iCs/>
          <w:sz w:val="20"/>
          <w:szCs w:val="20"/>
        </w:rPr>
        <w:t>Matrix penetration</w:t>
      </w:r>
      <w:r w:rsidR="00A212F6">
        <w:rPr>
          <w:rFonts w:ascii="Garamond" w:hAnsi="Garamond" w:cs="Times New Roman"/>
          <w:b/>
          <w:bCs/>
          <w:sz w:val="20"/>
          <w:szCs w:val="20"/>
        </w:rPr>
        <w:t xml:space="preserve">: </w:t>
      </w:r>
      <w:r w:rsidRPr="00785E9E">
        <w:rPr>
          <w:rFonts w:ascii="Garamond" w:hAnsi="Garamond" w:cs="Times New Roman"/>
          <w:bCs/>
          <w:sz w:val="20"/>
          <w:szCs w:val="20"/>
        </w:rPr>
        <w:t>One of the significant problems in combating infection is traced to biofilm, due to the formation of a protective layer, such as extracellular polymeric substance (EPS), which makes it difficult for antibiotics and immune responses to reach</w:t>
      </w:r>
      <w:r w:rsidRPr="00785E9E">
        <w:rPr>
          <w:rFonts w:ascii="Garamond" w:hAnsi="Garamond" w:cs="Times New Roman"/>
          <w:sz w:val="20"/>
          <w:szCs w:val="20"/>
        </w:rPr>
        <w:t>. Nevertheless, antimicrobial peptides have shown possible therapeutic strategies because they are thin enough to push through this barrier and disrupt these chemical bonds that hold extracellular polymeric substances together.</w:t>
      </w:r>
      <w:r w:rsidRPr="00A212F6">
        <w:rPr>
          <w:rFonts w:ascii="Garamond" w:hAnsi="Garamond" w:cs="Times New Roman"/>
          <w:sz w:val="20"/>
          <w:szCs w:val="20"/>
          <w:vertAlign w:val="superscript"/>
        </w:rPr>
        <w:t>2</w:t>
      </w:r>
      <w:r w:rsidRPr="00785E9E">
        <w:rPr>
          <w:rFonts w:ascii="Garamond" w:hAnsi="Garamond" w:cs="Times New Roman"/>
          <w:sz w:val="20"/>
          <w:szCs w:val="20"/>
        </w:rPr>
        <w:t xml:space="preserve"> noted that some specially designed synthetic antimicrobial peptides (AMPs), which have increased hydrophobicity and positive charge, can penetrate deeper into the core of biofilms and work against a wider variety of microbes. Similarly, peptides such as LL-37, which are humanly derived peptides and their modified forms, have been found to disrupt the biofilm’s protective matrix, making it easier for treatments to spread through the biofilm and reach the bacteria hiding inside</w:t>
      </w:r>
      <w:r w:rsidR="00A212F6">
        <w:rPr>
          <w:rFonts w:ascii="Garamond" w:hAnsi="Garamond" w:cs="Times New Roman"/>
          <w:sz w:val="20"/>
          <w:szCs w:val="20"/>
        </w:rPr>
        <w:t>.</w:t>
      </w:r>
      <w:r w:rsidRPr="00A212F6">
        <w:rPr>
          <w:rFonts w:ascii="Garamond" w:hAnsi="Garamond" w:cs="Times New Roman"/>
          <w:sz w:val="20"/>
          <w:szCs w:val="20"/>
          <w:vertAlign w:val="superscript"/>
        </w:rPr>
        <w:t>32</w:t>
      </w:r>
    </w:p>
    <w:p w14:paraId="4D1DCF93" w14:textId="1741738E" w:rsidR="00785E9E" w:rsidRPr="00AC1900" w:rsidRDefault="00785E9E" w:rsidP="00785E9E">
      <w:pPr>
        <w:jc w:val="both"/>
        <w:rPr>
          <w:rFonts w:ascii="Garamond" w:hAnsi="Garamond" w:cs="Times New Roman"/>
          <w:sz w:val="20"/>
          <w:szCs w:val="20"/>
        </w:rPr>
      </w:pPr>
      <w:r w:rsidRPr="00A212F6">
        <w:rPr>
          <w:rFonts w:ascii="Garamond" w:hAnsi="Garamond" w:cs="Times New Roman"/>
          <w:i/>
          <w:iCs/>
          <w:sz w:val="20"/>
          <w:szCs w:val="20"/>
        </w:rPr>
        <w:t>Inhibition of quorum sensing</w:t>
      </w:r>
      <w:r w:rsidR="00A212F6" w:rsidRPr="00A212F6">
        <w:rPr>
          <w:rFonts w:ascii="Garamond" w:hAnsi="Garamond" w:cs="Times New Roman"/>
          <w:i/>
          <w:iCs/>
          <w:sz w:val="20"/>
          <w:szCs w:val="20"/>
        </w:rPr>
        <w:t>:</w:t>
      </w:r>
      <w:r w:rsidR="00A212F6">
        <w:rPr>
          <w:rFonts w:ascii="Garamond" w:hAnsi="Garamond" w:cs="Times New Roman"/>
          <w:b/>
          <w:bCs/>
          <w:sz w:val="20"/>
          <w:szCs w:val="20"/>
        </w:rPr>
        <w:t xml:space="preserve"> </w:t>
      </w:r>
      <w:r w:rsidRPr="00785E9E">
        <w:rPr>
          <w:rFonts w:ascii="Garamond" w:hAnsi="Garamond" w:cs="Times New Roman"/>
          <w:sz w:val="20"/>
          <w:szCs w:val="20"/>
        </w:rPr>
        <w:t xml:space="preserve">Beyond its bactericidal activity, antimicrobial peptides (AMPs) also interrupt the way bacteria communicate through a process known as </w:t>
      </w:r>
      <w:r w:rsidRPr="00785E9E">
        <w:rPr>
          <w:rFonts w:ascii="Garamond" w:hAnsi="Garamond" w:cs="Times New Roman"/>
          <w:sz w:val="20"/>
          <w:szCs w:val="20"/>
        </w:rPr>
        <w:t xml:space="preserve">quorum sensing (QS). This communication system is vital for bacteria to form, grow, and maintain biofilms, as well as to express their harmful traits. When AMPs disrupt these </w:t>
      </w:r>
      <w:proofErr w:type="spellStart"/>
      <w:r w:rsidRPr="00785E9E">
        <w:rPr>
          <w:rFonts w:ascii="Garamond" w:hAnsi="Garamond" w:cs="Times New Roman"/>
          <w:sz w:val="20"/>
          <w:szCs w:val="20"/>
        </w:rPr>
        <w:t>signalling</w:t>
      </w:r>
      <w:proofErr w:type="spellEnd"/>
      <w:r w:rsidRPr="00785E9E">
        <w:rPr>
          <w:rFonts w:ascii="Garamond" w:hAnsi="Garamond" w:cs="Times New Roman"/>
          <w:sz w:val="20"/>
          <w:szCs w:val="20"/>
        </w:rPr>
        <w:t xml:space="preserve"> pathways, they stop bacteria from coordinating the gene activity needed for building and sustaining biofilms. For example, a synthetic AMP called IDR-1018 has been shown to alter the expression of genes tied to biofilm development in bacteria like </w:t>
      </w:r>
      <w:r w:rsidRPr="00785E9E">
        <w:rPr>
          <w:rFonts w:ascii="Garamond" w:hAnsi="Garamond" w:cs="Times New Roman"/>
          <w:i/>
          <w:iCs/>
          <w:sz w:val="20"/>
          <w:szCs w:val="20"/>
        </w:rPr>
        <w:t>Pseudomonas aeruginosa</w:t>
      </w:r>
      <w:r w:rsidRPr="00785E9E">
        <w:rPr>
          <w:rFonts w:ascii="Garamond" w:hAnsi="Garamond" w:cs="Times New Roman"/>
          <w:sz w:val="20"/>
          <w:szCs w:val="20"/>
        </w:rPr>
        <w:t xml:space="preserve"> and </w:t>
      </w:r>
      <w:r w:rsidRPr="00785E9E">
        <w:rPr>
          <w:rFonts w:ascii="Garamond" w:hAnsi="Garamond" w:cs="Times New Roman"/>
          <w:i/>
          <w:iCs/>
          <w:sz w:val="20"/>
          <w:szCs w:val="20"/>
        </w:rPr>
        <w:t>Acinetobacter baumannii</w:t>
      </w:r>
      <w:r w:rsidRPr="00785E9E">
        <w:rPr>
          <w:rFonts w:ascii="Garamond" w:hAnsi="Garamond" w:cs="Times New Roman"/>
          <w:sz w:val="20"/>
          <w:szCs w:val="20"/>
        </w:rPr>
        <w:t>, ultimately weakening the biofilms and reducing their ability to cause disease</w:t>
      </w:r>
      <w:r w:rsidR="00AC1900">
        <w:rPr>
          <w:rFonts w:ascii="Garamond" w:hAnsi="Garamond" w:cs="Times New Roman"/>
          <w:sz w:val="20"/>
          <w:szCs w:val="20"/>
        </w:rPr>
        <w:t>.</w:t>
      </w:r>
      <w:r w:rsidRPr="00AC1900">
        <w:rPr>
          <w:rFonts w:ascii="Garamond" w:hAnsi="Garamond" w:cs="Times New Roman"/>
          <w:sz w:val="20"/>
          <w:szCs w:val="20"/>
          <w:vertAlign w:val="superscript"/>
        </w:rPr>
        <w:t>33</w:t>
      </w:r>
      <w:r w:rsidRPr="00785E9E">
        <w:rPr>
          <w:rFonts w:ascii="Garamond" w:hAnsi="Garamond" w:cs="Times New Roman"/>
          <w:sz w:val="20"/>
          <w:szCs w:val="20"/>
        </w:rPr>
        <w:t xml:space="preserve">  Other research has spotlighted marine-derived peptides that act like QS signals, essentially "tricking" the bacteria and blocking their communication by preventing signal molecules from binding properly</w:t>
      </w:r>
      <w:r w:rsidR="00AC1900">
        <w:rPr>
          <w:rFonts w:ascii="Garamond" w:hAnsi="Garamond" w:cs="Times New Roman"/>
          <w:sz w:val="20"/>
          <w:szCs w:val="20"/>
        </w:rPr>
        <w:t>.</w:t>
      </w:r>
      <w:r w:rsidRPr="00AC1900">
        <w:rPr>
          <w:rFonts w:ascii="Garamond" w:hAnsi="Garamond" w:cs="Times New Roman"/>
          <w:sz w:val="20"/>
          <w:szCs w:val="20"/>
          <w:vertAlign w:val="superscript"/>
        </w:rPr>
        <w:t>34</w:t>
      </w:r>
      <w:r w:rsidRPr="00785E9E">
        <w:rPr>
          <w:rFonts w:ascii="Garamond" w:hAnsi="Garamond" w:cs="Times New Roman"/>
          <w:sz w:val="20"/>
          <w:szCs w:val="20"/>
        </w:rPr>
        <w:t xml:space="preserve"> </w:t>
      </w:r>
    </w:p>
    <w:p w14:paraId="25C3C4C8" w14:textId="2AF04446" w:rsidR="00785E9E" w:rsidRPr="00AC1900" w:rsidRDefault="00785E9E" w:rsidP="00785E9E">
      <w:pPr>
        <w:jc w:val="both"/>
        <w:rPr>
          <w:rFonts w:ascii="Garamond" w:hAnsi="Garamond" w:cs="Times New Roman"/>
          <w:iCs/>
          <w:sz w:val="20"/>
          <w:szCs w:val="20"/>
        </w:rPr>
      </w:pPr>
      <w:r w:rsidRPr="00AC1900">
        <w:rPr>
          <w:rFonts w:ascii="Garamond" w:hAnsi="Garamond" w:cs="Times New Roman"/>
          <w:b/>
          <w:i/>
          <w:iCs/>
          <w:sz w:val="20"/>
          <w:szCs w:val="20"/>
        </w:rPr>
        <w:t>Improving the attack on ESKAPE pathogen</w:t>
      </w:r>
      <w:r w:rsidR="00AC1900">
        <w:rPr>
          <w:rFonts w:ascii="Garamond" w:hAnsi="Garamond" w:cs="Times New Roman"/>
          <w:b/>
          <w:sz w:val="20"/>
          <w:szCs w:val="20"/>
        </w:rPr>
        <w:t xml:space="preserve">: </w:t>
      </w:r>
      <w:r w:rsidRPr="00785E9E">
        <w:rPr>
          <w:rFonts w:ascii="Garamond" w:hAnsi="Garamond" w:cs="Times New Roman"/>
          <w:sz w:val="20"/>
          <w:szCs w:val="20"/>
        </w:rPr>
        <w:t xml:space="preserve">Combining antimicrobial peptides with other agent could offer a significant promise in mitigating the impact of these bacteria and overpowering the limitations of using single drug or therapeutic agent in tackling Recalcitrant ESKAPE pathogen, especially </w:t>
      </w:r>
      <w:r w:rsidRPr="00785E9E">
        <w:rPr>
          <w:rFonts w:ascii="Garamond" w:hAnsi="Garamond" w:cs="Times New Roman"/>
          <w:i/>
          <w:iCs/>
          <w:sz w:val="20"/>
          <w:szCs w:val="20"/>
        </w:rPr>
        <w:t xml:space="preserve">Acinetobacter baumannii </w:t>
      </w:r>
      <w:r w:rsidRPr="00785E9E">
        <w:rPr>
          <w:rFonts w:ascii="Garamond" w:hAnsi="Garamond" w:cs="Times New Roman"/>
          <w:iCs/>
          <w:sz w:val="20"/>
          <w:szCs w:val="20"/>
        </w:rPr>
        <w:t>a known notorious gram harmful bacterium [12].</w:t>
      </w:r>
      <w:r w:rsidRPr="00785E9E">
        <w:rPr>
          <w:rFonts w:ascii="Garamond" w:hAnsi="Garamond" w:cs="Times New Roman"/>
          <w:i/>
          <w:sz w:val="20"/>
          <w:szCs w:val="20"/>
        </w:rPr>
        <w:t xml:space="preserve"> </w:t>
      </w:r>
      <w:r w:rsidRPr="00785E9E">
        <w:rPr>
          <w:rFonts w:ascii="Garamond" w:hAnsi="Garamond" w:cs="Times New Roman"/>
          <w:iCs/>
          <w:sz w:val="20"/>
          <w:szCs w:val="20"/>
        </w:rPr>
        <w:t>The combine effect is achieved due to the strategies of antimicrobial peptides which open the bacteria protective layer that enable the penetration of antibiotics rendering the bacteria more vulnerable, enhancing the therapeutic effect of other drugs.</w:t>
      </w:r>
    </w:p>
    <w:p w14:paraId="0C67ACAE" w14:textId="176C18F9" w:rsidR="00785E9E" w:rsidRPr="00785E9E" w:rsidRDefault="00785E9E" w:rsidP="00785E9E">
      <w:pPr>
        <w:jc w:val="both"/>
        <w:rPr>
          <w:rFonts w:ascii="Garamond" w:hAnsi="Garamond" w:cs="Times New Roman"/>
          <w:sz w:val="20"/>
          <w:szCs w:val="20"/>
        </w:rPr>
      </w:pPr>
      <w:r w:rsidRPr="00785E9E">
        <w:rPr>
          <w:rFonts w:ascii="Garamond" w:hAnsi="Garamond" w:cs="Times New Roman"/>
          <w:b/>
          <w:i/>
          <w:sz w:val="20"/>
          <w:szCs w:val="20"/>
        </w:rPr>
        <w:t>Antimicrobial peptide and nanoparticles</w:t>
      </w:r>
      <w:r w:rsidR="00AC1900">
        <w:rPr>
          <w:rFonts w:ascii="Garamond" w:hAnsi="Garamond" w:cs="Times New Roman"/>
          <w:b/>
          <w:i/>
          <w:sz w:val="20"/>
          <w:szCs w:val="20"/>
        </w:rPr>
        <w:t xml:space="preserve">: </w:t>
      </w:r>
      <w:r w:rsidRPr="00785E9E">
        <w:rPr>
          <w:rFonts w:ascii="Garamond" w:hAnsi="Garamond" w:cs="Times New Roman"/>
          <w:sz w:val="20"/>
          <w:szCs w:val="20"/>
        </w:rPr>
        <w:t>Antimicrobial peptides are small protein that are effective against biofilm forming microbes but the antimicrobial peptide faces challenges when used alone due to poor stability, low bioavailability, poor targeting, to solve this problems, tiny particle usually 1-100 nanometer (nanoparticle) is used as a delivery mechanism</w:t>
      </w:r>
      <w:r w:rsidR="00AC1900">
        <w:rPr>
          <w:rFonts w:ascii="Garamond" w:hAnsi="Garamond" w:cs="Times New Roman"/>
          <w:sz w:val="20"/>
          <w:szCs w:val="20"/>
        </w:rPr>
        <w:t>.</w:t>
      </w:r>
      <w:r w:rsidRPr="00AC1900">
        <w:rPr>
          <w:rFonts w:ascii="Garamond" w:hAnsi="Garamond" w:cs="Times New Roman"/>
          <w:sz w:val="20"/>
          <w:szCs w:val="20"/>
          <w:vertAlign w:val="superscript"/>
        </w:rPr>
        <w:t>35</w:t>
      </w:r>
      <w:r w:rsidRPr="00785E9E">
        <w:rPr>
          <w:rFonts w:ascii="Garamond" w:hAnsi="Garamond" w:cs="Times New Roman"/>
          <w:sz w:val="20"/>
          <w:szCs w:val="20"/>
        </w:rPr>
        <w:t xml:space="preserve"> When AMPs are combined with nanoparticles, their stability is enhanced, preventing peptides from breaking down in the bloodstream (Table 3), enabling peptides to stay in the body for a longer period, which increases their effectiveness</w:t>
      </w:r>
      <w:r w:rsidR="00AC1900">
        <w:rPr>
          <w:rFonts w:ascii="Garamond" w:hAnsi="Garamond" w:cs="Times New Roman"/>
          <w:sz w:val="20"/>
          <w:szCs w:val="20"/>
        </w:rPr>
        <w:t>.</w:t>
      </w:r>
      <w:r w:rsidRPr="00AC1900">
        <w:rPr>
          <w:rFonts w:ascii="Garamond" w:hAnsi="Garamond" w:cs="Times New Roman"/>
          <w:sz w:val="20"/>
          <w:szCs w:val="20"/>
          <w:vertAlign w:val="superscript"/>
        </w:rPr>
        <w:t>36</w:t>
      </w:r>
      <w:r w:rsidRPr="00785E9E">
        <w:rPr>
          <w:rFonts w:ascii="Garamond" w:hAnsi="Garamond" w:cs="Times New Roman"/>
          <w:sz w:val="20"/>
          <w:szCs w:val="20"/>
        </w:rPr>
        <w:t xml:space="preserve">  Silver nanoparticles synthesized through biogenic methods significantly enhanced the antibacterial activity of meropenem against carbapenem-resistant </w:t>
      </w:r>
      <w:r w:rsidRPr="00785E9E">
        <w:rPr>
          <w:rFonts w:ascii="Garamond" w:hAnsi="Garamond" w:cs="Times New Roman"/>
          <w:i/>
          <w:iCs/>
          <w:sz w:val="20"/>
          <w:szCs w:val="20"/>
        </w:rPr>
        <w:t>Acinetobacter baumannii</w:t>
      </w:r>
      <w:r w:rsidRPr="00785E9E">
        <w:rPr>
          <w:rFonts w:ascii="Garamond" w:hAnsi="Garamond" w:cs="Times New Roman"/>
          <w:sz w:val="20"/>
          <w:szCs w:val="20"/>
        </w:rPr>
        <w:t>. When used in combination, the nanoparticles and antibiotic exhibited a synergistic effect, lowering the minimum inhibitory concentration (MIC) of meropenem by four- to eightfold. Additionally, this formulation disrupted approximately 50% of pre-formed biofilms in vitro, highlighting its potential in overcoming biofilm-associated resistance</w:t>
      </w:r>
      <w:r w:rsidR="00AC1900">
        <w:rPr>
          <w:rFonts w:ascii="Garamond" w:hAnsi="Garamond" w:cs="Times New Roman"/>
          <w:sz w:val="20"/>
          <w:szCs w:val="20"/>
        </w:rPr>
        <w:t>.</w:t>
      </w:r>
      <w:r w:rsidRPr="00AC1900">
        <w:rPr>
          <w:rFonts w:ascii="Garamond" w:hAnsi="Garamond" w:cs="Times New Roman"/>
          <w:sz w:val="20"/>
          <w:szCs w:val="20"/>
          <w:vertAlign w:val="superscript"/>
        </w:rPr>
        <w:t>36</w:t>
      </w:r>
    </w:p>
    <w:p w14:paraId="2AB12C31" w14:textId="671985C9" w:rsidR="00785E9E" w:rsidRDefault="00785E9E" w:rsidP="00785E9E">
      <w:pPr>
        <w:jc w:val="both"/>
        <w:rPr>
          <w:rFonts w:ascii="Garamond" w:hAnsi="Garamond" w:cs="Times New Roman"/>
          <w:sz w:val="20"/>
          <w:szCs w:val="20"/>
        </w:rPr>
      </w:pPr>
      <w:r w:rsidRPr="00785E9E">
        <w:rPr>
          <w:rFonts w:ascii="Garamond" w:hAnsi="Garamond" w:cs="Times New Roman"/>
          <w:sz w:val="20"/>
          <w:szCs w:val="20"/>
        </w:rPr>
        <w:t xml:space="preserve">Nanoparticles can be designed to deliver AMPs to the infection site as well as protect the AMPs, enhancing their stability and bioavailability, improving deeper penetration into the biofilm's protective layers and aiding controlled drug release and effectiveness (Figure). </w:t>
      </w:r>
      <w:r w:rsidRPr="00785E9E">
        <w:rPr>
          <w:rFonts w:ascii="Garamond" w:hAnsi="Garamond" w:cs="Times New Roman"/>
          <w:sz w:val="20"/>
          <w:szCs w:val="20"/>
        </w:rPr>
        <w:lastRenderedPageBreak/>
        <w:t>Advanced nanocarriers are likely to work synergistically with positively charged antimicrobial peptides to improve the electrostatic interactions with negatively charged bacterial membrane cells and the biofilm protective layers</w:t>
      </w:r>
      <w:r w:rsidR="00AC1900">
        <w:rPr>
          <w:rFonts w:ascii="Garamond" w:hAnsi="Garamond" w:cs="Times New Roman"/>
          <w:sz w:val="20"/>
          <w:szCs w:val="20"/>
        </w:rPr>
        <w:t>.</w:t>
      </w:r>
      <w:r w:rsidRPr="00AC1900">
        <w:rPr>
          <w:rFonts w:ascii="Garamond" w:hAnsi="Garamond" w:cs="Times New Roman"/>
          <w:sz w:val="20"/>
          <w:szCs w:val="20"/>
          <w:vertAlign w:val="superscript"/>
        </w:rPr>
        <w:t>29</w:t>
      </w:r>
      <w:r w:rsidRPr="00785E9E">
        <w:rPr>
          <w:rFonts w:ascii="Garamond" w:hAnsi="Garamond" w:cs="Times New Roman"/>
          <w:sz w:val="20"/>
          <w:szCs w:val="20"/>
        </w:rPr>
        <w:t xml:space="preserve"> By combining the </w:t>
      </w:r>
      <w:r w:rsidRPr="00785E9E">
        <w:rPr>
          <w:rFonts w:ascii="Garamond" w:hAnsi="Garamond" w:cs="Times New Roman"/>
          <w:bCs/>
          <w:sz w:val="20"/>
          <w:szCs w:val="20"/>
        </w:rPr>
        <w:t>membrane-disrupting ability of AMPs</w:t>
      </w:r>
      <w:r w:rsidRPr="00785E9E">
        <w:rPr>
          <w:rFonts w:ascii="Garamond" w:hAnsi="Garamond" w:cs="Times New Roman"/>
          <w:b/>
          <w:sz w:val="20"/>
          <w:szCs w:val="20"/>
        </w:rPr>
        <w:t xml:space="preserve"> </w:t>
      </w:r>
      <w:r w:rsidRPr="00785E9E">
        <w:rPr>
          <w:rFonts w:ascii="Garamond" w:hAnsi="Garamond" w:cs="Times New Roman"/>
          <w:sz w:val="20"/>
          <w:szCs w:val="20"/>
        </w:rPr>
        <w:t>with the</w:t>
      </w:r>
      <w:r w:rsidRPr="00785E9E">
        <w:rPr>
          <w:rFonts w:ascii="Garamond" w:hAnsi="Garamond" w:cs="Times New Roman"/>
          <w:b/>
          <w:sz w:val="20"/>
          <w:szCs w:val="20"/>
        </w:rPr>
        <w:t xml:space="preserve"> </w:t>
      </w:r>
      <w:r w:rsidRPr="00785E9E">
        <w:rPr>
          <w:rFonts w:ascii="Garamond" w:hAnsi="Garamond" w:cs="Times New Roman"/>
          <w:bCs/>
          <w:sz w:val="20"/>
          <w:szCs w:val="20"/>
        </w:rPr>
        <w:t>controlled and localized delivery</w:t>
      </w:r>
      <w:r w:rsidRPr="00785E9E">
        <w:rPr>
          <w:rFonts w:ascii="Garamond" w:hAnsi="Garamond" w:cs="Times New Roman"/>
          <w:sz w:val="20"/>
          <w:szCs w:val="20"/>
        </w:rPr>
        <w:t xml:space="preserve"> offered by nanoparticles, these hybrid systems provide a </w:t>
      </w:r>
      <w:r w:rsidRPr="00785E9E">
        <w:rPr>
          <w:rFonts w:ascii="Garamond" w:hAnsi="Garamond" w:cs="Times New Roman"/>
          <w:bCs/>
          <w:sz w:val="20"/>
          <w:szCs w:val="20"/>
        </w:rPr>
        <w:t>dual</w:t>
      </w:r>
      <w:r w:rsidRPr="00785E9E">
        <w:rPr>
          <w:rFonts w:ascii="Garamond" w:hAnsi="Garamond" w:cs="Times New Roman"/>
          <w:b/>
          <w:bCs/>
          <w:sz w:val="20"/>
          <w:szCs w:val="20"/>
        </w:rPr>
        <w:t xml:space="preserve"> </w:t>
      </w:r>
      <w:r w:rsidRPr="00785E9E">
        <w:rPr>
          <w:rFonts w:ascii="Garamond" w:hAnsi="Garamond" w:cs="Times New Roman"/>
          <w:bCs/>
          <w:sz w:val="20"/>
          <w:szCs w:val="20"/>
        </w:rPr>
        <w:t>mechanism of action</w:t>
      </w:r>
      <w:r w:rsidRPr="00785E9E">
        <w:rPr>
          <w:rFonts w:ascii="Garamond" w:hAnsi="Garamond" w:cs="Times New Roman"/>
          <w:b/>
          <w:sz w:val="20"/>
          <w:szCs w:val="20"/>
        </w:rPr>
        <w:t xml:space="preserve">: </w:t>
      </w:r>
      <w:r w:rsidRPr="00785E9E">
        <w:rPr>
          <w:rFonts w:ascii="Garamond" w:hAnsi="Garamond" w:cs="Times New Roman"/>
          <w:sz w:val="20"/>
          <w:szCs w:val="20"/>
        </w:rPr>
        <w:t>AMPs compromise bacterial membranes and weaken biofilm structures, while nanocarriers ensure that the AMPs (or co-delivered drugs) are released gradually and precisely at the site of infection (</w:t>
      </w:r>
      <w:hyperlink w:anchor="figure22" w:tooltip="Figure 2. Mechanism of AMP and Nanoparticle Synergy against Biofilms" w:history="1">
        <w:r w:rsidRPr="00785E9E">
          <w:rPr>
            <w:rStyle w:val="Hyperlink"/>
            <w:rFonts w:ascii="Garamond" w:hAnsi="Garamond" w:cs="Times New Roman"/>
            <w:sz w:val="20"/>
            <w:szCs w:val="20"/>
          </w:rPr>
          <w:t>figure 2</w:t>
        </w:r>
      </w:hyperlink>
      <w:r w:rsidRPr="00785E9E">
        <w:rPr>
          <w:rFonts w:ascii="Garamond" w:hAnsi="Garamond" w:cs="Times New Roman"/>
          <w:sz w:val="20"/>
          <w:szCs w:val="20"/>
        </w:rPr>
        <w:t>). It significantly enhances the target impact and termination of multidrug-resistant pathogens that are too difficult to tackle with conventional antibiotics.</w:t>
      </w:r>
    </w:p>
    <w:p w14:paraId="571CB36D" w14:textId="648D55E1" w:rsidR="00785E9E" w:rsidRPr="00785E9E" w:rsidRDefault="00785E9E" w:rsidP="00785E9E">
      <w:pPr>
        <w:jc w:val="both"/>
        <w:rPr>
          <w:rFonts w:ascii="Garamond" w:hAnsi="Garamond" w:cs="Times New Roman"/>
          <w:sz w:val="20"/>
          <w:szCs w:val="20"/>
        </w:rPr>
      </w:pPr>
      <w:r w:rsidRPr="00785E9E">
        <w:rPr>
          <w:rFonts w:ascii="Garamond" w:hAnsi="Garamond" w:cs="Times New Roman"/>
          <w:sz w:val="20"/>
          <w:szCs w:val="20"/>
        </w:rPr>
        <w:t xml:space="preserve">The synergy of AMPs and nanoparticles reduces bacteria's resistance development and weakens bacteria's </w:t>
      </w:r>
      <w:proofErr w:type="spellStart"/>
      <w:r w:rsidRPr="00785E9E">
        <w:rPr>
          <w:rFonts w:ascii="Garamond" w:hAnsi="Garamond" w:cs="Times New Roman"/>
          <w:sz w:val="20"/>
          <w:szCs w:val="20"/>
        </w:rPr>
        <w:t>defence</w:t>
      </w:r>
      <w:proofErr w:type="spellEnd"/>
      <w:r w:rsidRPr="00785E9E">
        <w:rPr>
          <w:rFonts w:ascii="Garamond" w:hAnsi="Garamond" w:cs="Times New Roman"/>
          <w:sz w:val="20"/>
          <w:szCs w:val="20"/>
        </w:rPr>
        <w:t xml:space="preserve"> systems, improving the penetration of AMPs and making them more effective. Moreover, delivery platforms such as lipid nanoparticles loaded with LL-37 or chitosan-based carriers functionalized with melittin have demonstrated potent antimicrobial activity against ESKAPE pathogens, notably </w:t>
      </w:r>
      <w:r w:rsidRPr="00785E9E">
        <w:rPr>
          <w:rFonts w:ascii="Garamond" w:hAnsi="Garamond" w:cs="Times New Roman"/>
          <w:i/>
          <w:iCs/>
          <w:sz w:val="20"/>
          <w:szCs w:val="20"/>
        </w:rPr>
        <w:t>Pseudomonas aeruginosa</w:t>
      </w:r>
      <w:r w:rsidRPr="00785E9E">
        <w:rPr>
          <w:rFonts w:ascii="Garamond" w:hAnsi="Garamond" w:cs="Times New Roman"/>
          <w:sz w:val="20"/>
          <w:szCs w:val="20"/>
        </w:rPr>
        <w:t xml:space="preserve"> and </w:t>
      </w:r>
      <w:r w:rsidRPr="00785E9E">
        <w:rPr>
          <w:rFonts w:ascii="Garamond" w:hAnsi="Garamond" w:cs="Times New Roman"/>
          <w:i/>
          <w:iCs/>
          <w:sz w:val="20"/>
          <w:szCs w:val="20"/>
        </w:rPr>
        <w:t>Staphylococcus aureus</w:t>
      </w:r>
      <w:r w:rsidRPr="00785E9E">
        <w:rPr>
          <w:rFonts w:ascii="Garamond" w:hAnsi="Garamond" w:cs="Times New Roman"/>
          <w:sz w:val="20"/>
          <w:szCs w:val="20"/>
        </w:rPr>
        <w:t>. These systems work by enhancing the intracellular delivery of antimicrobial peptides and inducing the generation of reactive oxygen species (ROS) (</w:t>
      </w:r>
      <w:hyperlink w:anchor="Table3" w:tooltip="Summary of AMP-Based Synergistic Strategies against ESKAPE Pathogen Biofilms " w:history="1">
        <w:r w:rsidRPr="00785E9E">
          <w:rPr>
            <w:rStyle w:val="Hyperlink"/>
            <w:rFonts w:ascii="Garamond" w:hAnsi="Garamond" w:cs="Times New Roman"/>
            <w:sz w:val="20"/>
            <w:szCs w:val="20"/>
          </w:rPr>
          <w:t>Table 3</w:t>
        </w:r>
      </w:hyperlink>
      <w:r w:rsidRPr="00785E9E">
        <w:rPr>
          <w:rFonts w:ascii="Garamond" w:hAnsi="Garamond" w:cs="Times New Roman"/>
          <w:sz w:val="20"/>
          <w:szCs w:val="20"/>
        </w:rPr>
        <w:t>), contributing to bacterial cell damage</w:t>
      </w:r>
      <w:r w:rsidR="00AC1900">
        <w:rPr>
          <w:rFonts w:ascii="Garamond" w:hAnsi="Garamond" w:cs="Times New Roman"/>
          <w:sz w:val="20"/>
          <w:szCs w:val="20"/>
        </w:rPr>
        <w:t>.</w:t>
      </w:r>
      <w:r w:rsidRPr="00AC1900">
        <w:rPr>
          <w:rFonts w:ascii="Garamond" w:hAnsi="Garamond" w:cs="Times New Roman"/>
          <w:sz w:val="20"/>
          <w:szCs w:val="20"/>
          <w:vertAlign w:val="superscript"/>
        </w:rPr>
        <w:t>1</w:t>
      </w:r>
      <w:r w:rsidRPr="00785E9E">
        <w:rPr>
          <w:rFonts w:ascii="Garamond" w:hAnsi="Garamond" w:cs="Times New Roman"/>
          <w:sz w:val="20"/>
          <w:szCs w:val="20"/>
        </w:rPr>
        <w:t xml:space="preserve"> With ongoing advancements, AMP nanoparticle conjugates hold significant promise as a central strategy in developing next-generation therapies targeting chronic and biofilm-related infections. </w:t>
      </w:r>
    </w:p>
    <w:p w14:paraId="031C329F" w14:textId="77777777" w:rsidR="00785E9E" w:rsidRPr="00785E9E" w:rsidRDefault="00785E9E" w:rsidP="00785E9E">
      <w:pPr>
        <w:jc w:val="both"/>
        <w:rPr>
          <w:rFonts w:ascii="Garamond" w:hAnsi="Garamond" w:cs="Times New Roman"/>
          <w:sz w:val="20"/>
          <w:szCs w:val="20"/>
        </w:rPr>
      </w:pPr>
      <w:r w:rsidRPr="00785E9E">
        <w:rPr>
          <w:rFonts w:ascii="Garamond" w:hAnsi="Garamond" w:cs="Times New Roman"/>
          <w:noProof/>
          <w:sz w:val="20"/>
          <w:szCs w:val="20"/>
        </w:rPr>
        <w:drawing>
          <wp:inline distT="0" distB="0" distL="0" distR="0" wp14:anchorId="5B274EA2" wp14:editId="1D57D255">
            <wp:extent cx="2893695" cy="1510748"/>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44.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908293" cy="1518369"/>
                    </a:xfrm>
                    <a:prstGeom prst="rect">
                      <a:avLst/>
                    </a:prstGeom>
                  </pic:spPr>
                </pic:pic>
              </a:graphicData>
            </a:graphic>
          </wp:inline>
        </w:drawing>
      </w:r>
    </w:p>
    <w:p w14:paraId="34595C70" w14:textId="77777777" w:rsidR="00785E9E" w:rsidRDefault="00785E9E" w:rsidP="00785E9E">
      <w:pPr>
        <w:jc w:val="both"/>
        <w:rPr>
          <w:rFonts w:ascii="Garamond" w:hAnsi="Garamond" w:cs="Times New Roman"/>
          <w:b/>
          <w:bCs/>
          <w:sz w:val="20"/>
          <w:szCs w:val="20"/>
        </w:rPr>
      </w:pPr>
      <w:bookmarkStart w:id="12" w:name="figure2"/>
      <w:bookmarkStart w:id="13" w:name="figure22"/>
    </w:p>
    <w:p w14:paraId="11202D10" w14:textId="1D2475F4" w:rsidR="00785E9E" w:rsidRDefault="00785E9E" w:rsidP="00785E9E">
      <w:pPr>
        <w:jc w:val="both"/>
        <w:rPr>
          <w:rFonts w:ascii="Garamond" w:hAnsi="Garamond" w:cs="Times New Roman"/>
          <w:sz w:val="20"/>
          <w:szCs w:val="20"/>
        </w:rPr>
      </w:pPr>
      <w:r w:rsidRPr="00785E9E">
        <w:rPr>
          <w:rFonts w:ascii="Garamond" w:hAnsi="Garamond" w:cs="Times New Roman"/>
          <w:b/>
          <w:bCs/>
          <w:sz w:val="20"/>
          <w:szCs w:val="20"/>
        </w:rPr>
        <w:t>Figure 2</w:t>
      </w:r>
      <w:r w:rsidRPr="00785E9E">
        <w:rPr>
          <w:rFonts w:ascii="Garamond" w:hAnsi="Garamond" w:cs="Times New Roman"/>
          <w:sz w:val="20"/>
          <w:szCs w:val="20"/>
        </w:rPr>
        <w:t>. Mechanism of AMP and Nanoparticle Synergy against Biofilms</w:t>
      </w:r>
      <w:bookmarkEnd w:id="12"/>
      <w:bookmarkEnd w:id="13"/>
    </w:p>
    <w:p w14:paraId="771EEC03" w14:textId="77777777" w:rsidR="00785E9E" w:rsidRPr="00785E9E" w:rsidRDefault="00785E9E" w:rsidP="00785E9E">
      <w:pPr>
        <w:jc w:val="both"/>
        <w:rPr>
          <w:rFonts w:ascii="Garamond" w:hAnsi="Garamond" w:cs="Times New Roman"/>
          <w:sz w:val="20"/>
          <w:szCs w:val="20"/>
        </w:rPr>
      </w:pPr>
    </w:p>
    <w:p w14:paraId="34EA677E" w14:textId="75FECB34" w:rsidR="00785E9E" w:rsidRPr="00785E9E" w:rsidRDefault="00785E9E" w:rsidP="00785E9E">
      <w:pPr>
        <w:jc w:val="both"/>
        <w:rPr>
          <w:rFonts w:ascii="Garamond" w:hAnsi="Garamond" w:cs="Times New Roman"/>
          <w:sz w:val="20"/>
          <w:szCs w:val="20"/>
        </w:rPr>
      </w:pPr>
      <w:r w:rsidRPr="00785E9E">
        <w:rPr>
          <w:rFonts w:ascii="Garamond" w:hAnsi="Garamond" w:cs="Times New Roman"/>
          <w:b/>
          <w:bCs/>
          <w:i/>
          <w:iCs/>
          <w:sz w:val="20"/>
          <w:szCs w:val="20"/>
        </w:rPr>
        <w:t>Combination of AMP and enzymes</w:t>
      </w:r>
      <w:r w:rsidR="00AC1900">
        <w:rPr>
          <w:rFonts w:ascii="Garamond" w:hAnsi="Garamond" w:cs="Times New Roman"/>
          <w:b/>
          <w:bCs/>
          <w:i/>
          <w:iCs/>
          <w:sz w:val="20"/>
          <w:szCs w:val="20"/>
        </w:rPr>
        <w:t xml:space="preserve">: </w:t>
      </w:r>
      <w:r w:rsidRPr="00785E9E">
        <w:rPr>
          <w:rFonts w:ascii="Garamond" w:hAnsi="Garamond" w:cs="Times New Roman"/>
          <w:sz w:val="20"/>
          <w:szCs w:val="20"/>
        </w:rPr>
        <w:t>Enzymes that degrade DNA, such as DNase, have shown potential in breaking down bacteria's biofilm extracellular DNA, one of the essential biofilm matrices that hold the bacterial communities together and protect them from antibiotics. Degrading this eDNA can enhance the therapeutic effect of AMPs and antibiotics</w:t>
      </w:r>
      <w:r w:rsidR="00AC1900">
        <w:rPr>
          <w:rFonts w:ascii="Garamond" w:hAnsi="Garamond" w:cs="Times New Roman"/>
          <w:sz w:val="20"/>
          <w:szCs w:val="20"/>
        </w:rPr>
        <w:t>.</w:t>
      </w:r>
      <w:r w:rsidRPr="00AC1900">
        <w:rPr>
          <w:rFonts w:ascii="Garamond" w:hAnsi="Garamond" w:cs="Times New Roman"/>
          <w:sz w:val="20"/>
          <w:szCs w:val="20"/>
          <w:vertAlign w:val="superscript"/>
        </w:rPr>
        <w:t>29</w:t>
      </w:r>
      <w:r w:rsidRPr="00785E9E">
        <w:rPr>
          <w:rFonts w:ascii="Garamond" w:hAnsi="Garamond" w:cs="Times New Roman"/>
          <w:sz w:val="20"/>
          <w:szCs w:val="20"/>
        </w:rPr>
        <w:t xml:space="preserve"> Although direct evidence of synergistic interactions between </w:t>
      </w:r>
      <w:r w:rsidRPr="00785E9E">
        <w:rPr>
          <w:rFonts w:ascii="Garamond" w:hAnsi="Garamond" w:cs="Times New Roman"/>
          <w:sz w:val="20"/>
          <w:szCs w:val="20"/>
        </w:rPr>
        <w:t xml:space="preserve">antimicrobial peptides (AMPs) and DNase in </w:t>
      </w:r>
      <w:r w:rsidRPr="00785E9E">
        <w:rPr>
          <w:rFonts w:ascii="Garamond" w:hAnsi="Garamond" w:cs="Times New Roman"/>
          <w:i/>
          <w:iCs/>
          <w:sz w:val="20"/>
          <w:szCs w:val="20"/>
        </w:rPr>
        <w:t>Acinetobacter baumannii</w:t>
      </w:r>
      <w:r w:rsidRPr="00785E9E">
        <w:rPr>
          <w:rFonts w:ascii="Garamond" w:hAnsi="Garamond" w:cs="Times New Roman"/>
          <w:sz w:val="20"/>
          <w:szCs w:val="20"/>
        </w:rPr>
        <w:t xml:space="preserve"> remains limited in studies from 2023 to 2025, related research has shown encouraging results. For instance, DNase-coated solid lipid nanoparticles (SLNs) have exhibited strong biofilm-disrupting activity against </w:t>
      </w:r>
      <w:r w:rsidRPr="00785E9E">
        <w:rPr>
          <w:rFonts w:ascii="Garamond" w:hAnsi="Garamond" w:cs="Times New Roman"/>
          <w:i/>
          <w:iCs/>
          <w:sz w:val="20"/>
          <w:szCs w:val="20"/>
        </w:rPr>
        <w:t>Staphylococcus aureus</w:t>
      </w:r>
      <w:r w:rsidR="00AC1900">
        <w:rPr>
          <w:rFonts w:ascii="Garamond" w:hAnsi="Garamond" w:cs="Times New Roman"/>
          <w:sz w:val="20"/>
          <w:szCs w:val="20"/>
        </w:rPr>
        <w:t>.</w:t>
      </w:r>
      <w:r w:rsidRPr="00AC1900">
        <w:rPr>
          <w:rFonts w:ascii="Garamond" w:hAnsi="Garamond" w:cs="Times New Roman"/>
          <w:sz w:val="20"/>
          <w:szCs w:val="20"/>
          <w:vertAlign w:val="superscript"/>
        </w:rPr>
        <w:t>29</w:t>
      </w:r>
      <w:r w:rsidRPr="00785E9E">
        <w:rPr>
          <w:rFonts w:ascii="Garamond" w:hAnsi="Garamond" w:cs="Times New Roman"/>
          <w:sz w:val="20"/>
          <w:szCs w:val="20"/>
        </w:rPr>
        <w:t xml:space="preserve"> These findings support the hypothesis that enzymatic degradation of biofilm components, such as extracellular DNA, can substantially enhance AMP penetration and antimicrobial efficacy within biofilm-rich environments.</w:t>
      </w:r>
    </w:p>
    <w:p w14:paraId="14C95BBD" w14:textId="6BA58ACC" w:rsidR="00785E9E" w:rsidRDefault="00785E9E" w:rsidP="00785E9E">
      <w:pPr>
        <w:jc w:val="both"/>
        <w:rPr>
          <w:rFonts w:ascii="Garamond" w:hAnsi="Garamond" w:cs="Times New Roman"/>
          <w:sz w:val="20"/>
          <w:szCs w:val="20"/>
        </w:rPr>
      </w:pPr>
      <w:r w:rsidRPr="00785E9E">
        <w:rPr>
          <w:rFonts w:ascii="Garamond" w:hAnsi="Garamond" w:cs="Times New Roman"/>
          <w:sz w:val="20"/>
          <w:szCs w:val="20"/>
        </w:rPr>
        <w:t xml:space="preserve">Beyond DNase, </w:t>
      </w:r>
      <w:r w:rsidRPr="00785E9E">
        <w:rPr>
          <w:rFonts w:ascii="Garamond" w:hAnsi="Garamond" w:cs="Times New Roman"/>
          <w:bCs/>
          <w:sz w:val="20"/>
          <w:szCs w:val="20"/>
        </w:rPr>
        <w:t>engineered enzymes such as bacteriophage-derived endolysins</w:t>
      </w:r>
      <w:r w:rsidRPr="00785E9E">
        <w:rPr>
          <w:rFonts w:ascii="Garamond" w:hAnsi="Garamond" w:cs="Times New Roman"/>
          <w:sz w:val="20"/>
          <w:szCs w:val="20"/>
        </w:rPr>
        <w:t xml:space="preserve"> have emerged as a potent class of biofilm-disrupting adjuvants. For example, the broad-spectrum endolysin </w:t>
      </w:r>
      <w:proofErr w:type="spellStart"/>
      <w:r w:rsidRPr="00785E9E">
        <w:rPr>
          <w:rFonts w:ascii="Garamond" w:hAnsi="Garamond" w:cs="Times New Roman"/>
          <w:bCs/>
          <w:sz w:val="20"/>
          <w:szCs w:val="20"/>
        </w:rPr>
        <w:t>LysSYL</w:t>
      </w:r>
      <w:proofErr w:type="spellEnd"/>
      <w:r w:rsidRPr="00785E9E">
        <w:rPr>
          <w:rFonts w:ascii="Garamond" w:hAnsi="Garamond" w:cs="Times New Roman"/>
          <w:sz w:val="20"/>
          <w:szCs w:val="20"/>
        </w:rPr>
        <w:t xml:space="preserve"> has demonstrated effective disruption of mixed-species biofilms formed by </w:t>
      </w:r>
      <w:r w:rsidRPr="00785E9E">
        <w:rPr>
          <w:rFonts w:ascii="Garamond" w:hAnsi="Garamond" w:cs="Times New Roman"/>
          <w:i/>
          <w:iCs/>
          <w:sz w:val="20"/>
          <w:szCs w:val="20"/>
        </w:rPr>
        <w:t>Staphylococcus aureus</w:t>
      </w:r>
      <w:r w:rsidRPr="00785E9E">
        <w:rPr>
          <w:rFonts w:ascii="Garamond" w:hAnsi="Garamond" w:cs="Times New Roman"/>
          <w:sz w:val="20"/>
          <w:szCs w:val="20"/>
        </w:rPr>
        <w:t xml:space="preserve"> and </w:t>
      </w:r>
      <w:r w:rsidRPr="00785E9E">
        <w:rPr>
          <w:rFonts w:ascii="Garamond" w:hAnsi="Garamond" w:cs="Times New Roman"/>
          <w:i/>
          <w:iCs/>
          <w:sz w:val="20"/>
          <w:szCs w:val="20"/>
        </w:rPr>
        <w:t>Acinetobacter baumannii</w:t>
      </w:r>
      <w:r w:rsidRPr="00785E9E">
        <w:rPr>
          <w:rFonts w:ascii="Garamond" w:hAnsi="Garamond" w:cs="Times New Roman"/>
          <w:sz w:val="20"/>
          <w:szCs w:val="20"/>
        </w:rPr>
        <w:t xml:space="preserve"> in vitro</w:t>
      </w:r>
      <w:r w:rsidR="00AC1900">
        <w:rPr>
          <w:rFonts w:ascii="Garamond" w:hAnsi="Garamond" w:cs="Times New Roman"/>
          <w:sz w:val="20"/>
          <w:szCs w:val="20"/>
        </w:rPr>
        <w:t>.</w:t>
      </w:r>
      <w:r w:rsidRPr="00AC1900">
        <w:rPr>
          <w:rFonts w:ascii="Garamond" w:hAnsi="Garamond" w:cs="Times New Roman"/>
          <w:sz w:val="20"/>
          <w:szCs w:val="20"/>
          <w:vertAlign w:val="superscript"/>
        </w:rPr>
        <w:t>37</w:t>
      </w:r>
      <w:r w:rsidRPr="00785E9E">
        <w:rPr>
          <w:rFonts w:ascii="Garamond" w:hAnsi="Garamond" w:cs="Times New Roman"/>
          <w:sz w:val="20"/>
          <w:szCs w:val="20"/>
        </w:rPr>
        <w:t xml:space="preserve"> Notably, </w:t>
      </w:r>
      <w:r w:rsidRPr="00785E9E">
        <w:rPr>
          <w:rFonts w:ascii="Garamond" w:hAnsi="Garamond" w:cs="Times New Roman"/>
          <w:bCs/>
          <w:sz w:val="20"/>
          <w:szCs w:val="20"/>
        </w:rPr>
        <w:t>synergistic effects</w:t>
      </w:r>
      <w:r w:rsidRPr="00785E9E">
        <w:rPr>
          <w:rFonts w:ascii="Garamond" w:hAnsi="Garamond" w:cs="Times New Roman"/>
          <w:sz w:val="20"/>
          <w:szCs w:val="20"/>
        </w:rPr>
        <w:t xml:space="preserve"> have been observed when combining the phage-derived endolysin </w:t>
      </w:r>
      <w:r w:rsidRPr="00785E9E">
        <w:rPr>
          <w:rFonts w:ascii="Garamond" w:hAnsi="Garamond" w:cs="Times New Roman"/>
          <w:bCs/>
          <w:sz w:val="20"/>
          <w:szCs w:val="20"/>
        </w:rPr>
        <w:t>Ply2660</w:t>
      </w:r>
      <w:r w:rsidRPr="00785E9E">
        <w:rPr>
          <w:rFonts w:ascii="Garamond" w:hAnsi="Garamond" w:cs="Times New Roman"/>
          <w:sz w:val="20"/>
          <w:szCs w:val="20"/>
        </w:rPr>
        <w:t xml:space="preserve"> with the AMP </w:t>
      </w:r>
      <w:r w:rsidRPr="00785E9E">
        <w:rPr>
          <w:rFonts w:ascii="Garamond" w:hAnsi="Garamond" w:cs="Times New Roman"/>
          <w:bCs/>
          <w:sz w:val="20"/>
          <w:szCs w:val="20"/>
        </w:rPr>
        <w:t>LL-37</w:t>
      </w:r>
      <w:r w:rsidRPr="00785E9E">
        <w:rPr>
          <w:rFonts w:ascii="Garamond" w:hAnsi="Garamond" w:cs="Times New Roman"/>
          <w:sz w:val="20"/>
          <w:szCs w:val="20"/>
        </w:rPr>
        <w:t xml:space="preserve">, resulting in enhanced clearance of vancomycin-resistant </w:t>
      </w:r>
      <w:r w:rsidRPr="00785E9E">
        <w:rPr>
          <w:rFonts w:ascii="Garamond" w:hAnsi="Garamond" w:cs="Times New Roman"/>
          <w:i/>
          <w:iCs/>
          <w:sz w:val="20"/>
          <w:szCs w:val="20"/>
        </w:rPr>
        <w:t>Enterococcus faecalis</w:t>
      </w:r>
      <w:r w:rsidRPr="00785E9E">
        <w:rPr>
          <w:rFonts w:ascii="Garamond" w:hAnsi="Garamond" w:cs="Times New Roman"/>
          <w:sz w:val="20"/>
          <w:szCs w:val="20"/>
        </w:rPr>
        <w:t xml:space="preserve"> biofilms both in vitro and in murine infection models</w:t>
      </w:r>
      <w:r w:rsidR="00AC1900">
        <w:rPr>
          <w:rFonts w:ascii="Garamond" w:hAnsi="Garamond" w:cs="Times New Roman"/>
          <w:sz w:val="20"/>
          <w:szCs w:val="20"/>
        </w:rPr>
        <w:t>.</w:t>
      </w:r>
      <w:r w:rsidRPr="00AC1900">
        <w:rPr>
          <w:rFonts w:ascii="Garamond" w:hAnsi="Garamond" w:cs="Times New Roman"/>
          <w:sz w:val="20"/>
          <w:szCs w:val="20"/>
          <w:vertAlign w:val="superscript"/>
        </w:rPr>
        <w:t>38</w:t>
      </w:r>
      <w:r w:rsidRPr="00785E9E">
        <w:rPr>
          <w:rFonts w:ascii="Garamond" w:hAnsi="Garamond" w:cs="Times New Roman"/>
          <w:sz w:val="20"/>
          <w:szCs w:val="20"/>
        </w:rPr>
        <w:t xml:space="preserve"> These outcomes highlight the therapeutic promise of combining </w:t>
      </w:r>
      <w:r w:rsidRPr="00785E9E">
        <w:rPr>
          <w:rFonts w:ascii="Garamond" w:hAnsi="Garamond" w:cs="Times New Roman"/>
          <w:bCs/>
          <w:sz w:val="20"/>
          <w:szCs w:val="20"/>
        </w:rPr>
        <w:t>peptidoglycan-targeting enzymes</w:t>
      </w:r>
      <w:r w:rsidRPr="00785E9E">
        <w:rPr>
          <w:rFonts w:ascii="Garamond" w:hAnsi="Garamond" w:cs="Times New Roman"/>
          <w:sz w:val="20"/>
          <w:szCs w:val="20"/>
        </w:rPr>
        <w:t xml:space="preserve"> with membrane-disruptive AMPs to improve biofilm penetration and eradication.</w:t>
      </w:r>
    </w:p>
    <w:p w14:paraId="6F1F1D19" w14:textId="4838900D" w:rsidR="0020747B" w:rsidRDefault="00785E9E" w:rsidP="00785E9E">
      <w:pPr>
        <w:jc w:val="both"/>
        <w:rPr>
          <w:rFonts w:ascii="Garamond" w:hAnsi="Garamond" w:cs="Times New Roman"/>
          <w:sz w:val="20"/>
          <w:szCs w:val="20"/>
        </w:rPr>
      </w:pPr>
      <w:r w:rsidRPr="00785E9E">
        <w:rPr>
          <w:rFonts w:ascii="Garamond" w:hAnsi="Garamond" w:cs="Times New Roman"/>
          <w:sz w:val="20"/>
          <w:szCs w:val="20"/>
        </w:rPr>
        <w:t xml:space="preserve">In the case of </w:t>
      </w:r>
      <w:r w:rsidRPr="00785E9E">
        <w:rPr>
          <w:rFonts w:ascii="Garamond" w:hAnsi="Garamond" w:cs="Times New Roman"/>
          <w:i/>
          <w:iCs/>
          <w:sz w:val="20"/>
          <w:szCs w:val="20"/>
        </w:rPr>
        <w:t>A. baumannii</w:t>
      </w:r>
      <w:r w:rsidRPr="00785E9E">
        <w:rPr>
          <w:rFonts w:ascii="Garamond" w:hAnsi="Garamond" w:cs="Times New Roman"/>
          <w:sz w:val="20"/>
          <w:szCs w:val="20"/>
        </w:rPr>
        <w:t xml:space="preserve">, the endolysin </w:t>
      </w:r>
      <w:proofErr w:type="spellStart"/>
      <w:r w:rsidRPr="00785E9E">
        <w:rPr>
          <w:rFonts w:ascii="Garamond" w:hAnsi="Garamond" w:cs="Times New Roman"/>
          <w:bCs/>
          <w:sz w:val="20"/>
          <w:szCs w:val="20"/>
        </w:rPr>
        <w:t>Abtn</w:t>
      </w:r>
      <w:proofErr w:type="spellEnd"/>
      <w:r w:rsidRPr="00785E9E">
        <w:rPr>
          <w:rFonts w:ascii="Garamond" w:hAnsi="Garamond" w:cs="Times New Roman"/>
          <w:bCs/>
          <w:sz w:val="20"/>
          <w:szCs w:val="20"/>
        </w:rPr>
        <w:t xml:space="preserve"> 4</w:t>
      </w:r>
      <w:r w:rsidRPr="00785E9E">
        <w:rPr>
          <w:rFonts w:ascii="Garamond" w:hAnsi="Garamond" w:cs="Times New Roman"/>
          <w:sz w:val="20"/>
          <w:szCs w:val="20"/>
        </w:rPr>
        <w:t xml:space="preserve"> has been shown to inhibit biofilm formation by over 30% in vitro. At the same time, </w:t>
      </w:r>
      <w:r w:rsidRPr="00785E9E">
        <w:rPr>
          <w:rFonts w:ascii="Garamond" w:hAnsi="Garamond" w:cs="Times New Roman"/>
          <w:bCs/>
          <w:sz w:val="20"/>
          <w:szCs w:val="20"/>
        </w:rPr>
        <w:t>PlyF307</w:t>
      </w:r>
      <w:r w:rsidRPr="00785E9E">
        <w:rPr>
          <w:rFonts w:ascii="Garamond" w:hAnsi="Garamond" w:cs="Times New Roman"/>
          <w:sz w:val="20"/>
          <w:szCs w:val="20"/>
        </w:rPr>
        <w:t xml:space="preserve"> significantly reduced catheter-associated biofilms in mouse models, improving survival rates in treated animals</w:t>
      </w:r>
      <w:r w:rsidR="00AC1900">
        <w:rPr>
          <w:rFonts w:ascii="Garamond" w:hAnsi="Garamond" w:cs="Times New Roman"/>
          <w:sz w:val="20"/>
          <w:szCs w:val="20"/>
        </w:rPr>
        <w:t>.</w:t>
      </w:r>
      <w:r w:rsidRPr="00AC1900">
        <w:rPr>
          <w:rFonts w:ascii="Garamond" w:hAnsi="Garamond" w:cs="Times New Roman"/>
          <w:sz w:val="20"/>
          <w:szCs w:val="20"/>
          <w:vertAlign w:val="superscript"/>
        </w:rPr>
        <w:t>37</w:t>
      </w:r>
      <w:r w:rsidRPr="00785E9E">
        <w:rPr>
          <w:rFonts w:ascii="Garamond" w:hAnsi="Garamond" w:cs="Times New Roman"/>
          <w:sz w:val="20"/>
          <w:szCs w:val="20"/>
        </w:rPr>
        <w:t xml:space="preserve"> Moreover, engineered constructs such as </w:t>
      </w:r>
      <w:r w:rsidRPr="00785E9E">
        <w:rPr>
          <w:rFonts w:ascii="Garamond" w:hAnsi="Garamond" w:cs="Times New Roman"/>
          <w:bCs/>
          <w:sz w:val="20"/>
          <w:szCs w:val="20"/>
        </w:rPr>
        <w:t>LysKP213</w:t>
      </w:r>
      <w:r w:rsidRPr="00785E9E">
        <w:rPr>
          <w:rFonts w:ascii="Garamond" w:hAnsi="Garamond" w:cs="Times New Roman"/>
          <w:sz w:val="20"/>
          <w:szCs w:val="20"/>
        </w:rPr>
        <w:t xml:space="preserve">, when conjugated with </w:t>
      </w:r>
      <w:r w:rsidRPr="00785E9E">
        <w:rPr>
          <w:rFonts w:ascii="Garamond" w:hAnsi="Garamond" w:cs="Times New Roman"/>
          <w:bCs/>
          <w:sz w:val="20"/>
          <w:szCs w:val="20"/>
        </w:rPr>
        <w:t>membrane-</w:t>
      </w:r>
      <w:proofErr w:type="spellStart"/>
      <w:r w:rsidRPr="00785E9E">
        <w:rPr>
          <w:rFonts w:ascii="Garamond" w:hAnsi="Garamond" w:cs="Times New Roman"/>
          <w:bCs/>
          <w:sz w:val="20"/>
          <w:szCs w:val="20"/>
        </w:rPr>
        <w:t>permeabilising</w:t>
      </w:r>
      <w:proofErr w:type="spellEnd"/>
      <w:r w:rsidRPr="00785E9E">
        <w:rPr>
          <w:rFonts w:ascii="Garamond" w:hAnsi="Garamond" w:cs="Times New Roman"/>
          <w:bCs/>
          <w:sz w:val="20"/>
          <w:szCs w:val="20"/>
        </w:rPr>
        <w:t xml:space="preserve"> peptides, exhibited enhanced bactericidal activity against Gram-negative pathogens in both in vitro and in vivo settings</w:t>
      </w:r>
      <w:r w:rsidR="00AC1900">
        <w:rPr>
          <w:rFonts w:ascii="Garamond" w:hAnsi="Garamond" w:cs="Times New Roman"/>
          <w:bCs/>
          <w:sz w:val="20"/>
          <w:szCs w:val="20"/>
        </w:rPr>
        <w:t>.</w:t>
      </w:r>
      <w:r w:rsidRPr="00AC1900">
        <w:rPr>
          <w:rFonts w:ascii="Garamond" w:hAnsi="Garamond" w:cs="Times New Roman"/>
          <w:sz w:val="20"/>
          <w:szCs w:val="20"/>
          <w:vertAlign w:val="superscript"/>
        </w:rPr>
        <w:t>37</w:t>
      </w:r>
      <w:r w:rsidRPr="00785E9E">
        <w:rPr>
          <w:rFonts w:ascii="Garamond" w:hAnsi="Garamond" w:cs="Times New Roman"/>
          <w:sz w:val="20"/>
          <w:szCs w:val="20"/>
        </w:rPr>
        <w:t xml:space="preserve"> These hybrid constructs represent a promising avenue for AMP enzyme conjugate development.</w:t>
      </w:r>
    </w:p>
    <w:p w14:paraId="504D4D06" w14:textId="11F02B8D" w:rsidR="00785E9E" w:rsidRPr="00785E9E" w:rsidRDefault="00785E9E" w:rsidP="00785E9E">
      <w:pPr>
        <w:jc w:val="both"/>
        <w:rPr>
          <w:rFonts w:ascii="Garamond" w:hAnsi="Garamond" w:cs="Times New Roman"/>
          <w:sz w:val="20"/>
          <w:szCs w:val="20"/>
        </w:rPr>
      </w:pPr>
      <w:r w:rsidRPr="00785E9E">
        <w:rPr>
          <w:rFonts w:ascii="Garamond" w:hAnsi="Garamond" w:cs="Times New Roman"/>
          <w:sz w:val="20"/>
          <w:szCs w:val="20"/>
        </w:rPr>
        <w:t xml:space="preserve">Together, </w:t>
      </w:r>
      <w:r w:rsidRPr="00785E9E">
        <w:rPr>
          <w:rFonts w:ascii="Garamond" w:hAnsi="Garamond" w:cs="Times New Roman"/>
          <w:bCs/>
          <w:sz w:val="20"/>
          <w:szCs w:val="20"/>
        </w:rPr>
        <w:t>DNase and endolysins</w:t>
      </w:r>
      <w:r w:rsidRPr="00785E9E">
        <w:rPr>
          <w:rFonts w:ascii="Garamond" w:hAnsi="Garamond" w:cs="Times New Roman"/>
          <w:sz w:val="20"/>
          <w:szCs w:val="20"/>
        </w:rPr>
        <w:t xml:space="preserve"> act on distinct yet complementary biofilm components </w:t>
      </w:r>
      <w:r w:rsidRPr="00785E9E">
        <w:rPr>
          <w:rFonts w:ascii="Garamond" w:hAnsi="Garamond" w:cs="Times New Roman"/>
          <w:bCs/>
          <w:sz w:val="20"/>
          <w:szCs w:val="20"/>
        </w:rPr>
        <w:t>extracellular DNA (eDNA)</w:t>
      </w:r>
      <w:r w:rsidRPr="00785E9E">
        <w:rPr>
          <w:rFonts w:ascii="Garamond" w:hAnsi="Garamond" w:cs="Times New Roman"/>
          <w:sz w:val="20"/>
          <w:szCs w:val="20"/>
        </w:rPr>
        <w:t xml:space="preserve"> and </w:t>
      </w:r>
      <w:r w:rsidRPr="00785E9E">
        <w:rPr>
          <w:rFonts w:ascii="Garamond" w:hAnsi="Garamond" w:cs="Times New Roman"/>
          <w:bCs/>
          <w:sz w:val="20"/>
          <w:szCs w:val="20"/>
        </w:rPr>
        <w:t>peptidoglycan</w:t>
      </w:r>
      <w:r w:rsidRPr="00785E9E">
        <w:rPr>
          <w:rFonts w:ascii="Garamond" w:hAnsi="Garamond" w:cs="Times New Roman"/>
          <w:sz w:val="20"/>
          <w:szCs w:val="20"/>
        </w:rPr>
        <w:t xml:space="preserve">, respectively thereby creating access pathways for AMPs to reach embedded bacterial cells. This </w:t>
      </w:r>
      <w:r w:rsidRPr="00785E9E">
        <w:rPr>
          <w:rFonts w:ascii="Garamond" w:hAnsi="Garamond" w:cs="Times New Roman"/>
          <w:bCs/>
          <w:sz w:val="20"/>
          <w:szCs w:val="20"/>
        </w:rPr>
        <w:t>multi-targeted strategy</w:t>
      </w:r>
      <w:r w:rsidRPr="00785E9E">
        <w:rPr>
          <w:rFonts w:ascii="Garamond" w:hAnsi="Garamond" w:cs="Times New Roman"/>
          <w:sz w:val="20"/>
          <w:szCs w:val="20"/>
        </w:rPr>
        <w:t xml:space="preserve"> has the potential to significantly improve AMP penetration and potency within resilient biofilm matrices. Future research should prioritize the development and evaluation of </w:t>
      </w:r>
      <w:r w:rsidRPr="00785E9E">
        <w:rPr>
          <w:rFonts w:ascii="Garamond" w:hAnsi="Garamond" w:cs="Times New Roman"/>
          <w:bCs/>
          <w:sz w:val="20"/>
          <w:szCs w:val="20"/>
        </w:rPr>
        <w:t>AMP enzyme</w:t>
      </w:r>
      <w:r w:rsidRPr="00785E9E">
        <w:rPr>
          <w:rFonts w:ascii="Garamond" w:hAnsi="Garamond" w:cs="Times New Roman"/>
          <w:b/>
          <w:bCs/>
          <w:sz w:val="20"/>
          <w:szCs w:val="20"/>
        </w:rPr>
        <w:t xml:space="preserve"> </w:t>
      </w:r>
      <w:r w:rsidRPr="00785E9E">
        <w:rPr>
          <w:rFonts w:ascii="Garamond" w:hAnsi="Garamond" w:cs="Times New Roman"/>
          <w:bCs/>
          <w:sz w:val="20"/>
          <w:szCs w:val="20"/>
        </w:rPr>
        <w:t>co-formulations</w:t>
      </w:r>
      <w:r w:rsidRPr="00785E9E">
        <w:rPr>
          <w:rFonts w:ascii="Garamond" w:hAnsi="Garamond" w:cs="Times New Roman"/>
          <w:sz w:val="20"/>
          <w:szCs w:val="20"/>
        </w:rPr>
        <w:t xml:space="preserve">, particularly against persistent </w:t>
      </w:r>
      <w:r w:rsidRPr="00785E9E">
        <w:rPr>
          <w:rFonts w:ascii="Garamond" w:hAnsi="Garamond" w:cs="Times New Roman"/>
          <w:i/>
          <w:iCs/>
          <w:sz w:val="20"/>
          <w:szCs w:val="20"/>
        </w:rPr>
        <w:t>A. baumannii</w:t>
      </w:r>
      <w:r w:rsidRPr="00785E9E">
        <w:rPr>
          <w:rFonts w:ascii="Garamond" w:hAnsi="Garamond" w:cs="Times New Roman"/>
          <w:sz w:val="20"/>
          <w:szCs w:val="20"/>
        </w:rPr>
        <w:t xml:space="preserve"> biofilms</w:t>
      </w:r>
      <w:r w:rsidR="00AC1900">
        <w:rPr>
          <w:rFonts w:ascii="Garamond" w:hAnsi="Garamond" w:cs="Times New Roman"/>
          <w:sz w:val="20"/>
          <w:szCs w:val="20"/>
        </w:rPr>
        <w:t>.</w:t>
      </w:r>
      <w:r w:rsidRPr="00AC1900">
        <w:rPr>
          <w:rFonts w:ascii="Garamond" w:hAnsi="Garamond" w:cs="Times New Roman"/>
          <w:sz w:val="20"/>
          <w:szCs w:val="20"/>
          <w:vertAlign w:val="superscript"/>
        </w:rPr>
        <w:t>39</w:t>
      </w:r>
      <w:r w:rsidRPr="00785E9E">
        <w:rPr>
          <w:rFonts w:ascii="Garamond" w:hAnsi="Garamond" w:cs="Times New Roman"/>
          <w:sz w:val="20"/>
          <w:szCs w:val="20"/>
        </w:rPr>
        <w:t xml:space="preserve"> By combining </w:t>
      </w:r>
      <w:r w:rsidRPr="00785E9E">
        <w:rPr>
          <w:rFonts w:ascii="Garamond" w:hAnsi="Garamond" w:cs="Times New Roman"/>
          <w:bCs/>
          <w:sz w:val="20"/>
          <w:szCs w:val="20"/>
        </w:rPr>
        <w:t>targeted enzymatic</w:t>
      </w:r>
      <w:r w:rsidRPr="00785E9E">
        <w:rPr>
          <w:rFonts w:ascii="Garamond" w:hAnsi="Garamond" w:cs="Times New Roman"/>
          <w:b/>
          <w:bCs/>
          <w:sz w:val="20"/>
          <w:szCs w:val="20"/>
        </w:rPr>
        <w:t xml:space="preserve"> </w:t>
      </w:r>
      <w:r w:rsidRPr="00785E9E">
        <w:rPr>
          <w:rFonts w:ascii="Garamond" w:hAnsi="Garamond" w:cs="Times New Roman"/>
          <w:bCs/>
          <w:sz w:val="20"/>
          <w:szCs w:val="20"/>
        </w:rPr>
        <w:t>degradation</w:t>
      </w:r>
      <w:r w:rsidRPr="00785E9E">
        <w:rPr>
          <w:rFonts w:ascii="Garamond" w:hAnsi="Garamond" w:cs="Times New Roman"/>
          <w:sz w:val="20"/>
          <w:szCs w:val="20"/>
        </w:rPr>
        <w:t xml:space="preserve"> with </w:t>
      </w:r>
      <w:r w:rsidRPr="00785E9E">
        <w:rPr>
          <w:rFonts w:ascii="Garamond" w:hAnsi="Garamond" w:cs="Times New Roman"/>
          <w:bCs/>
          <w:sz w:val="20"/>
          <w:szCs w:val="20"/>
        </w:rPr>
        <w:t>membrane-active peptides</w:t>
      </w:r>
      <w:r w:rsidRPr="00785E9E">
        <w:rPr>
          <w:rFonts w:ascii="Garamond" w:hAnsi="Garamond" w:cs="Times New Roman"/>
          <w:sz w:val="20"/>
          <w:szCs w:val="20"/>
        </w:rPr>
        <w:t>, such integrated approaches may offer a robust and scalable solution for treating recalcitrant biofilm-associated infections.</w:t>
      </w:r>
    </w:p>
    <w:p w14:paraId="24F40F3E" w14:textId="77777777" w:rsidR="00785E9E" w:rsidRDefault="00785E9E" w:rsidP="00785E9E">
      <w:pPr>
        <w:jc w:val="both"/>
        <w:rPr>
          <w:rFonts w:ascii="Garamond" w:hAnsi="Garamond" w:cs="Times New Roman"/>
          <w:b/>
          <w:bCs/>
          <w:sz w:val="20"/>
          <w:szCs w:val="20"/>
        </w:rPr>
      </w:pPr>
    </w:p>
    <w:p w14:paraId="757134C0" w14:textId="77777777" w:rsidR="00AC1900" w:rsidRDefault="00AC1900" w:rsidP="00785E9E">
      <w:pPr>
        <w:jc w:val="both"/>
        <w:rPr>
          <w:rFonts w:ascii="Garamond" w:hAnsi="Garamond" w:cs="Times New Roman"/>
          <w:b/>
          <w:bCs/>
          <w:sz w:val="20"/>
          <w:szCs w:val="20"/>
        </w:rPr>
      </w:pPr>
    </w:p>
    <w:p w14:paraId="3F0D67FA" w14:textId="77777777" w:rsidR="00AC1900" w:rsidRDefault="00AC1900" w:rsidP="00785E9E">
      <w:pPr>
        <w:jc w:val="both"/>
        <w:rPr>
          <w:rFonts w:ascii="Garamond" w:hAnsi="Garamond" w:cs="Times New Roman"/>
          <w:b/>
          <w:bCs/>
          <w:sz w:val="20"/>
          <w:szCs w:val="20"/>
        </w:rPr>
      </w:pPr>
    </w:p>
    <w:p w14:paraId="4090C0F6" w14:textId="13019713" w:rsidR="00785E9E" w:rsidRPr="00785E9E" w:rsidRDefault="00785E9E" w:rsidP="00785E9E">
      <w:pPr>
        <w:jc w:val="both"/>
        <w:rPr>
          <w:rFonts w:ascii="Garamond" w:hAnsi="Garamond" w:cs="Times New Roman"/>
          <w:b/>
          <w:bCs/>
          <w:sz w:val="20"/>
          <w:szCs w:val="20"/>
        </w:rPr>
      </w:pPr>
      <w:r w:rsidRPr="00785E9E">
        <w:rPr>
          <w:rFonts w:ascii="Garamond" w:hAnsi="Garamond" w:cs="Times New Roman"/>
          <w:b/>
          <w:bCs/>
          <w:sz w:val="20"/>
          <w:szCs w:val="20"/>
        </w:rPr>
        <w:lastRenderedPageBreak/>
        <w:t xml:space="preserve">Challenges and limitations </w:t>
      </w:r>
    </w:p>
    <w:p w14:paraId="1AC6EF49" w14:textId="4B5B9C26" w:rsidR="00785E9E" w:rsidRPr="00AC1900" w:rsidRDefault="00785E9E" w:rsidP="00785E9E">
      <w:pPr>
        <w:jc w:val="both"/>
        <w:rPr>
          <w:rFonts w:ascii="Garamond" w:hAnsi="Garamond" w:cs="Times New Roman"/>
          <w:sz w:val="20"/>
          <w:szCs w:val="20"/>
        </w:rPr>
      </w:pPr>
      <w:r w:rsidRPr="00785E9E">
        <w:rPr>
          <w:rFonts w:ascii="Garamond" w:hAnsi="Garamond" w:cs="Times New Roman"/>
          <w:sz w:val="20"/>
          <w:szCs w:val="20"/>
        </w:rPr>
        <w:t xml:space="preserve">Despite antimicrobial peptides' ability to kill bacteria and disrupt the formation of biofilm, many challenges have hindered their usage in clinical settings, especially against notorious multidrug-resistant ESKAPE pathogens like </w:t>
      </w:r>
      <w:r w:rsidRPr="00785E9E">
        <w:rPr>
          <w:rFonts w:ascii="Garamond" w:hAnsi="Garamond" w:cs="Times New Roman"/>
          <w:i/>
          <w:sz w:val="20"/>
          <w:szCs w:val="20"/>
        </w:rPr>
        <w:t xml:space="preserve">A. baumannii. </w:t>
      </w:r>
      <w:r w:rsidRPr="00785E9E">
        <w:rPr>
          <w:rFonts w:ascii="Garamond" w:hAnsi="Garamond" w:cs="Times New Roman"/>
          <w:sz w:val="20"/>
          <w:szCs w:val="20"/>
        </w:rPr>
        <w:t>The major challenges include the low stability; the emergence of resistance mechanisms, high concentration of these peptides can damage human cells, poor targeting, especially in a deeper tissue infection</w:t>
      </w:r>
      <w:r w:rsidR="00AC1900">
        <w:rPr>
          <w:rFonts w:ascii="Garamond" w:hAnsi="Garamond" w:cs="Times New Roman"/>
          <w:sz w:val="20"/>
          <w:szCs w:val="20"/>
        </w:rPr>
        <w:t>.</w:t>
      </w:r>
      <w:r w:rsidRPr="00AC1900">
        <w:rPr>
          <w:rFonts w:ascii="Garamond" w:hAnsi="Garamond" w:cs="Times New Roman"/>
          <w:sz w:val="20"/>
          <w:szCs w:val="20"/>
          <w:vertAlign w:val="superscript"/>
        </w:rPr>
        <w:t>8, 30, 25, 28</w:t>
      </w:r>
      <w:r w:rsidRPr="00785E9E">
        <w:rPr>
          <w:rFonts w:ascii="Garamond" w:hAnsi="Garamond" w:cs="Times New Roman"/>
          <w:bCs/>
          <w:sz w:val="20"/>
          <w:szCs w:val="20"/>
        </w:rPr>
        <w:t xml:space="preserve"> </w:t>
      </w:r>
      <w:r w:rsidRPr="00785E9E">
        <w:rPr>
          <w:rFonts w:ascii="Garamond" w:hAnsi="Garamond" w:cs="Times New Roman"/>
          <w:sz w:val="20"/>
          <w:szCs w:val="20"/>
        </w:rPr>
        <w:t xml:space="preserve">One of the major challenges with antimicrobial peptides is the risk of developing resistance, although they are less likely to drive resistance compared to traditional antibiotics, mainly because that target bacterial membrane cells  in non-specific and broad ways, but research has it that some bacteria will adapt over time and develop resistance, for example gram-negative bacteria such as </w:t>
      </w:r>
      <w:r w:rsidRPr="00785E9E">
        <w:rPr>
          <w:rFonts w:ascii="Garamond" w:hAnsi="Garamond" w:cs="Times New Roman"/>
          <w:i/>
          <w:iCs/>
          <w:sz w:val="20"/>
          <w:szCs w:val="20"/>
        </w:rPr>
        <w:t>Acinetobacter baumannii</w:t>
      </w:r>
      <w:r w:rsidRPr="00785E9E">
        <w:rPr>
          <w:rFonts w:ascii="Garamond" w:hAnsi="Garamond" w:cs="Times New Roman"/>
          <w:sz w:val="20"/>
          <w:szCs w:val="20"/>
        </w:rPr>
        <w:t xml:space="preserve"> can alter the composition of its outer membrane especially the lipid A moiety of its lipopolysaccharides (LPS) to decrease the affinity and binding efficiency of antimicrobial peptides (AMPs)</w:t>
      </w:r>
      <w:r w:rsidR="00AC1900">
        <w:rPr>
          <w:rFonts w:ascii="Garamond" w:hAnsi="Garamond" w:cs="Times New Roman"/>
          <w:sz w:val="20"/>
          <w:szCs w:val="20"/>
        </w:rPr>
        <w:t>.</w:t>
      </w:r>
      <w:r w:rsidRPr="00AC1900">
        <w:rPr>
          <w:rFonts w:ascii="Garamond" w:hAnsi="Garamond" w:cs="Times New Roman"/>
          <w:sz w:val="20"/>
          <w:szCs w:val="20"/>
          <w:vertAlign w:val="superscript"/>
        </w:rPr>
        <w:t>40</w:t>
      </w:r>
      <w:r w:rsidRPr="00785E9E">
        <w:rPr>
          <w:rFonts w:ascii="Garamond" w:hAnsi="Garamond" w:cs="Times New Roman"/>
          <w:sz w:val="20"/>
          <w:szCs w:val="20"/>
        </w:rPr>
        <w:t xml:space="preserve"> Moreover, bacteria have two important </w:t>
      </w:r>
      <w:proofErr w:type="spellStart"/>
      <w:r w:rsidRPr="00785E9E">
        <w:rPr>
          <w:rFonts w:ascii="Garamond" w:hAnsi="Garamond" w:cs="Times New Roman"/>
          <w:sz w:val="20"/>
          <w:szCs w:val="20"/>
        </w:rPr>
        <w:t>defence</w:t>
      </w:r>
      <w:proofErr w:type="spellEnd"/>
      <w:r w:rsidRPr="00785E9E">
        <w:rPr>
          <w:rFonts w:ascii="Garamond" w:hAnsi="Garamond" w:cs="Times New Roman"/>
          <w:sz w:val="20"/>
          <w:szCs w:val="20"/>
        </w:rPr>
        <w:t xml:space="preserve"> mechanisms, such as efflux pumps and proteolytic enzymes that reduce the effectiveness of antimicrobial peptides</w:t>
      </w:r>
      <w:r w:rsidR="00AC1900">
        <w:rPr>
          <w:rFonts w:ascii="Garamond" w:hAnsi="Garamond" w:cs="Times New Roman"/>
          <w:sz w:val="20"/>
          <w:szCs w:val="20"/>
        </w:rPr>
        <w:t>.</w:t>
      </w:r>
      <w:r w:rsidRPr="00AC1900">
        <w:rPr>
          <w:rFonts w:ascii="Garamond" w:hAnsi="Garamond" w:cs="Times New Roman"/>
          <w:sz w:val="20"/>
          <w:szCs w:val="20"/>
          <w:vertAlign w:val="superscript"/>
        </w:rPr>
        <w:t>24</w:t>
      </w:r>
    </w:p>
    <w:p w14:paraId="7F71A75D" w14:textId="0755BDF2" w:rsidR="00785E9E" w:rsidRPr="00AC1900" w:rsidRDefault="00785E9E" w:rsidP="00785E9E">
      <w:pPr>
        <w:jc w:val="both"/>
        <w:rPr>
          <w:rFonts w:ascii="Garamond" w:hAnsi="Garamond" w:cs="Times New Roman"/>
          <w:b/>
          <w:sz w:val="20"/>
          <w:szCs w:val="20"/>
        </w:rPr>
      </w:pPr>
      <w:r w:rsidRPr="00785E9E">
        <w:rPr>
          <w:rFonts w:ascii="Garamond" w:hAnsi="Garamond" w:cs="Times New Roman"/>
          <w:b/>
          <w:i/>
          <w:sz w:val="20"/>
          <w:szCs w:val="20"/>
        </w:rPr>
        <w:t>Instability of antimicrobial peptides</w:t>
      </w:r>
      <w:r w:rsidR="00AC1900">
        <w:rPr>
          <w:rFonts w:ascii="Garamond" w:hAnsi="Garamond" w:cs="Times New Roman"/>
          <w:b/>
          <w:i/>
          <w:sz w:val="20"/>
          <w:szCs w:val="20"/>
        </w:rPr>
        <w:t xml:space="preserve">: </w:t>
      </w:r>
      <w:r w:rsidRPr="00785E9E">
        <w:rPr>
          <w:rFonts w:ascii="Garamond" w:hAnsi="Garamond" w:cs="Times New Roman"/>
          <w:sz w:val="20"/>
          <w:szCs w:val="20"/>
        </w:rPr>
        <w:t>Another challenge is the limited stability of antimicrobial peptides after administration. Naturally occurring peptides are prone to rapid degradation by proteolytic enzymes present in the bloodstream and tissues. Enzymes such as trypsin and chymotrypsin can quickly break down antimicrobial peptides (AMPs), leading to a reduced half-life and limited bioavailability</w:t>
      </w:r>
      <w:r w:rsidR="00AC1900">
        <w:rPr>
          <w:rFonts w:ascii="Garamond" w:hAnsi="Garamond" w:cs="Times New Roman"/>
          <w:sz w:val="20"/>
          <w:szCs w:val="20"/>
        </w:rPr>
        <w:t>.</w:t>
      </w:r>
      <w:r w:rsidRPr="00AC1900">
        <w:rPr>
          <w:rFonts w:ascii="Garamond" w:hAnsi="Garamond" w:cs="Times New Roman"/>
          <w:sz w:val="20"/>
          <w:szCs w:val="20"/>
          <w:vertAlign w:val="superscript"/>
        </w:rPr>
        <w:t>30</w:t>
      </w:r>
      <w:r w:rsidRPr="00785E9E">
        <w:rPr>
          <w:rFonts w:ascii="Garamond" w:hAnsi="Garamond" w:cs="Times New Roman"/>
          <w:sz w:val="20"/>
          <w:szCs w:val="20"/>
        </w:rPr>
        <w:t xml:space="preserve"> Consequently, unmodified AMPs often show diminished efficacy in treating systemic infections. To address this limitation, several synthetic strategies including the incorporation of D-amino acids, peptide cyclization, and the introduction of non-natural amino acid residues have been explored. However, these modifications can be costly and may alter biological activity or trigger unintended immune responses</w:t>
      </w:r>
      <w:r w:rsidR="00AC1900">
        <w:rPr>
          <w:rFonts w:ascii="Garamond" w:hAnsi="Garamond" w:cs="Times New Roman"/>
          <w:sz w:val="20"/>
          <w:szCs w:val="20"/>
        </w:rPr>
        <w:t>.</w:t>
      </w:r>
      <w:r w:rsidRPr="00AC1900">
        <w:rPr>
          <w:rFonts w:ascii="Garamond" w:hAnsi="Garamond" w:cs="Times New Roman"/>
          <w:sz w:val="20"/>
          <w:szCs w:val="20"/>
          <w:vertAlign w:val="superscript"/>
        </w:rPr>
        <w:t>30</w:t>
      </w:r>
    </w:p>
    <w:p w14:paraId="71E7D192" w14:textId="461B4BA7" w:rsidR="00785E9E" w:rsidRPr="00AC1900" w:rsidRDefault="00785E9E" w:rsidP="00785E9E">
      <w:pPr>
        <w:jc w:val="both"/>
        <w:rPr>
          <w:rFonts w:ascii="Garamond" w:hAnsi="Garamond" w:cs="Times New Roman"/>
          <w:sz w:val="20"/>
          <w:szCs w:val="20"/>
        </w:rPr>
      </w:pPr>
      <w:r w:rsidRPr="00785E9E">
        <w:rPr>
          <w:rFonts w:ascii="Garamond" w:hAnsi="Garamond" w:cs="Times New Roman"/>
          <w:b/>
          <w:i/>
          <w:sz w:val="20"/>
          <w:szCs w:val="20"/>
        </w:rPr>
        <w:t>Toxicity of AMPs</w:t>
      </w:r>
      <w:r w:rsidR="00AC1900">
        <w:rPr>
          <w:rFonts w:ascii="Garamond" w:hAnsi="Garamond" w:cs="Times New Roman"/>
          <w:b/>
          <w:i/>
          <w:sz w:val="20"/>
          <w:szCs w:val="20"/>
        </w:rPr>
        <w:t xml:space="preserve">: </w:t>
      </w:r>
      <w:r w:rsidRPr="00785E9E">
        <w:rPr>
          <w:rFonts w:ascii="Garamond" w:hAnsi="Garamond" w:cs="Times New Roman"/>
          <w:sz w:val="20"/>
          <w:szCs w:val="20"/>
        </w:rPr>
        <w:t>A critical limitation of AMP application is potential cytotoxicity toward human cells. Although AMPs are designed to disrupt bacterial membranes, they may also affect host cell membranes, particularly at high doses. This can result in damage to immune and epithelial cells, as well as hemolysis</w:t>
      </w:r>
      <w:r w:rsidR="00AC1900">
        <w:rPr>
          <w:rFonts w:ascii="Garamond" w:hAnsi="Garamond" w:cs="Times New Roman"/>
          <w:sz w:val="20"/>
          <w:szCs w:val="20"/>
        </w:rPr>
        <w:t>.</w:t>
      </w:r>
      <w:r w:rsidRPr="00AC1900">
        <w:rPr>
          <w:rFonts w:ascii="Garamond" w:hAnsi="Garamond" w:cs="Times New Roman"/>
          <w:sz w:val="20"/>
          <w:szCs w:val="20"/>
          <w:vertAlign w:val="superscript"/>
        </w:rPr>
        <w:t>25</w:t>
      </w:r>
      <w:r w:rsidRPr="00785E9E">
        <w:rPr>
          <w:rFonts w:ascii="Garamond" w:hAnsi="Garamond" w:cs="Times New Roman"/>
          <w:sz w:val="20"/>
          <w:szCs w:val="20"/>
        </w:rPr>
        <w:t xml:space="preserve"> Achieving selective targeting of microbial pathogens while minimizing host cell toxicity remains a major challenge for therapeutic AMP use.</w:t>
      </w:r>
    </w:p>
    <w:p w14:paraId="2BCDB8BB" w14:textId="1D351965" w:rsidR="00785E9E" w:rsidRPr="00685E69" w:rsidRDefault="00785E9E" w:rsidP="00785E9E">
      <w:pPr>
        <w:jc w:val="both"/>
        <w:rPr>
          <w:rFonts w:ascii="Garamond" w:hAnsi="Garamond" w:cs="Times New Roman"/>
          <w:sz w:val="20"/>
          <w:szCs w:val="20"/>
        </w:rPr>
      </w:pPr>
      <w:r w:rsidRPr="00AC1900">
        <w:rPr>
          <w:rFonts w:ascii="Garamond" w:hAnsi="Garamond" w:cs="Times New Roman"/>
          <w:b/>
          <w:i/>
          <w:sz w:val="20"/>
          <w:szCs w:val="20"/>
        </w:rPr>
        <w:t>In</w:t>
      </w:r>
      <w:r w:rsidRPr="00AC1900">
        <w:rPr>
          <w:rFonts w:ascii="Garamond" w:hAnsi="Garamond" w:cs="Times New Roman"/>
          <w:b/>
          <w:bCs/>
          <w:i/>
          <w:sz w:val="20"/>
          <w:szCs w:val="20"/>
        </w:rPr>
        <w:t>effective AMPs cellular penetration</w:t>
      </w:r>
      <w:r w:rsidR="00AC1900" w:rsidRPr="00AC1900">
        <w:rPr>
          <w:rFonts w:ascii="Garamond" w:hAnsi="Garamond" w:cs="Times New Roman"/>
          <w:b/>
          <w:bCs/>
          <w:i/>
          <w:sz w:val="20"/>
          <w:szCs w:val="20"/>
        </w:rPr>
        <w:t xml:space="preserve">: </w:t>
      </w:r>
      <w:r w:rsidRPr="00785E9E">
        <w:rPr>
          <w:rFonts w:ascii="Garamond" w:hAnsi="Garamond" w:cs="Times New Roman"/>
          <w:sz w:val="20"/>
          <w:szCs w:val="20"/>
        </w:rPr>
        <w:t xml:space="preserve">Biofilms are complex communities of microorganisms encased in a dense matrix of extracellular polymeric substances (EPS), including proteins, polysaccharides, and </w:t>
      </w:r>
      <w:r w:rsidRPr="00785E9E">
        <w:rPr>
          <w:rFonts w:ascii="Garamond" w:hAnsi="Garamond" w:cs="Times New Roman"/>
          <w:sz w:val="20"/>
          <w:szCs w:val="20"/>
        </w:rPr>
        <w:t>extracellular DNA, which make it difficult for AMPs to penetrate when used alone. The biofilm can act as both physical shields and chemical traps. AMPs administered systemically may be rapidly cleared before reaching the infection site, and they can be degraded by enzymes, which alter the effectiveness of AMPs against biofilm</w:t>
      </w:r>
      <w:r w:rsidR="00AC1900">
        <w:rPr>
          <w:rFonts w:ascii="Garamond" w:hAnsi="Garamond" w:cs="Times New Roman"/>
          <w:sz w:val="20"/>
          <w:szCs w:val="20"/>
        </w:rPr>
        <w:t>.</w:t>
      </w:r>
      <w:r w:rsidRPr="00AC1900">
        <w:rPr>
          <w:rFonts w:ascii="Garamond" w:hAnsi="Garamond" w:cs="Times New Roman"/>
          <w:sz w:val="20"/>
          <w:szCs w:val="20"/>
          <w:vertAlign w:val="superscript"/>
        </w:rPr>
        <w:t>41</w:t>
      </w:r>
      <w:r w:rsidRPr="00785E9E">
        <w:rPr>
          <w:rFonts w:ascii="Garamond" w:hAnsi="Garamond" w:cs="Times New Roman"/>
          <w:sz w:val="20"/>
          <w:szCs w:val="20"/>
        </w:rPr>
        <w:t xml:space="preserve"> </w:t>
      </w:r>
      <w:r w:rsidRPr="00785E9E">
        <w:rPr>
          <w:rFonts w:ascii="Garamond" w:hAnsi="Garamond" w:cs="Times New Roman"/>
          <w:bCs/>
          <w:sz w:val="20"/>
          <w:szCs w:val="20"/>
        </w:rPr>
        <w:t>Localized delivery methods</w:t>
      </w:r>
      <w:r w:rsidRPr="00785E9E">
        <w:rPr>
          <w:rFonts w:ascii="Garamond" w:hAnsi="Garamond" w:cs="Times New Roman"/>
          <w:sz w:val="20"/>
          <w:szCs w:val="20"/>
        </w:rPr>
        <w:t xml:space="preserve"> such as </w:t>
      </w:r>
      <w:r w:rsidRPr="00785E9E">
        <w:rPr>
          <w:rFonts w:ascii="Garamond" w:hAnsi="Garamond" w:cs="Times New Roman"/>
          <w:bCs/>
          <w:sz w:val="20"/>
          <w:szCs w:val="20"/>
        </w:rPr>
        <w:t>hydrogels</w:t>
      </w:r>
      <w:r w:rsidRPr="00785E9E">
        <w:rPr>
          <w:rFonts w:ascii="Garamond" w:hAnsi="Garamond" w:cs="Times New Roman"/>
          <w:sz w:val="20"/>
          <w:szCs w:val="20"/>
        </w:rPr>
        <w:t xml:space="preserve">, </w:t>
      </w:r>
      <w:r w:rsidRPr="00785E9E">
        <w:rPr>
          <w:rFonts w:ascii="Garamond" w:hAnsi="Garamond" w:cs="Times New Roman"/>
          <w:bCs/>
          <w:sz w:val="20"/>
          <w:szCs w:val="20"/>
        </w:rPr>
        <w:t>nanoparticles</w:t>
      </w:r>
      <w:r w:rsidRPr="00785E9E">
        <w:rPr>
          <w:rFonts w:ascii="Garamond" w:hAnsi="Garamond" w:cs="Times New Roman"/>
          <w:sz w:val="20"/>
          <w:szCs w:val="20"/>
        </w:rPr>
        <w:t xml:space="preserve">, and </w:t>
      </w:r>
      <w:r w:rsidRPr="00785E9E">
        <w:rPr>
          <w:rFonts w:ascii="Garamond" w:hAnsi="Garamond" w:cs="Times New Roman"/>
          <w:bCs/>
          <w:sz w:val="20"/>
          <w:szCs w:val="20"/>
        </w:rPr>
        <w:t>catheter coatings</w:t>
      </w:r>
      <w:r w:rsidRPr="00785E9E">
        <w:rPr>
          <w:rFonts w:ascii="Garamond" w:hAnsi="Garamond" w:cs="Times New Roman"/>
          <w:sz w:val="20"/>
          <w:szCs w:val="20"/>
        </w:rPr>
        <w:t xml:space="preserve"> are being developed to </w:t>
      </w:r>
      <w:r w:rsidRPr="00785E9E">
        <w:rPr>
          <w:rFonts w:ascii="Garamond" w:hAnsi="Garamond" w:cs="Times New Roman"/>
          <w:bCs/>
          <w:sz w:val="20"/>
          <w:szCs w:val="20"/>
        </w:rPr>
        <w:t>concentrate antimicrobial peptides (AMPs)</w:t>
      </w:r>
      <w:r w:rsidRPr="00785E9E">
        <w:rPr>
          <w:rFonts w:ascii="Garamond" w:hAnsi="Garamond" w:cs="Times New Roman"/>
          <w:sz w:val="20"/>
          <w:szCs w:val="20"/>
        </w:rPr>
        <w:t xml:space="preserve"> directly at infection sites. The goal of these strategies is to </w:t>
      </w:r>
      <w:r w:rsidRPr="00785E9E">
        <w:rPr>
          <w:rFonts w:ascii="Garamond" w:hAnsi="Garamond" w:cs="Times New Roman"/>
          <w:bCs/>
          <w:sz w:val="20"/>
          <w:szCs w:val="20"/>
        </w:rPr>
        <w:t>maximize the antimicrobial effect</w:t>
      </w:r>
      <w:r w:rsidRPr="00785E9E">
        <w:rPr>
          <w:rFonts w:ascii="Garamond" w:hAnsi="Garamond" w:cs="Times New Roman"/>
          <w:sz w:val="20"/>
          <w:szCs w:val="20"/>
        </w:rPr>
        <w:t xml:space="preserve"> where it's needed most, while</w:t>
      </w:r>
      <w:r w:rsidRPr="00785E9E">
        <w:rPr>
          <w:rFonts w:ascii="Garamond" w:hAnsi="Garamond" w:cs="Times New Roman"/>
          <w:b/>
          <w:sz w:val="20"/>
          <w:szCs w:val="20"/>
        </w:rPr>
        <w:t xml:space="preserve"> </w:t>
      </w:r>
      <w:r w:rsidRPr="00785E9E">
        <w:rPr>
          <w:rFonts w:ascii="Garamond" w:hAnsi="Garamond" w:cs="Times New Roman"/>
          <w:bCs/>
          <w:sz w:val="20"/>
          <w:szCs w:val="20"/>
        </w:rPr>
        <w:t>minimizing systemic side effects</w:t>
      </w:r>
      <w:r w:rsidRPr="00785E9E">
        <w:rPr>
          <w:rFonts w:ascii="Garamond" w:hAnsi="Garamond" w:cs="Times New Roman"/>
          <w:sz w:val="20"/>
          <w:szCs w:val="20"/>
        </w:rPr>
        <w:t xml:space="preserve"> and degradation of AMPs in the bloodstream</w:t>
      </w:r>
      <w:r w:rsidR="00AC1900">
        <w:rPr>
          <w:rFonts w:ascii="Garamond" w:hAnsi="Garamond" w:cs="Times New Roman"/>
          <w:sz w:val="20"/>
          <w:szCs w:val="20"/>
        </w:rPr>
        <w:t>.</w:t>
      </w:r>
      <w:proofErr w:type="gramStart"/>
      <w:r w:rsidRPr="00AC1900">
        <w:rPr>
          <w:rFonts w:ascii="Garamond" w:hAnsi="Garamond" w:cs="Times New Roman"/>
          <w:sz w:val="20"/>
          <w:szCs w:val="20"/>
          <w:vertAlign w:val="superscript"/>
        </w:rPr>
        <w:t>28</w:t>
      </w:r>
      <w:r w:rsidRPr="00785E9E">
        <w:rPr>
          <w:rFonts w:ascii="Garamond" w:hAnsi="Garamond" w:cs="Times New Roman"/>
          <w:sz w:val="20"/>
          <w:szCs w:val="20"/>
        </w:rPr>
        <w:t xml:space="preserve">  However</w:t>
      </w:r>
      <w:proofErr w:type="gramEnd"/>
      <w:r w:rsidRPr="00785E9E">
        <w:rPr>
          <w:rFonts w:ascii="Garamond" w:hAnsi="Garamond" w:cs="Times New Roman"/>
          <w:sz w:val="20"/>
          <w:szCs w:val="20"/>
        </w:rPr>
        <w:t xml:space="preserve">, despite their delivery potential, the formulation often requires rigorous processes such as responsive release mechanisms and chemical modification. They must also undergo safety testing and efficacy testing to gain regulatory approval, which slows the transition from laboratory to healthcare </w:t>
      </w:r>
      <w:proofErr w:type="spellStart"/>
      <w:r w:rsidRPr="00785E9E">
        <w:rPr>
          <w:rFonts w:ascii="Garamond" w:hAnsi="Garamond" w:cs="Times New Roman"/>
          <w:sz w:val="20"/>
          <w:szCs w:val="20"/>
        </w:rPr>
        <w:t>centre</w:t>
      </w:r>
      <w:proofErr w:type="spellEnd"/>
      <w:r w:rsidRPr="00785E9E">
        <w:rPr>
          <w:rFonts w:ascii="Garamond" w:hAnsi="Garamond" w:cs="Times New Roman"/>
          <w:sz w:val="20"/>
          <w:szCs w:val="20"/>
        </w:rPr>
        <w:t>.</w:t>
      </w:r>
    </w:p>
    <w:p w14:paraId="5EC6460B" w14:textId="77777777" w:rsidR="00685E69" w:rsidRDefault="00685E69" w:rsidP="00785E9E">
      <w:pPr>
        <w:jc w:val="both"/>
        <w:rPr>
          <w:rFonts w:ascii="Garamond" w:hAnsi="Garamond" w:cs="Times New Roman"/>
          <w:b/>
          <w:bCs/>
          <w:sz w:val="20"/>
          <w:szCs w:val="20"/>
        </w:rPr>
      </w:pPr>
    </w:p>
    <w:p w14:paraId="29625F03" w14:textId="191BE8FF" w:rsidR="00785E9E" w:rsidRPr="00785E9E" w:rsidRDefault="00785E9E" w:rsidP="00785E9E">
      <w:pPr>
        <w:jc w:val="both"/>
        <w:rPr>
          <w:rFonts w:ascii="Garamond" w:hAnsi="Garamond" w:cs="Times New Roman"/>
          <w:bCs/>
          <w:sz w:val="20"/>
          <w:szCs w:val="20"/>
        </w:rPr>
      </w:pPr>
      <w:r w:rsidRPr="00785E9E">
        <w:rPr>
          <w:rFonts w:ascii="Garamond" w:hAnsi="Garamond" w:cs="Times New Roman"/>
          <w:b/>
          <w:bCs/>
          <w:sz w:val="20"/>
          <w:szCs w:val="20"/>
        </w:rPr>
        <w:t>Future prospects</w:t>
      </w:r>
    </w:p>
    <w:p w14:paraId="34A463A1" w14:textId="7779F1CE" w:rsidR="00785E9E" w:rsidRPr="00685E69" w:rsidRDefault="00785E9E" w:rsidP="00785E9E">
      <w:pPr>
        <w:jc w:val="both"/>
        <w:rPr>
          <w:rFonts w:ascii="Garamond" w:hAnsi="Garamond" w:cs="Times New Roman"/>
          <w:bCs/>
          <w:iCs/>
          <w:sz w:val="20"/>
          <w:szCs w:val="20"/>
        </w:rPr>
      </w:pPr>
      <w:r w:rsidRPr="00785E9E">
        <w:rPr>
          <w:rFonts w:ascii="Garamond" w:hAnsi="Garamond" w:cs="Times New Roman"/>
          <w:bCs/>
          <w:iCs/>
          <w:sz w:val="20"/>
          <w:szCs w:val="20"/>
        </w:rPr>
        <w:t xml:space="preserve">Given the increasing threat of antimicrobial resistance among ESKAPE pathogens, particularly </w:t>
      </w:r>
      <w:r w:rsidRPr="00785E9E">
        <w:rPr>
          <w:rFonts w:ascii="Garamond" w:hAnsi="Garamond" w:cs="Times New Roman"/>
          <w:bCs/>
          <w:sz w:val="20"/>
          <w:szCs w:val="20"/>
        </w:rPr>
        <w:t>Acinetobacter baumannii</w:t>
      </w:r>
      <w:r w:rsidRPr="00785E9E">
        <w:rPr>
          <w:rFonts w:ascii="Garamond" w:hAnsi="Garamond" w:cs="Times New Roman"/>
          <w:bCs/>
          <w:iCs/>
          <w:sz w:val="20"/>
          <w:szCs w:val="20"/>
        </w:rPr>
        <w:t>, future treatment strategies must prioritize improving AMP stability, target specificity, and clinical applicability. Advances in peptide engineering, innovative delivery systems, and streamlined clinical evaluation frameworks offer promising avenues for managing biofilm-associated infections effectively.</w:t>
      </w:r>
    </w:p>
    <w:p w14:paraId="031403A5" w14:textId="0B5C8890" w:rsidR="00785E9E" w:rsidRPr="00685E69" w:rsidRDefault="00785E9E" w:rsidP="00785E9E">
      <w:pPr>
        <w:jc w:val="both"/>
        <w:rPr>
          <w:rFonts w:ascii="Garamond" w:hAnsi="Garamond" w:cs="Times New Roman"/>
          <w:sz w:val="20"/>
          <w:szCs w:val="20"/>
        </w:rPr>
      </w:pPr>
      <w:r w:rsidRPr="00785E9E">
        <w:rPr>
          <w:rFonts w:ascii="Garamond" w:hAnsi="Garamond" w:cs="Times New Roman"/>
          <w:b/>
          <w:bCs/>
          <w:i/>
          <w:iCs/>
          <w:sz w:val="20"/>
          <w:szCs w:val="20"/>
        </w:rPr>
        <w:t>Novel Peptide Designs</w:t>
      </w:r>
      <w:r w:rsidR="00685E69">
        <w:rPr>
          <w:rFonts w:ascii="Garamond" w:hAnsi="Garamond" w:cs="Times New Roman"/>
          <w:b/>
          <w:bCs/>
          <w:i/>
          <w:iCs/>
          <w:sz w:val="20"/>
          <w:szCs w:val="20"/>
        </w:rPr>
        <w:t xml:space="preserve">: </w:t>
      </w:r>
      <w:r w:rsidRPr="00785E9E">
        <w:rPr>
          <w:rFonts w:ascii="Garamond" w:hAnsi="Garamond" w:cs="Times New Roman"/>
          <w:sz w:val="20"/>
          <w:szCs w:val="20"/>
        </w:rPr>
        <w:t xml:space="preserve">One of the most substantial developments in AMP formulation is the rational design of </w:t>
      </w:r>
      <w:r w:rsidRPr="00785E9E">
        <w:rPr>
          <w:rFonts w:ascii="Garamond" w:hAnsi="Garamond" w:cs="Times New Roman"/>
          <w:bCs/>
          <w:sz w:val="20"/>
          <w:szCs w:val="20"/>
        </w:rPr>
        <w:t>synthetic and peptidomimetic peptides</w:t>
      </w:r>
      <w:r w:rsidRPr="00785E9E">
        <w:rPr>
          <w:rFonts w:ascii="Garamond" w:hAnsi="Garamond" w:cs="Times New Roman"/>
          <w:sz w:val="20"/>
          <w:szCs w:val="20"/>
        </w:rPr>
        <w:t xml:space="preserve">. These next-generation peptides are engineered to overcome the limitations of natural AMPs, such as enzymatic degradation and cytotoxicity. Strategies include the incorporation of </w:t>
      </w:r>
      <w:r w:rsidRPr="00785E9E">
        <w:rPr>
          <w:rFonts w:ascii="Garamond" w:hAnsi="Garamond" w:cs="Times New Roman"/>
          <w:bCs/>
          <w:sz w:val="20"/>
          <w:szCs w:val="20"/>
        </w:rPr>
        <w:t>D-amino acids</w:t>
      </w:r>
      <w:r w:rsidRPr="00785E9E">
        <w:rPr>
          <w:rFonts w:ascii="Garamond" w:hAnsi="Garamond" w:cs="Times New Roman"/>
          <w:sz w:val="20"/>
          <w:szCs w:val="20"/>
        </w:rPr>
        <w:t xml:space="preserve">, </w:t>
      </w:r>
      <w:r w:rsidRPr="00785E9E">
        <w:rPr>
          <w:rFonts w:ascii="Garamond" w:hAnsi="Garamond" w:cs="Times New Roman"/>
          <w:bCs/>
          <w:sz w:val="20"/>
          <w:szCs w:val="20"/>
        </w:rPr>
        <w:t>cyclization</w:t>
      </w:r>
      <w:r w:rsidRPr="00785E9E">
        <w:rPr>
          <w:rFonts w:ascii="Garamond" w:hAnsi="Garamond" w:cs="Times New Roman"/>
          <w:sz w:val="20"/>
          <w:szCs w:val="20"/>
        </w:rPr>
        <w:t xml:space="preserve">, and </w:t>
      </w:r>
      <w:r w:rsidRPr="00785E9E">
        <w:rPr>
          <w:rFonts w:ascii="Garamond" w:hAnsi="Garamond" w:cs="Times New Roman"/>
          <w:bCs/>
          <w:sz w:val="20"/>
          <w:szCs w:val="20"/>
        </w:rPr>
        <w:t>backbone modifications</w:t>
      </w:r>
      <w:r w:rsidRPr="00785E9E">
        <w:rPr>
          <w:rFonts w:ascii="Garamond" w:hAnsi="Garamond" w:cs="Times New Roman"/>
          <w:sz w:val="20"/>
          <w:szCs w:val="20"/>
        </w:rPr>
        <w:t xml:space="preserve"> that enhance protease resistance while preserving bioactivity</w:t>
      </w:r>
      <w:r w:rsidR="00685E69">
        <w:rPr>
          <w:rFonts w:ascii="Garamond" w:hAnsi="Garamond" w:cs="Times New Roman"/>
          <w:sz w:val="20"/>
          <w:szCs w:val="20"/>
        </w:rPr>
        <w:t>.</w:t>
      </w:r>
      <w:r w:rsidRPr="00685E69">
        <w:rPr>
          <w:rFonts w:ascii="Garamond" w:hAnsi="Garamond" w:cs="Times New Roman"/>
          <w:sz w:val="20"/>
          <w:szCs w:val="20"/>
          <w:vertAlign w:val="superscript"/>
        </w:rPr>
        <w:t>42</w:t>
      </w:r>
      <w:r w:rsidRPr="00785E9E">
        <w:rPr>
          <w:rFonts w:ascii="Garamond" w:hAnsi="Garamond" w:cs="Times New Roman"/>
          <w:sz w:val="20"/>
          <w:szCs w:val="20"/>
        </w:rPr>
        <w:t xml:space="preserve"> For example, </w:t>
      </w:r>
      <w:r w:rsidRPr="00785E9E">
        <w:rPr>
          <w:rFonts w:ascii="Garamond" w:hAnsi="Garamond" w:cs="Times New Roman"/>
          <w:bCs/>
          <w:sz w:val="20"/>
          <w:szCs w:val="20"/>
        </w:rPr>
        <w:t>β-peptides</w:t>
      </w:r>
      <w:r w:rsidRPr="00785E9E">
        <w:rPr>
          <w:rFonts w:ascii="Garamond" w:hAnsi="Garamond" w:cs="Times New Roman"/>
          <w:sz w:val="20"/>
          <w:szCs w:val="20"/>
        </w:rPr>
        <w:t xml:space="preserve">, </w:t>
      </w:r>
      <w:proofErr w:type="spellStart"/>
      <w:r w:rsidRPr="00785E9E">
        <w:rPr>
          <w:rFonts w:ascii="Garamond" w:hAnsi="Garamond" w:cs="Times New Roman"/>
          <w:bCs/>
          <w:sz w:val="20"/>
          <w:szCs w:val="20"/>
        </w:rPr>
        <w:t>peptoids</w:t>
      </w:r>
      <w:proofErr w:type="spellEnd"/>
      <w:r w:rsidRPr="00785E9E">
        <w:rPr>
          <w:rFonts w:ascii="Garamond" w:hAnsi="Garamond" w:cs="Times New Roman"/>
          <w:sz w:val="20"/>
          <w:szCs w:val="20"/>
        </w:rPr>
        <w:t xml:space="preserve">, and </w:t>
      </w:r>
      <w:r w:rsidRPr="00785E9E">
        <w:rPr>
          <w:rFonts w:ascii="Garamond" w:hAnsi="Garamond" w:cs="Times New Roman"/>
          <w:bCs/>
          <w:sz w:val="20"/>
          <w:szCs w:val="20"/>
        </w:rPr>
        <w:t>aryl-amide foldamers</w:t>
      </w:r>
      <w:r w:rsidRPr="00785E9E">
        <w:rPr>
          <w:rFonts w:ascii="Garamond" w:hAnsi="Garamond" w:cs="Times New Roman"/>
          <w:sz w:val="20"/>
          <w:szCs w:val="20"/>
        </w:rPr>
        <w:t xml:space="preserve"> such as </w:t>
      </w:r>
      <w:proofErr w:type="spellStart"/>
      <w:r w:rsidRPr="00785E9E">
        <w:rPr>
          <w:rFonts w:ascii="Garamond" w:hAnsi="Garamond" w:cs="Times New Roman"/>
          <w:sz w:val="20"/>
          <w:szCs w:val="20"/>
        </w:rPr>
        <w:t>brilacidin</w:t>
      </w:r>
      <w:proofErr w:type="spellEnd"/>
      <w:r w:rsidRPr="00785E9E">
        <w:rPr>
          <w:rFonts w:ascii="Garamond" w:hAnsi="Garamond" w:cs="Times New Roman"/>
          <w:sz w:val="20"/>
          <w:szCs w:val="20"/>
        </w:rPr>
        <w:t xml:space="preserve"> have demonstrated stability in vivo and selective membrane-disruptive properties, enabling potent activity against biofilm-forming pathogens like </w:t>
      </w:r>
      <w:r w:rsidRPr="00785E9E">
        <w:rPr>
          <w:rFonts w:ascii="Garamond" w:hAnsi="Garamond" w:cs="Times New Roman"/>
          <w:i/>
          <w:iCs/>
          <w:sz w:val="20"/>
          <w:szCs w:val="20"/>
        </w:rPr>
        <w:t>A. baumannii</w:t>
      </w:r>
      <w:r w:rsidR="00685E69">
        <w:rPr>
          <w:rFonts w:ascii="Garamond" w:hAnsi="Garamond" w:cs="Times New Roman"/>
          <w:sz w:val="20"/>
          <w:szCs w:val="20"/>
        </w:rPr>
        <w:t>.</w:t>
      </w:r>
      <w:r w:rsidRPr="00685E69">
        <w:rPr>
          <w:rFonts w:ascii="Garamond" w:hAnsi="Garamond" w:cs="Times New Roman"/>
          <w:sz w:val="20"/>
          <w:szCs w:val="20"/>
          <w:vertAlign w:val="superscript"/>
        </w:rPr>
        <w:t>18</w:t>
      </w:r>
      <w:r w:rsidRPr="00785E9E">
        <w:rPr>
          <w:rFonts w:ascii="Garamond" w:hAnsi="Garamond" w:cs="Times New Roman"/>
          <w:sz w:val="20"/>
          <w:szCs w:val="20"/>
        </w:rPr>
        <w:t xml:space="preserve"> The synthetic mimic </w:t>
      </w:r>
      <w:proofErr w:type="spellStart"/>
      <w:r w:rsidRPr="00785E9E">
        <w:rPr>
          <w:rFonts w:ascii="Garamond" w:hAnsi="Garamond" w:cs="Times New Roman"/>
          <w:bCs/>
          <w:sz w:val="20"/>
          <w:szCs w:val="20"/>
        </w:rPr>
        <w:t>murepavadin</w:t>
      </w:r>
      <w:proofErr w:type="spellEnd"/>
      <w:r w:rsidRPr="00785E9E">
        <w:rPr>
          <w:rFonts w:ascii="Garamond" w:hAnsi="Garamond" w:cs="Times New Roman"/>
          <w:sz w:val="20"/>
          <w:szCs w:val="20"/>
        </w:rPr>
        <w:t xml:space="preserve">, a β-hairpin peptide, targets the outer membrane protein </w:t>
      </w:r>
      <w:proofErr w:type="spellStart"/>
      <w:r w:rsidRPr="00785E9E">
        <w:rPr>
          <w:rFonts w:ascii="Garamond" w:hAnsi="Garamond" w:cs="Times New Roman"/>
          <w:sz w:val="20"/>
          <w:szCs w:val="20"/>
        </w:rPr>
        <w:t>LptD</w:t>
      </w:r>
      <w:proofErr w:type="spellEnd"/>
      <w:r w:rsidRPr="00785E9E">
        <w:rPr>
          <w:rFonts w:ascii="Garamond" w:hAnsi="Garamond" w:cs="Times New Roman"/>
          <w:sz w:val="20"/>
          <w:szCs w:val="20"/>
        </w:rPr>
        <w:t xml:space="preserve"> in </w:t>
      </w:r>
      <w:r w:rsidRPr="00785E9E">
        <w:rPr>
          <w:rFonts w:ascii="Garamond" w:hAnsi="Garamond" w:cs="Times New Roman"/>
          <w:i/>
          <w:iCs/>
          <w:sz w:val="20"/>
          <w:szCs w:val="20"/>
        </w:rPr>
        <w:t>P. aeruginosa</w:t>
      </w:r>
      <w:r w:rsidRPr="00785E9E">
        <w:rPr>
          <w:rFonts w:ascii="Garamond" w:hAnsi="Garamond" w:cs="Times New Roman"/>
          <w:sz w:val="20"/>
          <w:szCs w:val="20"/>
        </w:rPr>
        <w:t>, highlighting the growing potential of structure-guided AMP therapies.</w:t>
      </w:r>
    </w:p>
    <w:p w14:paraId="7371A823" w14:textId="3CDAC633" w:rsidR="00785E9E" w:rsidRPr="00785E9E" w:rsidRDefault="00785E9E" w:rsidP="00785E9E">
      <w:pPr>
        <w:jc w:val="both"/>
        <w:rPr>
          <w:rFonts w:ascii="Garamond" w:hAnsi="Garamond" w:cs="Times New Roman"/>
          <w:sz w:val="20"/>
          <w:szCs w:val="20"/>
        </w:rPr>
      </w:pPr>
      <w:r w:rsidRPr="00785E9E">
        <w:rPr>
          <w:rFonts w:ascii="Garamond" w:hAnsi="Garamond" w:cs="Times New Roman"/>
          <w:b/>
          <w:bCs/>
          <w:i/>
          <w:iCs/>
          <w:sz w:val="20"/>
          <w:szCs w:val="20"/>
        </w:rPr>
        <w:t>Use of enhanced drug delivery systems</w:t>
      </w:r>
      <w:r w:rsidR="00685E69">
        <w:rPr>
          <w:rFonts w:ascii="Garamond" w:hAnsi="Garamond" w:cs="Times New Roman"/>
          <w:b/>
          <w:bCs/>
          <w:i/>
          <w:iCs/>
          <w:sz w:val="20"/>
          <w:szCs w:val="20"/>
        </w:rPr>
        <w:t xml:space="preserve">: </w:t>
      </w:r>
      <w:r w:rsidRPr="00785E9E">
        <w:rPr>
          <w:rFonts w:ascii="Garamond" w:hAnsi="Garamond" w:cs="Times New Roman"/>
          <w:sz w:val="20"/>
          <w:szCs w:val="20"/>
        </w:rPr>
        <w:t xml:space="preserve">Although antimicrobial peptides (AMPs) exhibit potent therapeutic activity, their systemic administration remains limited due to challenges such as low biochemical stability, rapid systemic clearance, and insufficient tissue-specific targeting. To overcome these barriers, advanced drug delivery systems are being </w:t>
      </w:r>
      <w:r w:rsidRPr="00785E9E">
        <w:rPr>
          <w:rFonts w:ascii="Garamond" w:hAnsi="Garamond" w:cs="Times New Roman"/>
          <w:sz w:val="20"/>
          <w:szCs w:val="20"/>
        </w:rPr>
        <w:lastRenderedPageBreak/>
        <w:t xml:space="preserve">engineered. Nanocarriers, including chitosan-based nanoparticles, liposomal vesicles, and polymeric hydrogels, are increasingly </w:t>
      </w:r>
      <w:proofErr w:type="spellStart"/>
      <w:r w:rsidRPr="00785E9E">
        <w:rPr>
          <w:rFonts w:ascii="Garamond" w:hAnsi="Garamond" w:cs="Times New Roman"/>
          <w:sz w:val="20"/>
          <w:szCs w:val="20"/>
        </w:rPr>
        <w:t>utilised</w:t>
      </w:r>
      <w:proofErr w:type="spellEnd"/>
      <w:r w:rsidRPr="00785E9E">
        <w:rPr>
          <w:rFonts w:ascii="Garamond" w:hAnsi="Garamond" w:cs="Times New Roman"/>
          <w:sz w:val="20"/>
          <w:szCs w:val="20"/>
        </w:rPr>
        <w:t xml:space="preserve"> to protect AMPs from proteolytic degradation, enhance their circulatory half-life, and enable controlled, site-specific release.</w:t>
      </w:r>
      <w:r w:rsidRPr="00685E69">
        <w:rPr>
          <w:rFonts w:ascii="Garamond" w:hAnsi="Garamond" w:cs="Times New Roman"/>
          <w:sz w:val="20"/>
          <w:szCs w:val="20"/>
          <w:vertAlign w:val="superscript"/>
        </w:rPr>
        <w:t>43, 29</w:t>
      </w:r>
      <w:r w:rsidRPr="00785E9E">
        <w:rPr>
          <w:rFonts w:ascii="Garamond" w:hAnsi="Garamond" w:cs="Times New Roman"/>
          <w:sz w:val="20"/>
          <w:szCs w:val="20"/>
        </w:rPr>
        <w:t xml:space="preserve"> For example, silver nanoparticles functionalized with the antimicrobial peptide LL-37 have demonstrated superior antimicrobial activity and enhanced penetration capabilities within </w:t>
      </w:r>
      <w:r w:rsidRPr="00785E9E">
        <w:rPr>
          <w:rFonts w:ascii="Garamond" w:hAnsi="Garamond" w:cs="Times New Roman"/>
          <w:i/>
          <w:iCs/>
          <w:sz w:val="20"/>
          <w:szCs w:val="20"/>
        </w:rPr>
        <w:t>Acinetobacter baumannii</w:t>
      </w:r>
      <w:r w:rsidRPr="00785E9E">
        <w:rPr>
          <w:rFonts w:ascii="Garamond" w:hAnsi="Garamond" w:cs="Times New Roman"/>
          <w:sz w:val="20"/>
          <w:szCs w:val="20"/>
        </w:rPr>
        <w:t xml:space="preserve"> biofilms.</w:t>
      </w:r>
      <w:r w:rsidRPr="00685E69">
        <w:rPr>
          <w:rFonts w:ascii="Garamond" w:hAnsi="Garamond" w:cs="Times New Roman"/>
          <w:sz w:val="20"/>
          <w:szCs w:val="20"/>
          <w:vertAlign w:val="superscript"/>
        </w:rPr>
        <w:t>1</w:t>
      </w:r>
      <w:r w:rsidRPr="00785E9E">
        <w:rPr>
          <w:rFonts w:ascii="Garamond" w:hAnsi="Garamond" w:cs="Times New Roman"/>
          <w:sz w:val="20"/>
          <w:szCs w:val="20"/>
        </w:rPr>
        <w:t xml:space="preserve"> These intelligent delivery systems not only enhance the retention of antimicrobial peptides (AMPs) at the site of infection but also promote stronger interactions with bacterial membranes and biofilm extracellular matrices, thereby facilitating deeper penetration and more effective disruption of biofilm structures. Moreover, stimuli-responsive delivery platforms such as pH-sensitive and enzyme-activated systems are being investigated to enable the controlled release of antimicrobial peptides (AMPs) specifically within infected microenvironments, thereby reducing off-target cytotoxicity [24]. These advanced strategies present a promising avenue for the development of safer and more efficacious AMP-based therapies, especially in the management of complex infections such as chronic wounds and ventilator-associated pneumonia.</w:t>
      </w:r>
    </w:p>
    <w:p w14:paraId="1B741EE0" w14:textId="77777777" w:rsidR="00785E9E" w:rsidRDefault="00785E9E" w:rsidP="00785E9E">
      <w:pPr>
        <w:jc w:val="both"/>
        <w:rPr>
          <w:rFonts w:ascii="Garamond" w:hAnsi="Garamond" w:cs="Times New Roman"/>
          <w:b/>
          <w:bCs/>
          <w:sz w:val="20"/>
          <w:szCs w:val="20"/>
        </w:rPr>
      </w:pPr>
    </w:p>
    <w:p w14:paraId="6A4C2BB7" w14:textId="5F5A04B9" w:rsidR="00785E9E" w:rsidRPr="00785E9E" w:rsidRDefault="00785E9E" w:rsidP="00785E9E">
      <w:pPr>
        <w:jc w:val="both"/>
        <w:rPr>
          <w:rFonts w:ascii="Garamond" w:hAnsi="Garamond" w:cs="Times New Roman"/>
          <w:sz w:val="20"/>
          <w:szCs w:val="20"/>
        </w:rPr>
      </w:pPr>
      <w:r w:rsidRPr="00785E9E">
        <w:rPr>
          <w:rFonts w:ascii="Garamond" w:hAnsi="Garamond" w:cs="Times New Roman"/>
          <w:b/>
          <w:bCs/>
          <w:sz w:val="20"/>
          <w:szCs w:val="20"/>
        </w:rPr>
        <w:t>New AMP development with potential clinical trial prospects</w:t>
      </w:r>
    </w:p>
    <w:p w14:paraId="073605FE" w14:textId="77777777" w:rsidR="00785E9E" w:rsidRPr="00785E9E" w:rsidRDefault="00785E9E" w:rsidP="00785E9E">
      <w:pPr>
        <w:jc w:val="both"/>
        <w:rPr>
          <w:rFonts w:ascii="Garamond" w:hAnsi="Garamond" w:cs="Times New Roman"/>
          <w:sz w:val="20"/>
          <w:szCs w:val="20"/>
        </w:rPr>
      </w:pPr>
      <w:r w:rsidRPr="00785E9E">
        <w:rPr>
          <w:rFonts w:ascii="Garamond" w:hAnsi="Garamond" w:cs="Times New Roman"/>
          <w:sz w:val="20"/>
          <w:szCs w:val="20"/>
        </w:rPr>
        <w:t xml:space="preserve">Although antimicrobial peptides (AMPs) hold significant therapeutic potential, their clinical translation has been relatively limited, with only a few candidates, such as </w:t>
      </w:r>
      <w:proofErr w:type="spellStart"/>
      <w:r w:rsidRPr="00785E9E">
        <w:rPr>
          <w:rFonts w:ascii="Garamond" w:hAnsi="Garamond" w:cs="Times New Roman"/>
          <w:sz w:val="20"/>
          <w:szCs w:val="20"/>
        </w:rPr>
        <w:t>omiganan</w:t>
      </w:r>
      <w:proofErr w:type="spellEnd"/>
      <w:r w:rsidRPr="00785E9E">
        <w:rPr>
          <w:rFonts w:ascii="Garamond" w:hAnsi="Garamond" w:cs="Times New Roman"/>
          <w:sz w:val="20"/>
          <w:szCs w:val="20"/>
        </w:rPr>
        <w:t xml:space="preserve"> and pexiganan, progressing into clinical trials. Major obstacles impeding their development include high production costs, potential immunogenicity, and regulatory challenges. Nonetheless, a new generation of AMP candidates is advancing through preclinical development, facilitated by the emergence of more representative </w:t>
      </w:r>
      <w:r w:rsidRPr="00785E9E">
        <w:rPr>
          <w:rFonts w:ascii="Garamond" w:hAnsi="Garamond" w:cs="Times New Roman"/>
          <w:i/>
          <w:sz w:val="20"/>
          <w:szCs w:val="20"/>
        </w:rPr>
        <w:t>in vivo</w:t>
      </w:r>
      <w:r w:rsidRPr="00785E9E">
        <w:rPr>
          <w:rFonts w:ascii="Garamond" w:hAnsi="Garamond" w:cs="Times New Roman"/>
          <w:sz w:val="20"/>
          <w:szCs w:val="20"/>
        </w:rPr>
        <w:t xml:space="preserve"> biofilm models and refined toxicity assessment methodologies [9]. Ongoing clinical trials are investigating the efficacy of AMP-based therapies both as standalone agents and in combination with conventional antibiotics or biofilm-disrupting enzymes in treating conditions such as diabetic foot ulcers, implant-associated infections, and respiratory tract biofilms [36]. Furthermore, co-formulation strategies incorporating antimicrobial peptides (AMPs) with enzymatic adjuvants such as endolysins and deoxyribonucleases (DNases) are gaining traction in clinical development. These combinations exhibit synergistic mechanisms that facilitate biofilm degradation and enhance bacterial susceptibility to therapeutic agents [24]. With sustained interdisciplinary collaboration and evolving regulatory support, AMP-</w:t>
      </w:r>
      <w:r w:rsidRPr="00785E9E">
        <w:rPr>
          <w:rFonts w:ascii="Garamond" w:hAnsi="Garamond" w:cs="Times New Roman"/>
          <w:sz w:val="20"/>
          <w:szCs w:val="20"/>
        </w:rPr>
        <w:t>based therapeutics is anticipated to achieve broader clinical implementation within the coming decade.</w:t>
      </w:r>
    </w:p>
    <w:p w14:paraId="764C11F6" w14:textId="77777777" w:rsidR="00785E9E" w:rsidRDefault="00785E9E" w:rsidP="00785E9E">
      <w:pPr>
        <w:jc w:val="both"/>
        <w:rPr>
          <w:rFonts w:ascii="Garamond" w:hAnsi="Garamond" w:cs="Times New Roman"/>
          <w:b/>
          <w:sz w:val="20"/>
          <w:szCs w:val="20"/>
        </w:rPr>
      </w:pPr>
    </w:p>
    <w:p w14:paraId="3E909413" w14:textId="31DC94FA" w:rsidR="00785E9E" w:rsidRPr="00785E9E" w:rsidRDefault="00785E9E" w:rsidP="00785E9E">
      <w:pPr>
        <w:jc w:val="both"/>
        <w:rPr>
          <w:rFonts w:ascii="Garamond" w:hAnsi="Garamond" w:cs="Times New Roman"/>
          <w:b/>
          <w:sz w:val="20"/>
          <w:szCs w:val="20"/>
        </w:rPr>
      </w:pPr>
      <w:r w:rsidRPr="00785E9E">
        <w:rPr>
          <w:rFonts w:ascii="Garamond" w:hAnsi="Garamond" w:cs="Times New Roman"/>
          <w:b/>
          <w:sz w:val="20"/>
          <w:szCs w:val="20"/>
        </w:rPr>
        <w:t xml:space="preserve">Clinical and Public Health Implications in Nigeria </w:t>
      </w:r>
    </w:p>
    <w:p w14:paraId="4B8D7C96" w14:textId="33EDCE6B" w:rsidR="00785E9E" w:rsidRPr="00785E9E" w:rsidRDefault="00785E9E" w:rsidP="00785E9E">
      <w:pPr>
        <w:jc w:val="both"/>
        <w:rPr>
          <w:rFonts w:ascii="Garamond" w:hAnsi="Garamond" w:cs="Times New Roman"/>
          <w:sz w:val="20"/>
          <w:szCs w:val="20"/>
        </w:rPr>
      </w:pPr>
      <w:r w:rsidRPr="00785E9E">
        <w:rPr>
          <w:rFonts w:ascii="Garamond" w:hAnsi="Garamond" w:cs="Times New Roman"/>
          <w:sz w:val="20"/>
          <w:szCs w:val="20"/>
        </w:rPr>
        <w:t>Nigeria is experiencing an escalating healthcare challenge driven by the prevalence of hospital-acquired infections (HAIs)</w:t>
      </w:r>
      <w:r w:rsidR="00685E69">
        <w:rPr>
          <w:rFonts w:ascii="Garamond" w:hAnsi="Garamond" w:cs="Times New Roman"/>
          <w:sz w:val="20"/>
          <w:szCs w:val="20"/>
        </w:rPr>
        <w:t>.</w:t>
      </w:r>
      <w:r w:rsidRPr="00685E69">
        <w:rPr>
          <w:rFonts w:ascii="Garamond" w:hAnsi="Garamond" w:cs="Times New Roman"/>
          <w:sz w:val="20"/>
          <w:szCs w:val="20"/>
          <w:vertAlign w:val="superscript"/>
        </w:rPr>
        <w:t>44</w:t>
      </w:r>
      <w:r w:rsidRPr="00785E9E">
        <w:rPr>
          <w:rFonts w:ascii="Garamond" w:hAnsi="Garamond" w:cs="Times New Roman"/>
          <w:sz w:val="20"/>
          <w:szCs w:val="20"/>
        </w:rPr>
        <w:t xml:space="preserve"> Increasing antimicrobial resistance (AMR), constrained ICU resources, limited availability of last-line antibiotics, and ongoing deficiencies in infection prevention and control (IPC)</w:t>
      </w:r>
      <w:r w:rsidR="00685E69">
        <w:rPr>
          <w:rFonts w:ascii="Garamond" w:hAnsi="Garamond" w:cs="Times New Roman"/>
          <w:sz w:val="20"/>
          <w:szCs w:val="20"/>
        </w:rPr>
        <w:t>.</w:t>
      </w:r>
      <w:r w:rsidRPr="00685E69">
        <w:rPr>
          <w:rFonts w:ascii="Garamond" w:hAnsi="Garamond" w:cs="Times New Roman"/>
          <w:sz w:val="20"/>
          <w:szCs w:val="20"/>
          <w:vertAlign w:val="superscript"/>
        </w:rPr>
        <w:t>45</w:t>
      </w:r>
      <w:r w:rsidRPr="00785E9E">
        <w:rPr>
          <w:rFonts w:ascii="Garamond" w:hAnsi="Garamond" w:cs="Times New Roman"/>
          <w:sz w:val="20"/>
          <w:szCs w:val="20"/>
        </w:rPr>
        <w:t xml:space="preserve"> These obstacles hinder effective patient management and exacerbate clinical outcomes in both tertiary and secondary healthcare settings</w:t>
      </w:r>
      <w:r w:rsidR="00685E69">
        <w:rPr>
          <w:rFonts w:ascii="Garamond" w:hAnsi="Garamond" w:cs="Times New Roman"/>
          <w:sz w:val="20"/>
          <w:szCs w:val="20"/>
        </w:rPr>
        <w:t>.</w:t>
      </w:r>
      <w:r w:rsidRPr="00685E69">
        <w:rPr>
          <w:rFonts w:ascii="Garamond" w:hAnsi="Garamond" w:cs="Times New Roman"/>
          <w:sz w:val="20"/>
          <w:szCs w:val="20"/>
          <w:vertAlign w:val="superscript"/>
        </w:rPr>
        <w:t>46</w:t>
      </w:r>
      <w:r w:rsidRPr="00785E9E">
        <w:rPr>
          <w:rFonts w:ascii="Garamond" w:hAnsi="Garamond" w:cs="Times New Roman"/>
          <w:sz w:val="20"/>
          <w:szCs w:val="20"/>
        </w:rPr>
        <w:t xml:space="preserve"> The prevalence of HAIs in Nigerian teaching hospitals spans 15–25%, with ventilator-associated pneumonia, catheter-associated urinary tract infections, surgical site infections, and bloodstream infections representing the most frequent cases</w:t>
      </w:r>
      <w:r w:rsidR="00685E69">
        <w:rPr>
          <w:rFonts w:ascii="Garamond" w:hAnsi="Garamond" w:cs="Times New Roman"/>
          <w:sz w:val="20"/>
          <w:szCs w:val="20"/>
        </w:rPr>
        <w:t>.</w:t>
      </w:r>
      <w:r w:rsidRPr="00685E69">
        <w:rPr>
          <w:rFonts w:ascii="Garamond" w:hAnsi="Garamond" w:cs="Times New Roman"/>
          <w:sz w:val="20"/>
          <w:szCs w:val="20"/>
          <w:vertAlign w:val="superscript"/>
        </w:rPr>
        <w:t>44</w:t>
      </w:r>
      <w:r w:rsidRPr="00785E9E">
        <w:rPr>
          <w:rFonts w:ascii="Garamond" w:hAnsi="Garamond" w:cs="Times New Roman"/>
          <w:sz w:val="20"/>
          <w:szCs w:val="20"/>
        </w:rPr>
        <w:t xml:space="preserve"> Key contributing factors comprise patient overcrowding, suboptimal sterilization practices, and restricted access to microbiological diagnostics</w:t>
      </w:r>
    </w:p>
    <w:p w14:paraId="0DF15E9C" w14:textId="6E5FA9CB" w:rsidR="00785E9E" w:rsidRPr="00785E9E" w:rsidRDefault="00785E9E" w:rsidP="00785E9E">
      <w:pPr>
        <w:jc w:val="both"/>
        <w:rPr>
          <w:rFonts w:ascii="Garamond" w:hAnsi="Garamond" w:cs="Times New Roman"/>
          <w:sz w:val="20"/>
          <w:szCs w:val="20"/>
        </w:rPr>
      </w:pPr>
      <w:r w:rsidRPr="00785E9E">
        <w:rPr>
          <w:rFonts w:ascii="Garamond" w:hAnsi="Garamond" w:cs="Times New Roman"/>
          <w:sz w:val="20"/>
          <w:szCs w:val="20"/>
        </w:rPr>
        <w:t xml:space="preserve">Of significant concern is multidrug-resistant (MDR) </w:t>
      </w:r>
      <w:r w:rsidRPr="00785E9E">
        <w:rPr>
          <w:rFonts w:ascii="Garamond" w:hAnsi="Garamond" w:cs="Times New Roman"/>
          <w:i/>
          <w:sz w:val="20"/>
          <w:szCs w:val="20"/>
        </w:rPr>
        <w:t>Acinetobacter</w:t>
      </w:r>
      <w:r w:rsidRPr="00785E9E">
        <w:rPr>
          <w:rFonts w:ascii="Garamond" w:hAnsi="Garamond" w:cs="Times New Roman"/>
          <w:sz w:val="20"/>
          <w:szCs w:val="20"/>
        </w:rPr>
        <w:t xml:space="preserve"> </w:t>
      </w:r>
      <w:r w:rsidRPr="00785E9E">
        <w:rPr>
          <w:rFonts w:ascii="Garamond" w:hAnsi="Garamond" w:cs="Times New Roman"/>
          <w:i/>
          <w:sz w:val="20"/>
          <w:szCs w:val="20"/>
        </w:rPr>
        <w:t>baumannii</w:t>
      </w:r>
      <w:r w:rsidRPr="00785E9E">
        <w:rPr>
          <w:rFonts w:ascii="Garamond" w:hAnsi="Garamond" w:cs="Times New Roman"/>
          <w:sz w:val="20"/>
          <w:szCs w:val="20"/>
        </w:rPr>
        <w:t>, frequently exhibiting resistance to carbapenems, cephalosporins, and fluoroquinolones, with certain centers documenting meropenem resistance exceeding 70%</w:t>
      </w:r>
      <w:r w:rsidR="00685E69">
        <w:rPr>
          <w:rFonts w:ascii="Garamond" w:hAnsi="Garamond" w:cs="Times New Roman"/>
          <w:sz w:val="20"/>
          <w:szCs w:val="20"/>
        </w:rPr>
        <w:t>.</w:t>
      </w:r>
      <w:r w:rsidRPr="00685E69">
        <w:rPr>
          <w:rFonts w:ascii="Garamond" w:hAnsi="Garamond" w:cs="Times New Roman"/>
          <w:sz w:val="20"/>
          <w:szCs w:val="20"/>
          <w:vertAlign w:val="superscript"/>
        </w:rPr>
        <w:t>4</w:t>
      </w:r>
      <w:r w:rsidR="00685E69" w:rsidRPr="00685E69">
        <w:rPr>
          <w:rFonts w:ascii="Garamond" w:hAnsi="Garamond" w:cs="Times New Roman"/>
          <w:sz w:val="20"/>
          <w:szCs w:val="20"/>
          <w:vertAlign w:val="superscript"/>
        </w:rPr>
        <w:t>7</w:t>
      </w:r>
      <w:r w:rsidRPr="00785E9E">
        <w:rPr>
          <w:rFonts w:ascii="Garamond" w:hAnsi="Garamond" w:cs="Times New Roman"/>
          <w:sz w:val="20"/>
          <w:szCs w:val="20"/>
        </w:rPr>
        <w:t xml:space="preserve"> ICU overcrowding, frequent invasive interventions, and variable antimicrobial stewardship facilitate the propagation of MDR pathogens. Limited availability of last-resort agents such as colistin and tigecycline necessitates dependence on older or less effective treatment regimens</w:t>
      </w:r>
      <w:r w:rsidR="00685E69">
        <w:rPr>
          <w:rFonts w:ascii="Garamond" w:hAnsi="Garamond" w:cs="Times New Roman"/>
          <w:sz w:val="20"/>
          <w:szCs w:val="20"/>
        </w:rPr>
        <w:t>.</w:t>
      </w:r>
      <w:r w:rsidRPr="00685E69">
        <w:rPr>
          <w:rFonts w:ascii="Garamond" w:hAnsi="Garamond" w:cs="Times New Roman"/>
          <w:sz w:val="20"/>
          <w:szCs w:val="20"/>
          <w:vertAlign w:val="superscript"/>
        </w:rPr>
        <w:t>48</w:t>
      </w:r>
      <w:r w:rsidRPr="00785E9E">
        <w:rPr>
          <w:rFonts w:ascii="Garamond" w:hAnsi="Garamond" w:cs="Times New Roman"/>
          <w:sz w:val="20"/>
          <w:szCs w:val="20"/>
        </w:rPr>
        <w:t xml:space="preserve"> Structural IPC shortcomings such as inconsistent water supply, insufficient isolation facilities, limited PPE availability, and suboptimal hand hygiene adherence further promote cross-transmission</w:t>
      </w:r>
      <w:r w:rsidR="00685E69">
        <w:rPr>
          <w:rFonts w:ascii="Garamond" w:hAnsi="Garamond" w:cs="Times New Roman"/>
          <w:sz w:val="20"/>
          <w:szCs w:val="20"/>
        </w:rPr>
        <w:t>.</w:t>
      </w:r>
      <w:r w:rsidRPr="00685E69">
        <w:rPr>
          <w:rFonts w:ascii="Garamond" w:hAnsi="Garamond" w:cs="Times New Roman"/>
          <w:sz w:val="20"/>
          <w:szCs w:val="20"/>
          <w:vertAlign w:val="superscript"/>
        </w:rPr>
        <w:t>49</w:t>
      </w:r>
    </w:p>
    <w:p w14:paraId="7FC75186" w14:textId="50D13FE8" w:rsidR="00785E9E" w:rsidRPr="00785E9E" w:rsidRDefault="00785E9E" w:rsidP="00785E9E">
      <w:pPr>
        <w:jc w:val="both"/>
        <w:rPr>
          <w:rFonts w:ascii="Garamond" w:hAnsi="Garamond" w:cs="Times New Roman"/>
          <w:sz w:val="20"/>
          <w:szCs w:val="20"/>
        </w:rPr>
      </w:pPr>
      <w:r w:rsidRPr="00785E9E">
        <w:rPr>
          <w:rFonts w:ascii="Garamond" w:hAnsi="Garamond" w:cs="Times New Roman"/>
          <w:sz w:val="20"/>
          <w:szCs w:val="20"/>
        </w:rPr>
        <w:t>Mitigating these challenges necessitates enhanced IPC infrastructure, comprehensive antimicrobial stewardship, and novel therapeutic strategies including antimicrobial peptides and biofilm-targeted approaches to control MDR infections within resource-constrained Nigerian healthcare settings.</w:t>
      </w:r>
    </w:p>
    <w:p w14:paraId="7C2F6AD5" w14:textId="77777777" w:rsidR="00785E9E" w:rsidRDefault="00785E9E" w:rsidP="00785E9E">
      <w:pPr>
        <w:jc w:val="both"/>
        <w:rPr>
          <w:rFonts w:ascii="Garamond" w:hAnsi="Garamond" w:cs="Times New Roman"/>
          <w:b/>
          <w:bCs/>
          <w:sz w:val="20"/>
          <w:szCs w:val="20"/>
        </w:rPr>
      </w:pPr>
    </w:p>
    <w:p w14:paraId="1C8F6D21" w14:textId="68C4C21E" w:rsidR="00785E9E" w:rsidRPr="00685E69" w:rsidRDefault="00685E69" w:rsidP="00785E9E">
      <w:pPr>
        <w:jc w:val="both"/>
        <w:rPr>
          <w:rFonts w:ascii="Garamond" w:hAnsi="Garamond" w:cs="Times New Roman"/>
          <w:b/>
          <w:bCs/>
          <w:sz w:val="22"/>
          <w:szCs w:val="22"/>
        </w:rPr>
      </w:pPr>
      <w:r w:rsidRPr="00685E69">
        <w:rPr>
          <w:rFonts w:ascii="Garamond" w:hAnsi="Garamond" w:cs="Times New Roman"/>
          <w:b/>
          <w:bCs/>
          <w:sz w:val="22"/>
          <w:szCs w:val="22"/>
        </w:rPr>
        <w:t>CONCLUSION</w:t>
      </w:r>
    </w:p>
    <w:p w14:paraId="455A50BF" w14:textId="77777777" w:rsidR="00785E9E" w:rsidRDefault="00785E9E" w:rsidP="00785E9E">
      <w:pPr>
        <w:jc w:val="both"/>
        <w:rPr>
          <w:rFonts w:ascii="Garamond" w:hAnsi="Garamond" w:cs="Times New Roman"/>
          <w:sz w:val="20"/>
          <w:szCs w:val="20"/>
        </w:rPr>
      </w:pPr>
      <w:r w:rsidRPr="00785E9E">
        <w:rPr>
          <w:rFonts w:ascii="Garamond" w:hAnsi="Garamond" w:cs="Times New Roman"/>
          <w:sz w:val="20"/>
          <w:szCs w:val="20"/>
        </w:rPr>
        <w:t xml:space="preserve">Antimicrobial peptides (AMPs) have emerged as a formidable class of therapeutic agents capable of addressing the urgent global threat posed by multidrug-resistant ESKAPE pathogens, particularly </w:t>
      </w:r>
      <w:r w:rsidRPr="00785E9E">
        <w:rPr>
          <w:rFonts w:ascii="Garamond" w:hAnsi="Garamond" w:cs="Times New Roman"/>
          <w:i/>
          <w:iCs/>
          <w:sz w:val="20"/>
          <w:szCs w:val="20"/>
        </w:rPr>
        <w:t>Acinetobacter baumannii</w:t>
      </w:r>
      <w:r w:rsidRPr="00785E9E">
        <w:rPr>
          <w:rFonts w:ascii="Garamond" w:hAnsi="Garamond" w:cs="Times New Roman"/>
          <w:sz w:val="20"/>
          <w:szCs w:val="20"/>
        </w:rPr>
        <w:t xml:space="preserve">. Their unique mechanisms, including membrane disruption, biofilm penetration, and quorum-sensing inhibition, position them as versatile tools in the fight against chronic and biofilm-associated infections. The integration of synergistic strategies such as AMP–antibiotic combinations, nanoparticle-based delivery, and enzymatic adjuvants has demonstrated enhanced </w:t>
      </w:r>
      <w:r w:rsidRPr="00785E9E">
        <w:rPr>
          <w:rFonts w:ascii="Garamond" w:hAnsi="Garamond" w:cs="Times New Roman"/>
          <w:sz w:val="20"/>
          <w:szCs w:val="20"/>
        </w:rPr>
        <w:lastRenderedPageBreak/>
        <w:t xml:space="preserve">therapeutic efficacy, deeper biofilm disruption, and reduced potential for resistance development. Despite these promising advances, the clinical application of AMPs remains limited due to challenges such as proteolytic instability, off-target toxicity, and delivery inefficiency. However, recent innovations in synthetic peptide engineering, peptidomimetic development, and smart delivery platforms have shown significant potential in overcoming these limitations. </w:t>
      </w:r>
    </w:p>
    <w:p w14:paraId="1C576CBB" w14:textId="77777777" w:rsidR="00685E69" w:rsidRDefault="00685E69" w:rsidP="00785E9E">
      <w:pPr>
        <w:jc w:val="both"/>
        <w:rPr>
          <w:rFonts w:ascii="Garamond" w:hAnsi="Garamond" w:cs="Times New Roman"/>
          <w:sz w:val="20"/>
          <w:szCs w:val="20"/>
        </w:rPr>
      </w:pPr>
    </w:p>
    <w:p w14:paraId="641C6A8C" w14:textId="75428B3B" w:rsidR="00685E69" w:rsidRPr="00685E69" w:rsidRDefault="00685E69" w:rsidP="00785E9E">
      <w:pPr>
        <w:jc w:val="both"/>
        <w:rPr>
          <w:rFonts w:ascii="Garamond" w:hAnsi="Garamond" w:cs="Times New Roman"/>
          <w:b/>
          <w:bCs/>
          <w:sz w:val="20"/>
          <w:szCs w:val="20"/>
        </w:rPr>
      </w:pPr>
      <w:r w:rsidRPr="00685E69">
        <w:rPr>
          <w:rFonts w:ascii="Garamond" w:hAnsi="Garamond" w:cs="Times New Roman"/>
          <w:b/>
          <w:bCs/>
          <w:sz w:val="20"/>
          <w:szCs w:val="20"/>
        </w:rPr>
        <w:t>Declarations</w:t>
      </w:r>
    </w:p>
    <w:p w14:paraId="14C504DE" w14:textId="4AC61CE6" w:rsidR="00685E69" w:rsidRDefault="00685E69" w:rsidP="00785E9E">
      <w:pPr>
        <w:jc w:val="both"/>
        <w:rPr>
          <w:rFonts w:ascii="Garamond" w:hAnsi="Garamond" w:cs="Times New Roman"/>
          <w:sz w:val="20"/>
          <w:szCs w:val="20"/>
        </w:rPr>
      </w:pPr>
      <w:r>
        <w:rPr>
          <w:rFonts w:ascii="Garamond" w:hAnsi="Garamond" w:cs="Times New Roman"/>
          <w:sz w:val="20"/>
          <w:szCs w:val="20"/>
        </w:rPr>
        <w:t>Conflict of interest:</w:t>
      </w:r>
      <w:r w:rsidR="00C36D77">
        <w:rPr>
          <w:rFonts w:ascii="Garamond" w:hAnsi="Garamond" w:cs="Times New Roman"/>
          <w:sz w:val="20"/>
          <w:szCs w:val="20"/>
        </w:rPr>
        <w:t xml:space="preserve"> The authors declare no conflict of interest</w:t>
      </w:r>
    </w:p>
    <w:p w14:paraId="4C93C329" w14:textId="45E19848" w:rsidR="00685E69" w:rsidRPr="00785E9E" w:rsidRDefault="00685E69" w:rsidP="00785E9E">
      <w:pPr>
        <w:jc w:val="both"/>
        <w:rPr>
          <w:rFonts w:ascii="Garamond" w:hAnsi="Garamond" w:cs="Times New Roman"/>
          <w:sz w:val="20"/>
          <w:szCs w:val="20"/>
        </w:rPr>
      </w:pPr>
      <w:r>
        <w:rPr>
          <w:rFonts w:ascii="Garamond" w:hAnsi="Garamond" w:cs="Times New Roman"/>
          <w:sz w:val="20"/>
          <w:szCs w:val="20"/>
        </w:rPr>
        <w:t xml:space="preserve">Funding – </w:t>
      </w:r>
      <w:r w:rsidR="00C36D77">
        <w:rPr>
          <w:rFonts w:ascii="Garamond" w:hAnsi="Garamond" w:cs="Times New Roman"/>
          <w:sz w:val="20"/>
          <w:szCs w:val="20"/>
        </w:rPr>
        <w:t>This research received no specific grant from any funding agency</w:t>
      </w:r>
    </w:p>
    <w:p w14:paraId="6E4BE7C7" w14:textId="77777777" w:rsidR="00785E9E" w:rsidRDefault="00785E9E" w:rsidP="00785E9E">
      <w:pPr>
        <w:rPr>
          <w:rFonts w:ascii="Garamond" w:hAnsi="Garamond" w:cs="Times New Roman"/>
          <w:b/>
          <w:sz w:val="20"/>
          <w:szCs w:val="20"/>
        </w:rPr>
      </w:pPr>
    </w:p>
    <w:p w14:paraId="34D88D59" w14:textId="45D488BF" w:rsidR="00785E9E" w:rsidRPr="00785E9E" w:rsidRDefault="00685E69" w:rsidP="00785E9E">
      <w:pPr>
        <w:rPr>
          <w:rFonts w:ascii="Garamond" w:hAnsi="Garamond" w:cs="Times New Roman"/>
          <w:sz w:val="22"/>
          <w:szCs w:val="22"/>
        </w:rPr>
      </w:pPr>
      <w:r w:rsidRPr="00785E9E">
        <w:rPr>
          <w:rFonts w:ascii="Garamond" w:hAnsi="Garamond" w:cs="Times New Roman"/>
          <w:b/>
          <w:sz w:val="22"/>
          <w:szCs w:val="22"/>
        </w:rPr>
        <w:t xml:space="preserve">REFERENCES </w:t>
      </w:r>
    </w:p>
    <w:p w14:paraId="72B360A0" w14:textId="084145B6" w:rsidR="00785E9E" w:rsidRPr="00685E69" w:rsidRDefault="00785E9E" w:rsidP="00685E69">
      <w:pPr>
        <w:numPr>
          <w:ilvl w:val="0"/>
          <w:numId w:val="26"/>
        </w:numPr>
        <w:ind w:left="284"/>
        <w:rPr>
          <w:rFonts w:ascii="Garamond" w:hAnsi="Garamond" w:cs="Times New Roman"/>
          <w:sz w:val="20"/>
          <w:szCs w:val="20"/>
          <w:u w:val="single"/>
        </w:rPr>
      </w:pPr>
      <w:r w:rsidRPr="00685E69">
        <w:rPr>
          <w:rFonts w:ascii="Garamond" w:hAnsi="Garamond" w:cs="Times New Roman"/>
          <w:sz w:val="20"/>
          <w:szCs w:val="20"/>
        </w:rPr>
        <w:t xml:space="preserve">Roque-Borda, C. A., Duran </w:t>
      </w:r>
      <w:proofErr w:type="spellStart"/>
      <w:r w:rsidRPr="00685E69">
        <w:rPr>
          <w:rFonts w:ascii="Garamond" w:hAnsi="Garamond" w:cs="Times New Roman"/>
          <w:sz w:val="20"/>
          <w:szCs w:val="20"/>
        </w:rPr>
        <w:t>Gleriani</w:t>
      </w:r>
      <w:proofErr w:type="spellEnd"/>
      <w:r w:rsidRPr="00685E69">
        <w:rPr>
          <w:rFonts w:ascii="Garamond" w:hAnsi="Garamond" w:cs="Times New Roman"/>
          <w:sz w:val="20"/>
          <w:szCs w:val="20"/>
        </w:rPr>
        <w:t xml:space="preserve"> Primo, L. M., Medina-Alarcón, K. P., Campos, I. C., Nascimento, C. F., Saraiva, M. M. S., … </w:t>
      </w:r>
      <w:proofErr w:type="spellStart"/>
      <w:r w:rsidRPr="00685E69">
        <w:rPr>
          <w:rFonts w:ascii="Garamond" w:hAnsi="Garamond" w:cs="Times New Roman"/>
          <w:sz w:val="20"/>
          <w:szCs w:val="20"/>
        </w:rPr>
        <w:t>Albericio</w:t>
      </w:r>
      <w:proofErr w:type="spellEnd"/>
      <w:r w:rsidRPr="00685E69">
        <w:rPr>
          <w:rFonts w:ascii="Garamond" w:hAnsi="Garamond" w:cs="Times New Roman"/>
          <w:sz w:val="20"/>
          <w:szCs w:val="20"/>
        </w:rPr>
        <w:t>, F. Antimicrobial peptides: A promising alternative to conventional antimicrobials for combating polymicrobial biofilms. Advanced Science</w:t>
      </w:r>
      <w:r w:rsidR="00C36D77">
        <w:rPr>
          <w:rFonts w:ascii="Garamond" w:hAnsi="Garamond" w:cs="Times New Roman"/>
          <w:sz w:val="20"/>
          <w:szCs w:val="20"/>
        </w:rPr>
        <w:t>. 2025</w:t>
      </w:r>
      <w:r w:rsidRPr="00685E69">
        <w:rPr>
          <w:rFonts w:ascii="Garamond" w:hAnsi="Garamond" w:cs="Times New Roman"/>
          <w:sz w:val="20"/>
          <w:szCs w:val="20"/>
        </w:rPr>
        <w:t xml:space="preserve"> 12(1), e2410893. </w:t>
      </w:r>
      <w:hyperlink r:id="rId32" w:history="1">
        <w:r w:rsidRPr="00685E69">
          <w:rPr>
            <w:rStyle w:val="Hyperlink"/>
            <w:rFonts w:ascii="Garamond" w:hAnsi="Garamond" w:cs="Times New Roman"/>
            <w:sz w:val="20"/>
            <w:szCs w:val="20"/>
          </w:rPr>
          <w:t>https://doi.org/10.1002/advs.202410893</w:t>
        </w:r>
      </w:hyperlink>
    </w:p>
    <w:p w14:paraId="668EDD66" w14:textId="4DABC31C"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Sheldon V., </w:t>
      </w:r>
      <w:proofErr w:type="spellStart"/>
      <w:r w:rsidRPr="00685E69">
        <w:rPr>
          <w:rFonts w:ascii="Garamond" w:hAnsi="Garamond" w:cs="Times New Roman"/>
          <w:sz w:val="20"/>
          <w:szCs w:val="20"/>
        </w:rPr>
        <w:t>Loandi</w:t>
      </w:r>
      <w:proofErr w:type="spellEnd"/>
      <w:r w:rsidRPr="00685E69">
        <w:rPr>
          <w:rFonts w:ascii="Garamond" w:hAnsi="Garamond" w:cs="Times New Roman"/>
          <w:sz w:val="20"/>
          <w:szCs w:val="20"/>
        </w:rPr>
        <w:t xml:space="preserve"> R., Jonathan F., Lise K., Occurrence and Genotypic Characterization of Selected Multidrug-resistant ESKAPE-E Pathogens Isolated from Integrated Smallholder Fresh Produce Farms. Journal of Food Protection</w:t>
      </w:r>
      <w:r w:rsidR="00C36D77">
        <w:rPr>
          <w:rFonts w:ascii="Garamond" w:hAnsi="Garamond" w:cs="Times New Roman"/>
          <w:sz w:val="20"/>
          <w:szCs w:val="20"/>
        </w:rPr>
        <w:t>. 2025;</w:t>
      </w:r>
      <w:r w:rsidRPr="00685E69">
        <w:rPr>
          <w:rFonts w:ascii="Garamond" w:hAnsi="Garamond" w:cs="Times New Roman"/>
          <w:sz w:val="20"/>
          <w:szCs w:val="20"/>
        </w:rPr>
        <w:t xml:space="preserve"> 88, 100543</w:t>
      </w:r>
    </w:p>
    <w:p w14:paraId="11D074E3" w14:textId="4C32C5C4"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Mohamed, R. A., Lim, S. P., &amp; Tan, K. H. Multidrug-resistant Acinetobacter baumannii: Biofilm formation, pathogenesis, and therapeutic perspectives. Infectious Disease Reports</w:t>
      </w:r>
      <w:r w:rsidR="00C36D77">
        <w:rPr>
          <w:rFonts w:ascii="Garamond" w:hAnsi="Garamond" w:cs="Times New Roman"/>
          <w:sz w:val="20"/>
          <w:szCs w:val="20"/>
        </w:rPr>
        <w:t>. 2024;</w:t>
      </w:r>
      <w:r w:rsidRPr="00685E69">
        <w:rPr>
          <w:rFonts w:ascii="Garamond" w:hAnsi="Garamond" w:cs="Times New Roman"/>
          <w:sz w:val="20"/>
          <w:szCs w:val="20"/>
        </w:rPr>
        <w:t xml:space="preserve"> 16(1), 56–67. </w:t>
      </w:r>
    </w:p>
    <w:p w14:paraId="0520F259" w14:textId="4BD00C1E"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Baharak B. F., Diego A., Philipp K., Antibiotics’ collateral eﬀects on the gut microbiota in the selection of ESKAPE pathogens. CMI Communications</w:t>
      </w:r>
      <w:r w:rsidR="00C36D77">
        <w:rPr>
          <w:rFonts w:ascii="Garamond" w:hAnsi="Garamond" w:cs="Times New Roman"/>
          <w:sz w:val="20"/>
          <w:szCs w:val="20"/>
        </w:rPr>
        <w:t>. 2024;</w:t>
      </w:r>
      <w:r w:rsidRPr="00685E69">
        <w:rPr>
          <w:rFonts w:ascii="Garamond" w:hAnsi="Garamond" w:cs="Times New Roman"/>
          <w:sz w:val="20"/>
          <w:szCs w:val="20"/>
        </w:rPr>
        <w:t xml:space="preserve"> 1. 100012</w:t>
      </w:r>
    </w:p>
    <w:p w14:paraId="5BFDF78E" w14:textId="33F4D75F"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Christiana E. A., </w:t>
      </w:r>
      <w:proofErr w:type="spellStart"/>
      <w:r w:rsidRPr="00685E69">
        <w:rPr>
          <w:rFonts w:ascii="Garamond" w:hAnsi="Garamond" w:cs="Times New Roman"/>
          <w:sz w:val="20"/>
          <w:szCs w:val="20"/>
        </w:rPr>
        <w:t>Theolyn</w:t>
      </w:r>
      <w:proofErr w:type="spellEnd"/>
      <w:r w:rsidRPr="00685E69">
        <w:rPr>
          <w:rFonts w:ascii="Garamond" w:hAnsi="Garamond" w:cs="Times New Roman"/>
          <w:sz w:val="20"/>
          <w:szCs w:val="20"/>
        </w:rPr>
        <w:t xml:space="preserve"> C., Nosipho W. S., </w:t>
      </w:r>
      <w:proofErr w:type="spellStart"/>
      <w:r w:rsidRPr="00685E69">
        <w:rPr>
          <w:rFonts w:ascii="Garamond" w:hAnsi="Garamond" w:cs="Times New Roman"/>
          <w:sz w:val="20"/>
          <w:szCs w:val="20"/>
        </w:rPr>
        <w:t>Yamkela</w:t>
      </w:r>
      <w:proofErr w:type="spellEnd"/>
      <w:r w:rsidRPr="00685E69">
        <w:rPr>
          <w:rFonts w:ascii="Garamond" w:hAnsi="Garamond" w:cs="Times New Roman"/>
          <w:sz w:val="20"/>
          <w:szCs w:val="20"/>
        </w:rPr>
        <w:t xml:space="preserve"> D., Saheed S</w:t>
      </w:r>
      <w:r w:rsidR="00C36D77">
        <w:rPr>
          <w:rFonts w:ascii="Garamond" w:hAnsi="Garamond" w:cs="Times New Roman"/>
          <w:sz w:val="20"/>
          <w:szCs w:val="20"/>
        </w:rPr>
        <w:t>.</w:t>
      </w:r>
      <w:r w:rsidRPr="00685E69">
        <w:rPr>
          <w:rFonts w:ascii="Garamond" w:hAnsi="Garamond" w:cs="Times New Roman"/>
          <w:sz w:val="20"/>
          <w:szCs w:val="20"/>
        </w:rPr>
        <w:t xml:space="preserve"> ESKAPE pathogens and associated quorum sensing systems: New targets for novel antimicrobials development. Health Sciences Review. </w:t>
      </w:r>
      <w:r w:rsidR="00C36D77">
        <w:rPr>
          <w:rFonts w:ascii="Garamond" w:hAnsi="Garamond" w:cs="Times New Roman"/>
          <w:sz w:val="20"/>
          <w:szCs w:val="20"/>
        </w:rPr>
        <w:t>2024;</w:t>
      </w:r>
      <w:r w:rsidRPr="00685E69">
        <w:rPr>
          <w:rFonts w:ascii="Garamond" w:hAnsi="Garamond" w:cs="Times New Roman"/>
          <w:sz w:val="20"/>
          <w:szCs w:val="20"/>
        </w:rPr>
        <w:t>11, 1000155</w:t>
      </w:r>
    </w:p>
    <w:p w14:paraId="390ED768" w14:textId="4884A4FC"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Percival, S. L., McCarty, S. M., &amp; Lipsky, B. Biofilms and wound healing: The role of ESKAPE pathogens in chronic wounds. Advances in Wound Care</w:t>
      </w:r>
      <w:r w:rsidR="00C36D77">
        <w:rPr>
          <w:rFonts w:ascii="Garamond" w:hAnsi="Garamond" w:cs="Times New Roman"/>
          <w:sz w:val="20"/>
          <w:szCs w:val="20"/>
        </w:rPr>
        <w:t>.2015;</w:t>
      </w:r>
      <w:r w:rsidRPr="00685E69">
        <w:rPr>
          <w:rFonts w:ascii="Garamond" w:hAnsi="Garamond" w:cs="Times New Roman"/>
          <w:sz w:val="20"/>
          <w:szCs w:val="20"/>
        </w:rPr>
        <w:t xml:space="preserve">4(7), 373–381. </w:t>
      </w:r>
      <w:hyperlink r:id="rId33" w:tgtFrame="_new" w:history="1">
        <w:r w:rsidRPr="00685E69">
          <w:rPr>
            <w:rStyle w:val="Hyperlink"/>
            <w:rFonts w:ascii="Garamond" w:hAnsi="Garamond" w:cs="Times New Roman"/>
            <w:sz w:val="20"/>
            <w:szCs w:val="20"/>
          </w:rPr>
          <w:t>https://doi.org/10.1089/wound.2014.0557</w:t>
        </w:r>
      </w:hyperlink>
    </w:p>
    <w:p w14:paraId="096A7BF0" w14:textId="123A109B"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Zhou Y., Dan H., Kai Z., </w:t>
      </w:r>
      <w:proofErr w:type="spellStart"/>
      <w:r w:rsidRPr="00685E69">
        <w:rPr>
          <w:rFonts w:ascii="Garamond" w:hAnsi="Garamond" w:cs="Times New Roman"/>
          <w:sz w:val="20"/>
          <w:szCs w:val="20"/>
        </w:rPr>
        <w:t>Conghao</w:t>
      </w:r>
      <w:proofErr w:type="spellEnd"/>
      <w:r w:rsidRPr="00685E69">
        <w:rPr>
          <w:rFonts w:ascii="Garamond" w:hAnsi="Garamond" w:cs="Times New Roman"/>
          <w:sz w:val="20"/>
          <w:szCs w:val="20"/>
        </w:rPr>
        <w:t xml:space="preserve"> G., Xiaoyun C., </w:t>
      </w:r>
      <w:proofErr w:type="spellStart"/>
      <w:r w:rsidRPr="00685E69">
        <w:rPr>
          <w:rFonts w:ascii="Garamond" w:hAnsi="Garamond" w:cs="Times New Roman"/>
          <w:sz w:val="20"/>
          <w:szCs w:val="20"/>
        </w:rPr>
        <w:t>Qingjie</w:t>
      </w:r>
      <w:proofErr w:type="spellEnd"/>
      <w:r w:rsidRPr="00685E69">
        <w:rPr>
          <w:rFonts w:ascii="Garamond" w:hAnsi="Garamond" w:cs="Times New Roman"/>
          <w:sz w:val="20"/>
          <w:szCs w:val="20"/>
        </w:rPr>
        <w:t xml:space="preserve"> Z., Yan Z., Lei Y., Optimization of antimicrobial peptide Smp43 as novel inhibitors of </w:t>
      </w:r>
      <w:r w:rsidRPr="00685E69">
        <w:rPr>
          <w:rFonts w:ascii="Garamond" w:hAnsi="Garamond" w:cs="Times New Roman"/>
          <w:sz w:val="20"/>
          <w:szCs w:val="20"/>
        </w:rPr>
        <w:t xml:space="preserve">Cancer. Bioorganic Chemistry. </w:t>
      </w:r>
      <w:r w:rsidR="00C36D77">
        <w:rPr>
          <w:rFonts w:ascii="Garamond" w:hAnsi="Garamond" w:cs="Times New Roman"/>
          <w:sz w:val="20"/>
          <w:szCs w:val="20"/>
        </w:rPr>
        <w:t>2025;</w:t>
      </w:r>
      <w:r w:rsidRPr="00685E69">
        <w:rPr>
          <w:rFonts w:ascii="Garamond" w:hAnsi="Garamond" w:cs="Times New Roman"/>
          <w:sz w:val="20"/>
          <w:szCs w:val="20"/>
        </w:rPr>
        <w:t>161, 108561, 0045-2068,</w:t>
      </w:r>
    </w:p>
    <w:p w14:paraId="552160C8" w14:textId="0F4FA291"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Tyagi, J. L., Gupta, P., Ghate, M. M., Kumar, D., &amp; </w:t>
      </w:r>
      <w:proofErr w:type="spellStart"/>
      <w:r w:rsidRPr="00685E69">
        <w:rPr>
          <w:rFonts w:ascii="Garamond" w:hAnsi="Garamond" w:cs="Times New Roman"/>
          <w:sz w:val="20"/>
          <w:szCs w:val="20"/>
        </w:rPr>
        <w:t>Poluri</w:t>
      </w:r>
      <w:proofErr w:type="spellEnd"/>
      <w:r w:rsidRPr="00685E69">
        <w:rPr>
          <w:rFonts w:ascii="Garamond" w:hAnsi="Garamond" w:cs="Times New Roman"/>
          <w:sz w:val="20"/>
          <w:szCs w:val="20"/>
        </w:rPr>
        <w:t>, K. M. Assessing the synergistic potential of bacteriophage endolysins and antimicrobial peptides for eradicating bacterial biofilms. Archives of Microbiology</w:t>
      </w:r>
      <w:r w:rsidR="00C36D77">
        <w:rPr>
          <w:rFonts w:ascii="Garamond" w:hAnsi="Garamond" w:cs="Times New Roman"/>
          <w:sz w:val="20"/>
          <w:szCs w:val="20"/>
        </w:rPr>
        <w:t>.2024;</w:t>
      </w:r>
      <w:r w:rsidRPr="00685E69">
        <w:rPr>
          <w:rFonts w:ascii="Garamond" w:hAnsi="Garamond" w:cs="Times New Roman"/>
          <w:sz w:val="20"/>
          <w:szCs w:val="20"/>
        </w:rPr>
        <w:t xml:space="preserve">206(6), 272. </w:t>
      </w:r>
      <w:hyperlink r:id="rId34" w:tgtFrame="_new" w:history="1">
        <w:r w:rsidRPr="00685E69">
          <w:rPr>
            <w:rStyle w:val="Hyperlink"/>
            <w:rFonts w:ascii="Garamond" w:hAnsi="Garamond" w:cs="Times New Roman"/>
            <w:sz w:val="20"/>
            <w:szCs w:val="20"/>
          </w:rPr>
          <w:t>https://doi.org/10.1007/s00203-024-04003-6</w:t>
        </w:r>
      </w:hyperlink>
    </w:p>
    <w:p w14:paraId="7C8AB424" w14:textId="05564FB1"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Zheng, B., Wang, X., Guo, M., &amp; Tzeng, C.-M. Therapeutic peptides: Recent advances in discovery, synthesis, and clinical translation. International Journal of Molecular Sciences</w:t>
      </w:r>
      <w:r w:rsidR="00C36D77">
        <w:rPr>
          <w:rFonts w:ascii="Garamond" w:hAnsi="Garamond" w:cs="Times New Roman"/>
          <w:sz w:val="20"/>
          <w:szCs w:val="20"/>
        </w:rPr>
        <w:t>. 2025;</w:t>
      </w:r>
      <w:r w:rsidRPr="00685E69">
        <w:rPr>
          <w:rFonts w:ascii="Garamond" w:hAnsi="Garamond" w:cs="Times New Roman"/>
          <w:sz w:val="20"/>
          <w:szCs w:val="20"/>
        </w:rPr>
        <w:t xml:space="preserve"> 26(11), 5131. </w:t>
      </w:r>
    </w:p>
    <w:p w14:paraId="26508F2F" w14:textId="04A62271" w:rsidR="00785E9E" w:rsidRPr="00C36D77" w:rsidRDefault="00785E9E" w:rsidP="00C36D77">
      <w:pPr>
        <w:numPr>
          <w:ilvl w:val="0"/>
          <w:numId w:val="26"/>
        </w:numPr>
        <w:ind w:left="284"/>
        <w:rPr>
          <w:rFonts w:ascii="Garamond" w:hAnsi="Garamond" w:cs="Times New Roman"/>
          <w:sz w:val="20"/>
          <w:szCs w:val="20"/>
        </w:rPr>
      </w:pPr>
      <w:r w:rsidRPr="00685E69">
        <w:rPr>
          <w:rFonts w:ascii="Garamond" w:hAnsi="Garamond" w:cs="Times New Roman"/>
          <w:sz w:val="20"/>
          <w:szCs w:val="20"/>
        </w:rPr>
        <w:t>Brizuela, C. A., Liu, G., Stokes, J. M., &amp; de la Fuente</w:t>
      </w:r>
      <w:r w:rsidRPr="00685E69">
        <w:rPr>
          <w:rFonts w:ascii="Garamond" w:hAnsi="Garamond" w:cs="Times New Roman"/>
          <w:sz w:val="20"/>
          <w:szCs w:val="20"/>
        </w:rPr>
        <w:noBreakHyphen/>
        <w:t>Núñez, C. AI methods for antimicrobial peptides: progress and challenges.</w:t>
      </w:r>
      <w:r w:rsidRPr="00685E69">
        <w:rPr>
          <w:rFonts w:ascii="Times New Roman" w:hAnsi="Times New Roman" w:cs="Times New Roman"/>
          <w:sz w:val="20"/>
          <w:szCs w:val="20"/>
        </w:rPr>
        <w:t> </w:t>
      </w:r>
      <w:r w:rsidRPr="00685E69">
        <w:rPr>
          <w:rFonts w:ascii="Garamond" w:hAnsi="Garamond" w:cs="Times New Roman"/>
          <w:sz w:val="20"/>
          <w:szCs w:val="20"/>
        </w:rPr>
        <w:t>Microbial Biotechnology</w:t>
      </w:r>
      <w:r w:rsidR="00C36D77">
        <w:rPr>
          <w:rFonts w:ascii="Garamond" w:hAnsi="Garamond" w:cs="Times New Roman"/>
          <w:sz w:val="20"/>
          <w:szCs w:val="20"/>
        </w:rPr>
        <w:t>. 2025;</w:t>
      </w:r>
      <w:r w:rsidRPr="00685E69">
        <w:rPr>
          <w:rFonts w:ascii="Garamond" w:hAnsi="Garamond" w:cs="Times New Roman"/>
          <w:sz w:val="20"/>
          <w:szCs w:val="20"/>
        </w:rPr>
        <w:t xml:space="preserve"> 18(1), e70072. </w:t>
      </w:r>
      <w:hyperlink r:id="rId35" w:tgtFrame="_new" w:history="1">
        <w:r w:rsidRPr="00685E69">
          <w:rPr>
            <w:rStyle w:val="Hyperlink"/>
            <w:rFonts w:ascii="Garamond" w:hAnsi="Garamond" w:cs="Times New Roman"/>
            <w:sz w:val="20"/>
            <w:szCs w:val="20"/>
          </w:rPr>
          <w:t>https://doi.org/10.1111/1751-7915.70072</w:t>
        </w:r>
      </w:hyperlink>
    </w:p>
    <w:p w14:paraId="2496835F" w14:textId="4B741749" w:rsidR="00785E9E" w:rsidRPr="00C36D77" w:rsidRDefault="00785E9E" w:rsidP="00C36D77">
      <w:pPr>
        <w:numPr>
          <w:ilvl w:val="0"/>
          <w:numId w:val="26"/>
        </w:numPr>
        <w:ind w:left="284"/>
        <w:rPr>
          <w:rFonts w:ascii="Garamond" w:hAnsi="Garamond" w:cs="Times New Roman"/>
          <w:sz w:val="20"/>
          <w:szCs w:val="20"/>
          <w:u w:val="single"/>
        </w:rPr>
      </w:pPr>
      <w:r w:rsidRPr="00685E69">
        <w:rPr>
          <w:rFonts w:ascii="Garamond" w:hAnsi="Garamond" w:cs="Times New Roman"/>
          <w:sz w:val="20"/>
          <w:szCs w:val="20"/>
        </w:rPr>
        <w:t xml:space="preserve">Copling, A., </w:t>
      </w:r>
      <w:proofErr w:type="spellStart"/>
      <w:r w:rsidRPr="00685E69">
        <w:rPr>
          <w:rFonts w:ascii="Garamond" w:hAnsi="Garamond" w:cs="Times New Roman"/>
          <w:sz w:val="20"/>
          <w:szCs w:val="20"/>
        </w:rPr>
        <w:t>Akantibila</w:t>
      </w:r>
      <w:proofErr w:type="spellEnd"/>
      <w:r w:rsidRPr="00685E69">
        <w:rPr>
          <w:rFonts w:ascii="Garamond" w:hAnsi="Garamond" w:cs="Times New Roman"/>
          <w:sz w:val="20"/>
          <w:szCs w:val="20"/>
        </w:rPr>
        <w:t>, M., Kumaresan, R., Fleischer, G., Cortes, D., Tripathi, R.</w:t>
      </w:r>
      <w:r w:rsidRPr="00685E69">
        <w:rPr>
          <w:rFonts w:ascii="Times New Roman" w:hAnsi="Times New Roman" w:cs="Times New Roman"/>
          <w:sz w:val="20"/>
          <w:szCs w:val="20"/>
        </w:rPr>
        <w:t> </w:t>
      </w:r>
      <w:r w:rsidRPr="00685E69">
        <w:rPr>
          <w:rFonts w:ascii="Garamond" w:hAnsi="Garamond" w:cs="Times New Roman"/>
          <w:sz w:val="20"/>
          <w:szCs w:val="20"/>
        </w:rPr>
        <w:t>S., Carabetta, V.</w:t>
      </w:r>
      <w:r w:rsidRPr="00685E69">
        <w:rPr>
          <w:rFonts w:ascii="Times New Roman" w:hAnsi="Times New Roman" w:cs="Times New Roman"/>
          <w:sz w:val="20"/>
          <w:szCs w:val="20"/>
        </w:rPr>
        <w:t> </w:t>
      </w:r>
      <w:r w:rsidRPr="00685E69">
        <w:rPr>
          <w:rFonts w:ascii="Garamond" w:hAnsi="Garamond" w:cs="Times New Roman"/>
          <w:sz w:val="20"/>
          <w:szCs w:val="20"/>
        </w:rPr>
        <w:t>J., &amp; Vega, S.</w:t>
      </w:r>
      <w:r w:rsidRPr="00685E69">
        <w:rPr>
          <w:rFonts w:ascii="Times New Roman" w:hAnsi="Times New Roman" w:cs="Times New Roman"/>
          <w:sz w:val="20"/>
          <w:szCs w:val="20"/>
        </w:rPr>
        <w:t> </w:t>
      </w:r>
      <w:r w:rsidRPr="00685E69">
        <w:rPr>
          <w:rFonts w:ascii="Garamond" w:hAnsi="Garamond" w:cs="Times New Roman"/>
          <w:sz w:val="20"/>
          <w:szCs w:val="20"/>
        </w:rPr>
        <w:t>L. Recent Advances in Antimicrobial Peptide Hydrogels. International Journal of Molecular Sciences</w:t>
      </w:r>
      <w:r w:rsidR="00C36D77">
        <w:rPr>
          <w:rFonts w:ascii="Garamond" w:hAnsi="Garamond" w:cs="Times New Roman"/>
          <w:sz w:val="20"/>
          <w:szCs w:val="20"/>
        </w:rPr>
        <w:t>. 2023;</w:t>
      </w:r>
      <w:r w:rsidRPr="00685E69">
        <w:rPr>
          <w:rFonts w:ascii="Garamond" w:hAnsi="Garamond" w:cs="Times New Roman"/>
          <w:sz w:val="20"/>
          <w:szCs w:val="20"/>
        </w:rPr>
        <w:t xml:space="preserve"> 24(8), 7563. </w:t>
      </w:r>
      <w:hyperlink r:id="rId36" w:history="1">
        <w:r w:rsidRPr="00685E69">
          <w:rPr>
            <w:rStyle w:val="Hyperlink"/>
            <w:rFonts w:ascii="Garamond" w:hAnsi="Garamond" w:cs="Times New Roman"/>
            <w:sz w:val="20"/>
            <w:szCs w:val="20"/>
          </w:rPr>
          <w:t>https://doi.org/10.3390/ijms24087563</w:t>
        </w:r>
      </w:hyperlink>
    </w:p>
    <w:p w14:paraId="3D3AA290" w14:textId="5158188C"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Navarro</w:t>
      </w:r>
      <w:r w:rsidRPr="00685E69">
        <w:rPr>
          <w:rFonts w:ascii="Cambria Math" w:hAnsi="Cambria Math" w:cs="Cambria Math"/>
          <w:sz w:val="20"/>
          <w:szCs w:val="20"/>
        </w:rPr>
        <w:t>‐</w:t>
      </w:r>
      <w:r w:rsidRPr="00685E69">
        <w:rPr>
          <w:rFonts w:ascii="Garamond" w:hAnsi="Garamond" w:cs="Times New Roman"/>
          <w:sz w:val="20"/>
          <w:szCs w:val="20"/>
        </w:rPr>
        <w:t>Santana, M., Jim</w:t>
      </w:r>
      <w:r w:rsidRPr="00685E69">
        <w:rPr>
          <w:rFonts w:ascii="Garamond" w:hAnsi="Garamond" w:cs="Garamond"/>
          <w:sz w:val="20"/>
          <w:szCs w:val="20"/>
        </w:rPr>
        <w:t>é</w:t>
      </w:r>
      <w:r w:rsidRPr="00685E69">
        <w:rPr>
          <w:rFonts w:ascii="Garamond" w:hAnsi="Garamond" w:cs="Times New Roman"/>
          <w:sz w:val="20"/>
          <w:szCs w:val="20"/>
        </w:rPr>
        <w:t>nez</w:t>
      </w:r>
      <w:r w:rsidRPr="00685E69">
        <w:rPr>
          <w:rFonts w:ascii="Cambria Math" w:hAnsi="Cambria Math" w:cs="Cambria Math"/>
          <w:sz w:val="20"/>
          <w:szCs w:val="20"/>
        </w:rPr>
        <w:t>‐</w:t>
      </w:r>
      <w:r w:rsidRPr="00685E69">
        <w:rPr>
          <w:rFonts w:ascii="Garamond" w:hAnsi="Garamond" w:cs="Times New Roman"/>
          <w:sz w:val="20"/>
          <w:szCs w:val="20"/>
        </w:rPr>
        <w:t>Castellanos, J. C., &amp; Hern</w:t>
      </w:r>
      <w:r w:rsidRPr="00685E69">
        <w:rPr>
          <w:rFonts w:ascii="Garamond" w:hAnsi="Garamond" w:cs="Garamond"/>
          <w:sz w:val="20"/>
          <w:szCs w:val="20"/>
        </w:rPr>
        <w:t>á</w:t>
      </w:r>
      <w:r w:rsidRPr="00685E69">
        <w:rPr>
          <w:rFonts w:ascii="Garamond" w:hAnsi="Garamond" w:cs="Times New Roman"/>
          <w:sz w:val="20"/>
          <w:szCs w:val="20"/>
        </w:rPr>
        <w:t>ndez</w:t>
      </w:r>
      <w:r w:rsidRPr="00685E69">
        <w:rPr>
          <w:rFonts w:ascii="Cambria Math" w:hAnsi="Cambria Math" w:cs="Cambria Math"/>
          <w:sz w:val="20"/>
          <w:szCs w:val="20"/>
        </w:rPr>
        <w:t>‐</w:t>
      </w:r>
      <w:r w:rsidRPr="00685E69">
        <w:rPr>
          <w:rFonts w:ascii="Garamond" w:hAnsi="Garamond" w:cs="Times New Roman"/>
          <w:sz w:val="20"/>
          <w:szCs w:val="20"/>
        </w:rPr>
        <w:t>Arriaga, A.</w:t>
      </w:r>
      <w:r w:rsidRPr="00685E69">
        <w:rPr>
          <w:rFonts w:ascii="Times New Roman" w:hAnsi="Times New Roman" w:cs="Times New Roman"/>
          <w:sz w:val="20"/>
          <w:szCs w:val="20"/>
        </w:rPr>
        <w:t> </w:t>
      </w:r>
      <w:r w:rsidRPr="00685E69">
        <w:rPr>
          <w:rFonts w:ascii="Garamond" w:hAnsi="Garamond" w:cs="Times New Roman"/>
          <w:sz w:val="20"/>
          <w:szCs w:val="20"/>
        </w:rPr>
        <w:t>Antimicrobial activity and synergistic effect of phage-encoded antimicrobial peptides with colistin and outer membrane–permeabilizing agents against</w:t>
      </w:r>
      <w:r w:rsidRPr="00685E69">
        <w:rPr>
          <w:rFonts w:ascii="Times New Roman" w:hAnsi="Times New Roman" w:cs="Times New Roman"/>
          <w:sz w:val="20"/>
          <w:szCs w:val="20"/>
        </w:rPr>
        <w:t> </w:t>
      </w:r>
      <w:r w:rsidRPr="00685E69">
        <w:rPr>
          <w:rFonts w:ascii="Garamond" w:hAnsi="Garamond" w:cs="Times New Roman"/>
          <w:sz w:val="20"/>
          <w:szCs w:val="20"/>
        </w:rPr>
        <w:t>Acinetobacter baumannii.</w:t>
      </w:r>
      <w:r w:rsidRPr="00685E69">
        <w:rPr>
          <w:rFonts w:ascii="Times New Roman" w:hAnsi="Times New Roman" w:cs="Times New Roman"/>
          <w:sz w:val="20"/>
          <w:szCs w:val="20"/>
        </w:rPr>
        <w:t> </w:t>
      </w:r>
      <w:proofErr w:type="spellStart"/>
      <w:r w:rsidRPr="00685E69">
        <w:rPr>
          <w:rFonts w:ascii="Garamond" w:hAnsi="Garamond" w:cs="Times New Roman"/>
          <w:sz w:val="20"/>
          <w:szCs w:val="20"/>
        </w:rPr>
        <w:t>PeerJ</w:t>
      </w:r>
      <w:proofErr w:type="spellEnd"/>
      <w:r w:rsidR="00C36D77">
        <w:rPr>
          <w:rFonts w:ascii="Garamond" w:hAnsi="Garamond" w:cs="Times New Roman"/>
          <w:sz w:val="20"/>
          <w:szCs w:val="20"/>
        </w:rPr>
        <w:t>. 2024;</w:t>
      </w:r>
      <w:r w:rsidRPr="00685E69">
        <w:rPr>
          <w:rFonts w:ascii="Garamond" w:hAnsi="Garamond" w:cs="Times New Roman"/>
          <w:sz w:val="20"/>
          <w:szCs w:val="20"/>
        </w:rPr>
        <w:t xml:space="preserve">12, e18722. </w:t>
      </w:r>
      <w:hyperlink r:id="rId37" w:tgtFrame="_new" w:history="1">
        <w:r w:rsidRPr="00685E69">
          <w:rPr>
            <w:rStyle w:val="Hyperlink"/>
            <w:rFonts w:ascii="Garamond" w:hAnsi="Garamond" w:cs="Times New Roman"/>
            <w:sz w:val="20"/>
            <w:szCs w:val="20"/>
          </w:rPr>
          <w:t>https://doi.org/10.7717/peerj.18722</w:t>
        </w:r>
      </w:hyperlink>
    </w:p>
    <w:p w14:paraId="0D7B39FE" w14:textId="754F5E0F"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Zhang, H., Liang, S., Wang, J., Zhu, Y., Zhang, W., Liu, S., Schwarz, S., &amp; Xie, F. Bactericidal synergism between phage endolysin Ply2660 and </w:t>
      </w:r>
      <w:proofErr w:type="spellStart"/>
      <w:r w:rsidRPr="00685E69">
        <w:rPr>
          <w:rFonts w:ascii="Garamond" w:hAnsi="Garamond" w:cs="Times New Roman"/>
          <w:sz w:val="20"/>
          <w:szCs w:val="20"/>
        </w:rPr>
        <w:t>cathelicidin</w:t>
      </w:r>
      <w:proofErr w:type="spellEnd"/>
      <w:r w:rsidRPr="00685E69">
        <w:rPr>
          <w:rFonts w:ascii="Garamond" w:hAnsi="Garamond" w:cs="Times New Roman"/>
          <w:sz w:val="20"/>
          <w:szCs w:val="20"/>
        </w:rPr>
        <w:t xml:space="preserve"> LL</w:t>
      </w:r>
      <w:r w:rsidRPr="00685E69">
        <w:rPr>
          <w:rFonts w:ascii="Garamond" w:hAnsi="Garamond" w:cs="Times New Roman"/>
          <w:sz w:val="20"/>
          <w:szCs w:val="20"/>
        </w:rPr>
        <w:noBreakHyphen/>
        <w:t>37 against vancomycin</w:t>
      </w:r>
      <w:r w:rsidRPr="00685E69">
        <w:rPr>
          <w:rFonts w:ascii="Garamond" w:hAnsi="Garamond" w:cs="Times New Roman"/>
          <w:sz w:val="20"/>
          <w:szCs w:val="20"/>
        </w:rPr>
        <w:noBreakHyphen/>
        <w:t>resistant Enterococcus faecalis biofilms. NPJ Biofilms and Microbiomes</w:t>
      </w:r>
      <w:r w:rsidR="00C36D77">
        <w:rPr>
          <w:rFonts w:ascii="Garamond" w:hAnsi="Garamond" w:cs="Times New Roman"/>
          <w:sz w:val="20"/>
          <w:szCs w:val="20"/>
        </w:rPr>
        <w:t>. 2023;</w:t>
      </w:r>
      <w:r w:rsidRPr="00685E69">
        <w:rPr>
          <w:rFonts w:ascii="Garamond" w:hAnsi="Garamond" w:cs="Times New Roman"/>
          <w:sz w:val="20"/>
          <w:szCs w:val="20"/>
        </w:rPr>
        <w:t xml:space="preserve"> 9(1), 16. </w:t>
      </w:r>
    </w:p>
    <w:p w14:paraId="4B6C8A48" w14:textId="7B5B73C9"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Bauer, R., &amp; Dicks, L. M. Mode of action of lipid II-targeting </w:t>
      </w:r>
      <w:proofErr w:type="spellStart"/>
      <w:r w:rsidRPr="00685E69">
        <w:rPr>
          <w:rFonts w:ascii="Garamond" w:hAnsi="Garamond" w:cs="Times New Roman"/>
          <w:sz w:val="20"/>
          <w:szCs w:val="20"/>
        </w:rPr>
        <w:t>lantibiotics</w:t>
      </w:r>
      <w:proofErr w:type="spellEnd"/>
      <w:r w:rsidRPr="00685E69">
        <w:rPr>
          <w:rFonts w:ascii="Garamond" w:hAnsi="Garamond" w:cs="Times New Roman"/>
          <w:sz w:val="20"/>
          <w:szCs w:val="20"/>
        </w:rPr>
        <w:t>. International Journal of Food Microbiology</w:t>
      </w:r>
      <w:r w:rsidR="00C36D77">
        <w:rPr>
          <w:rFonts w:ascii="Garamond" w:hAnsi="Garamond" w:cs="Times New Roman"/>
          <w:sz w:val="20"/>
          <w:szCs w:val="20"/>
        </w:rPr>
        <w:t>. 2005;</w:t>
      </w:r>
      <w:r w:rsidRPr="00685E69">
        <w:rPr>
          <w:rFonts w:ascii="Garamond" w:hAnsi="Garamond" w:cs="Times New Roman"/>
          <w:sz w:val="20"/>
          <w:szCs w:val="20"/>
        </w:rPr>
        <w:t xml:space="preserve">101(2), 201–216. </w:t>
      </w:r>
      <w:hyperlink r:id="rId38" w:tgtFrame="_new" w:history="1">
        <w:r w:rsidRPr="00685E69">
          <w:rPr>
            <w:rStyle w:val="Hyperlink"/>
            <w:rFonts w:ascii="Garamond" w:hAnsi="Garamond" w:cs="Times New Roman"/>
            <w:sz w:val="20"/>
            <w:szCs w:val="20"/>
          </w:rPr>
          <w:t>https://doi.org/10.1016/j.ijfoodmicro.2004.11.007</w:t>
        </w:r>
      </w:hyperlink>
    </w:p>
    <w:p w14:paraId="1E01D129" w14:textId="78353BDA"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Ciulla, F., Carotenuto, A., &amp; Pedone, C.</w:t>
      </w:r>
      <w:r w:rsidR="00C36D77">
        <w:rPr>
          <w:rFonts w:ascii="Garamond" w:hAnsi="Garamond" w:cs="Times New Roman"/>
          <w:sz w:val="20"/>
          <w:szCs w:val="20"/>
        </w:rPr>
        <w:t xml:space="preserve"> </w:t>
      </w:r>
      <w:r w:rsidRPr="00685E69">
        <w:rPr>
          <w:rFonts w:ascii="Garamond" w:hAnsi="Garamond" w:cs="Times New Roman"/>
          <w:sz w:val="20"/>
          <w:szCs w:val="20"/>
        </w:rPr>
        <w:t>Antimicrobial peptides: Structure, mechanism, and modification. European Journal of Medicinal Chemistry</w:t>
      </w:r>
      <w:r w:rsidR="00C36D77">
        <w:rPr>
          <w:rFonts w:ascii="Garamond" w:hAnsi="Garamond" w:cs="Times New Roman"/>
          <w:sz w:val="20"/>
          <w:szCs w:val="20"/>
        </w:rPr>
        <w:t>. 2023;</w:t>
      </w:r>
      <w:r w:rsidRPr="00685E69">
        <w:rPr>
          <w:rFonts w:ascii="Garamond" w:hAnsi="Garamond" w:cs="Times New Roman"/>
          <w:sz w:val="20"/>
          <w:szCs w:val="20"/>
        </w:rPr>
        <w:t xml:space="preserve">255, Article 115377. </w:t>
      </w:r>
      <w:hyperlink r:id="rId39" w:tgtFrame="_new" w:history="1">
        <w:r w:rsidRPr="00685E69">
          <w:rPr>
            <w:rStyle w:val="Hyperlink"/>
            <w:rFonts w:ascii="Garamond" w:hAnsi="Garamond" w:cs="Times New Roman"/>
            <w:sz w:val="20"/>
            <w:szCs w:val="20"/>
          </w:rPr>
          <w:t>https://doi.org/10.1016/j.ejmech.2023.115377</w:t>
        </w:r>
      </w:hyperlink>
    </w:p>
    <w:p w14:paraId="46C1E60A" w14:textId="6AAE555C"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Singh, B. P., Rohit, Manju, K. M., Sharma, R., Bhushan, B., Ghosh, S., &amp; Goel, G. Nano-Conjugated food-derived antimicrobial peptides as natural </w:t>
      </w:r>
      <w:r w:rsidR="00C36D77" w:rsidRPr="00685E69">
        <w:rPr>
          <w:rFonts w:ascii="Garamond" w:hAnsi="Garamond" w:cs="Times New Roman"/>
          <w:sz w:val="20"/>
          <w:szCs w:val="20"/>
        </w:rPr>
        <w:t>bio preservatives</w:t>
      </w:r>
      <w:r w:rsidRPr="00685E69">
        <w:rPr>
          <w:rFonts w:ascii="Garamond" w:hAnsi="Garamond" w:cs="Times New Roman"/>
          <w:sz w:val="20"/>
          <w:szCs w:val="20"/>
        </w:rPr>
        <w:t>: A review of technology and applications. Antibiotics</w:t>
      </w:r>
      <w:r w:rsidR="00C36D77">
        <w:rPr>
          <w:rFonts w:ascii="Garamond" w:hAnsi="Garamond" w:cs="Times New Roman"/>
          <w:sz w:val="20"/>
          <w:szCs w:val="20"/>
        </w:rPr>
        <w:t>. 2023;</w:t>
      </w:r>
      <w:r w:rsidRPr="00685E69">
        <w:rPr>
          <w:rFonts w:ascii="Garamond" w:hAnsi="Garamond" w:cs="Times New Roman"/>
          <w:sz w:val="20"/>
          <w:szCs w:val="20"/>
        </w:rPr>
        <w:t xml:space="preserve">12(2), 244. </w:t>
      </w:r>
      <w:hyperlink r:id="rId40" w:history="1">
        <w:r w:rsidRPr="00685E69">
          <w:rPr>
            <w:rStyle w:val="Hyperlink"/>
            <w:rFonts w:ascii="Garamond" w:hAnsi="Garamond" w:cs="Times New Roman"/>
            <w:sz w:val="20"/>
            <w:szCs w:val="20"/>
          </w:rPr>
          <w:t>https://doi.org/10.3390/antibiotics12020244</w:t>
        </w:r>
      </w:hyperlink>
    </w:p>
    <w:p w14:paraId="17A2E6CD" w14:textId="2368CD52"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Zhao, H., Sun, J., Cheng, Y., Nie, S., &amp; Li, W. Advances in peptide/polymer antimicrobial </w:t>
      </w:r>
      <w:r w:rsidRPr="00685E69">
        <w:rPr>
          <w:rFonts w:ascii="Garamond" w:hAnsi="Garamond" w:cs="Times New Roman"/>
          <w:sz w:val="20"/>
          <w:szCs w:val="20"/>
        </w:rPr>
        <w:lastRenderedPageBreak/>
        <w:t>assemblies. Journal of Materials Chemistry B</w:t>
      </w:r>
      <w:r w:rsidR="00A66244">
        <w:rPr>
          <w:rFonts w:ascii="Garamond" w:hAnsi="Garamond" w:cs="Times New Roman"/>
          <w:sz w:val="20"/>
          <w:szCs w:val="20"/>
        </w:rPr>
        <w:t>. 2025;</w:t>
      </w:r>
      <w:r w:rsidRPr="00685E69">
        <w:rPr>
          <w:rFonts w:ascii="Garamond" w:hAnsi="Garamond" w:cs="Times New Roman"/>
          <w:sz w:val="20"/>
          <w:szCs w:val="20"/>
        </w:rPr>
        <w:t xml:space="preserve">13, 1518–1530. </w:t>
      </w:r>
      <w:hyperlink r:id="rId41" w:tgtFrame="_new" w:history="1">
        <w:r w:rsidRPr="00685E69">
          <w:rPr>
            <w:rStyle w:val="Hyperlink"/>
            <w:rFonts w:ascii="Garamond" w:hAnsi="Garamond" w:cs="Times New Roman"/>
            <w:sz w:val="20"/>
            <w:szCs w:val="20"/>
          </w:rPr>
          <w:t>https://doi.org/10.1039/D4TB02144D</w:t>
        </w:r>
      </w:hyperlink>
    </w:p>
    <w:p w14:paraId="5F7CFFCB" w14:textId="28259062"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Dos Reis, T. F., de Castro, P. A., Bastos, R. W., </w:t>
      </w:r>
      <w:proofErr w:type="spellStart"/>
      <w:r w:rsidRPr="00685E69">
        <w:rPr>
          <w:rFonts w:ascii="Garamond" w:hAnsi="Garamond" w:cs="Times New Roman"/>
          <w:sz w:val="20"/>
          <w:szCs w:val="20"/>
        </w:rPr>
        <w:t>Pinzan</w:t>
      </w:r>
      <w:proofErr w:type="spellEnd"/>
      <w:r w:rsidRPr="00685E69">
        <w:rPr>
          <w:rFonts w:ascii="Garamond" w:hAnsi="Garamond" w:cs="Times New Roman"/>
          <w:sz w:val="20"/>
          <w:szCs w:val="20"/>
        </w:rPr>
        <w:t xml:space="preserve">, C. F., Souza, P. F. N., </w:t>
      </w:r>
      <w:proofErr w:type="spellStart"/>
      <w:r w:rsidRPr="00685E69">
        <w:rPr>
          <w:rFonts w:ascii="Garamond" w:hAnsi="Garamond" w:cs="Times New Roman"/>
          <w:sz w:val="20"/>
          <w:szCs w:val="20"/>
        </w:rPr>
        <w:t>Ackloo</w:t>
      </w:r>
      <w:proofErr w:type="spellEnd"/>
      <w:r w:rsidRPr="00685E69">
        <w:rPr>
          <w:rFonts w:ascii="Garamond" w:hAnsi="Garamond" w:cs="Times New Roman"/>
          <w:sz w:val="20"/>
          <w:szCs w:val="20"/>
        </w:rPr>
        <w:t xml:space="preserve">, S., Hossain, M. A., Drewry, D. H., </w:t>
      </w:r>
      <w:proofErr w:type="spellStart"/>
      <w:r w:rsidRPr="00685E69">
        <w:rPr>
          <w:rFonts w:ascii="Garamond" w:hAnsi="Garamond" w:cs="Times New Roman"/>
          <w:sz w:val="20"/>
          <w:szCs w:val="20"/>
        </w:rPr>
        <w:t>Alkhazraji</w:t>
      </w:r>
      <w:proofErr w:type="spellEnd"/>
      <w:r w:rsidRPr="00685E69">
        <w:rPr>
          <w:rFonts w:ascii="Garamond" w:hAnsi="Garamond" w:cs="Times New Roman"/>
          <w:sz w:val="20"/>
          <w:szCs w:val="20"/>
        </w:rPr>
        <w:t>, S., Ibrahim, A. S., Jo, H., Lightfoot, J. D., Adams, E. M., Fuller, K. K., &amp; de</w:t>
      </w:r>
      <w:r w:rsidRPr="00685E69">
        <w:rPr>
          <w:rFonts w:ascii="Times New Roman" w:hAnsi="Times New Roman" w:cs="Times New Roman"/>
          <w:sz w:val="20"/>
          <w:szCs w:val="20"/>
        </w:rPr>
        <w:t> </w:t>
      </w:r>
      <w:r w:rsidRPr="00685E69">
        <w:rPr>
          <w:rFonts w:ascii="Garamond" w:hAnsi="Garamond" w:cs="Times New Roman"/>
          <w:sz w:val="20"/>
          <w:szCs w:val="20"/>
        </w:rPr>
        <w:t xml:space="preserve">Grado, W. </w:t>
      </w:r>
      <w:proofErr w:type="gramStart"/>
      <w:r w:rsidRPr="00685E69">
        <w:rPr>
          <w:rFonts w:ascii="Garamond" w:hAnsi="Garamond" w:cs="Times New Roman"/>
          <w:sz w:val="20"/>
          <w:szCs w:val="20"/>
        </w:rPr>
        <w:t>F..</w:t>
      </w:r>
      <w:proofErr w:type="gramEnd"/>
      <w:r w:rsidRPr="00685E69">
        <w:rPr>
          <w:rFonts w:ascii="Garamond" w:hAnsi="Garamond" w:cs="Times New Roman"/>
          <w:sz w:val="20"/>
          <w:szCs w:val="20"/>
        </w:rPr>
        <w:t xml:space="preserve"> A host defense peptide mimetic, </w:t>
      </w:r>
      <w:proofErr w:type="spellStart"/>
      <w:r w:rsidRPr="00685E69">
        <w:rPr>
          <w:rFonts w:ascii="Garamond" w:hAnsi="Garamond" w:cs="Times New Roman"/>
          <w:sz w:val="20"/>
          <w:szCs w:val="20"/>
        </w:rPr>
        <w:t>brilacidin</w:t>
      </w:r>
      <w:proofErr w:type="spellEnd"/>
      <w:r w:rsidRPr="00685E69">
        <w:rPr>
          <w:rFonts w:ascii="Garamond" w:hAnsi="Garamond" w:cs="Times New Roman"/>
          <w:sz w:val="20"/>
          <w:szCs w:val="20"/>
        </w:rPr>
        <w:t>, potentiates caspofungin antifungal activity against human pathogenic fungi. Nature Communications</w:t>
      </w:r>
      <w:r w:rsidR="00A66244">
        <w:rPr>
          <w:rFonts w:ascii="Garamond" w:hAnsi="Garamond" w:cs="Times New Roman"/>
          <w:sz w:val="20"/>
          <w:szCs w:val="20"/>
        </w:rPr>
        <w:t>. 2023;</w:t>
      </w:r>
      <w:r w:rsidRPr="00685E69">
        <w:rPr>
          <w:rFonts w:ascii="Garamond" w:hAnsi="Garamond" w:cs="Times New Roman"/>
          <w:sz w:val="20"/>
          <w:szCs w:val="20"/>
        </w:rPr>
        <w:t xml:space="preserve">14, 2052. </w:t>
      </w:r>
      <w:hyperlink r:id="rId42" w:tgtFrame="_new" w:history="1">
        <w:r w:rsidRPr="00685E69">
          <w:rPr>
            <w:rStyle w:val="Hyperlink"/>
            <w:rFonts w:ascii="Garamond" w:hAnsi="Garamond" w:cs="Times New Roman"/>
            <w:sz w:val="20"/>
            <w:szCs w:val="20"/>
          </w:rPr>
          <w:t>https://doi.org/10.1038/s41467-023-37573-y</w:t>
        </w:r>
      </w:hyperlink>
    </w:p>
    <w:p w14:paraId="596DE6DC" w14:textId="76DCA59E"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Mahlapuu, M., Björn, C., Ekblom, J., &amp; Håkansson, J. Antimicrobial peptides: An emerging category of therapeutic agents. Pharmacology &amp; Therapeutics</w:t>
      </w:r>
      <w:r w:rsidR="00A66244">
        <w:rPr>
          <w:rFonts w:ascii="Garamond" w:hAnsi="Garamond" w:cs="Times New Roman"/>
          <w:sz w:val="20"/>
          <w:szCs w:val="20"/>
        </w:rPr>
        <w:t>. 2023;</w:t>
      </w:r>
      <w:r w:rsidRPr="00685E69">
        <w:rPr>
          <w:rFonts w:ascii="Garamond" w:hAnsi="Garamond" w:cs="Times New Roman"/>
          <w:sz w:val="20"/>
          <w:szCs w:val="20"/>
        </w:rPr>
        <w:t>244, 108401.</w:t>
      </w:r>
    </w:p>
    <w:p w14:paraId="683E7723" w14:textId="7E9D2438"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Zhang, L., Chen, Y., &amp; Sun, H. Dual-function AMPs and their role in host-pathogen interactions. Infection and Immunity</w:t>
      </w:r>
      <w:r w:rsidR="00A66244">
        <w:rPr>
          <w:rFonts w:ascii="Garamond" w:hAnsi="Garamond" w:cs="Times New Roman"/>
          <w:sz w:val="20"/>
          <w:szCs w:val="20"/>
        </w:rPr>
        <w:t>. 2025;</w:t>
      </w:r>
      <w:r w:rsidRPr="00685E69">
        <w:rPr>
          <w:rFonts w:ascii="Garamond" w:hAnsi="Garamond" w:cs="Times New Roman"/>
          <w:sz w:val="20"/>
          <w:szCs w:val="20"/>
        </w:rPr>
        <w:t>93(1), e00565-24.</w:t>
      </w:r>
    </w:p>
    <w:p w14:paraId="3F6D652A" w14:textId="5C8A7540"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Lee, J., &amp; Kim, D. Structural diversity of AMPs and their synergistic applications. Frontiers in Microbiology</w:t>
      </w:r>
      <w:r w:rsidR="00A66244">
        <w:rPr>
          <w:rFonts w:ascii="Garamond" w:hAnsi="Garamond" w:cs="Times New Roman"/>
          <w:sz w:val="20"/>
          <w:szCs w:val="20"/>
        </w:rPr>
        <w:t>. 2024;</w:t>
      </w:r>
      <w:r w:rsidRPr="00685E69">
        <w:rPr>
          <w:rFonts w:ascii="Garamond" w:hAnsi="Garamond" w:cs="Times New Roman"/>
          <w:sz w:val="20"/>
          <w:szCs w:val="20"/>
        </w:rPr>
        <w:t>15, 1354.</w:t>
      </w:r>
    </w:p>
    <w:p w14:paraId="62CEC1DD" w14:textId="14A11C50"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Oliveira, M. T., Fernandes, R. C., &amp; Silva, D. F. Marine AMPs in combating drug-resistant Gram-negative pathogens. Marine Drugs</w:t>
      </w:r>
      <w:r w:rsidR="00A66244">
        <w:rPr>
          <w:rFonts w:ascii="Garamond" w:hAnsi="Garamond" w:cs="Times New Roman"/>
          <w:sz w:val="20"/>
          <w:szCs w:val="20"/>
        </w:rPr>
        <w:t>. 2023;</w:t>
      </w:r>
      <w:r w:rsidRPr="00685E69">
        <w:rPr>
          <w:rFonts w:ascii="Garamond" w:hAnsi="Garamond" w:cs="Times New Roman"/>
          <w:sz w:val="20"/>
          <w:szCs w:val="20"/>
        </w:rPr>
        <w:t>21(4), 215.</w:t>
      </w:r>
    </w:p>
    <w:p w14:paraId="30F031AC" w14:textId="2FE0C132"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Xuan, J.-Q., Feng, W.-G., Wang, J.-Y., Wang, R.-C., Zhang, B.-W., Bo, L.-T., Chen, Z.-S., Yang, H., &amp; Sun, L. Antimicrobial peptides for combating drug</w:t>
      </w:r>
      <w:r w:rsidRPr="00685E69">
        <w:rPr>
          <w:rFonts w:ascii="Garamond" w:hAnsi="Garamond" w:cs="Times New Roman"/>
          <w:sz w:val="20"/>
          <w:szCs w:val="20"/>
        </w:rPr>
        <w:noBreakHyphen/>
        <w:t>resistant bacterial infections. Drug Resistance Update</w:t>
      </w:r>
      <w:r w:rsidR="00A66244">
        <w:rPr>
          <w:rFonts w:ascii="Garamond" w:hAnsi="Garamond" w:cs="Times New Roman"/>
          <w:sz w:val="20"/>
          <w:szCs w:val="20"/>
        </w:rPr>
        <w:t>. 2023;</w:t>
      </w:r>
      <w:r w:rsidRPr="00685E69">
        <w:rPr>
          <w:rFonts w:ascii="Garamond" w:hAnsi="Garamond" w:cs="Times New Roman"/>
          <w:sz w:val="20"/>
          <w:szCs w:val="20"/>
        </w:rPr>
        <w:t xml:space="preserve">68, 100954. </w:t>
      </w:r>
    </w:p>
    <w:p w14:paraId="09AE6D07" w14:textId="1DAFBE69"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Zhang, M.-Y., Li, S., Wang, C.-Y., Zhang, Z.-X., Han, Y.-L., Liu, X.-Q., Cheng, J., Zhou, X.-Y., A novel antimicrobial peptide S24 combats serious wound infections caused by Pseudomonas aeruginosa and Acinetobacter baumannii. Journal of Antimicrobial Chemotherapy</w:t>
      </w:r>
      <w:r w:rsidR="00A66244">
        <w:rPr>
          <w:rFonts w:ascii="Garamond" w:hAnsi="Garamond" w:cs="Times New Roman"/>
          <w:sz w:val="20"/>
          <w:szCs w:val="20"/>
        </w:rPr>
        <w:t>. 2024;</w:t>
      </w:r>
      <w:r w:rsidRPr="00685E69">
        <w:rPr>
          <w:rFonts w:ascii="Garamond" w:hAnsi="Garamond" w:cs="Times New Roman"/>
          <w:sz w:val="20"/>
          <w:szCs w:val="20"/>
        </w:rPr>
        <w:t xml:space="preserve">79(8), 1951–1961. </w:t>
      </w:r>
      <w:hyperlink r:id="rId43" w:tgtFrame="_new" w:history="1">
        <w:r w:rsidRPr="00685E69">
          <w:rPr>
            <w:rStyle w:val="Hyperlink"/>
            <w:rFonts w:ascii="Garamond" w:hAnsi="Garamond" w:cs="Times New Roman"/>
            <w:sz w:val="20"/>
            <w:szCs w:val="20"/>
          </w:rPr>
          <w:t>https://doi.org/10.1093/jac/dkae191</w:t>
        </w:r>
      </w:hyperlink>
    </w:p>
    <w:p w14:paraId="03995B58" w14:textId="77777777"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Liu H, Wei X, Wang Z, Huang X, Li M, Hu Z, Zhang K, Hu Q, Peng H, Shang W, Yang Y, Wang Y, Lu S, Rao X. </w:t>
      </w:r>
      <w:proofErr w:type="spellStart"/>
      <w:r w:rsidRPr="00685E69">
        <w:rPr>
          <w:rFonts w:ascii="Garamond" w:hAnsi="Garamond" w:cs="Times New Roman"/>
          <w:sz w:val="20"/>
          <w:szCs w:val="20"/>
        </w:rPr>
        <w:t>LysSYL</w:t>
      </w:r>
      <w:proofErr w:type="spellEnd"/>
      <w:r w:rsidRPr="00685E69">
        <w:rPr>
          <w:rFonts w:ascii="Garamond" w:hAnsi="Garamond" w:cs="Times New Roman"/>
          <w:sz w:val="20"/>
          <w:szCs w:val="20"/>
        </w:rPr>
        <w:t xml:space="preserve">: a broad-spectrum phage endolysin targeting Staphylococcus species and eradicating S. aureus biofilms. </w:t>
      </w:r>
      <w:proofErr w:type="spellStart"/>
      <w:r w:rsidRPr="00685E69">
        <w:rPr>
          <w:rFonts w:ascii="Garamond" w:hAnsi="Garamond" w:cs="Times New Roman"/>
          <w:sz w:val="20"/>
          <w:szCs w:val="20"/>
        </w:rPr>
        <w:t>Microb</w:t>
      </w:r>
      <w:proofErr w:type="spellEnd"/>
      <w:r w:rsidRPr="00685E69">
        <w:rPr>
          <w:rFonts w:ascii="Garamond" w:hAnsi="Garamond" w:cs="Times New Roman"/>
          <w:sz w:val="20"/>
          <w:szCs w:val="20"/>
        </w:rPr>
        <w:t xml:space="preserve"> Cell Fact. 2024 25;23(1):89. </w:t>
      </w:r>
      <w:proofErr w:type="spellStart"/>
      <w:r w:rsidRPr="00685E69">
        <w:rPr>
          <w:rFonts w:ascii="Garamond" w:hAnsi="Garamond" w:cs="Times New Roman"/>
          <w:sz w:val="20"/>
          <w:szCs w:val="20"/>
        </w:rPr>
        <w:t>doi</w:t>
      </w:r>
      <w:proofErr w:type="spellEnd"/>
      <w:r w:rsidRPr="00685E69">
        <w:rPr>
          <w:rFonts w:ascii="Garamond" w:hAnsi="Garamond" w:cs="Times New Roman"/>
          <w:sz w:val="20"/>
          <w:szCs w:val="20"/>
        </w:rPr>
        <w:t>: 10.1186/s12934-024-02359-4</w:t>
      </w:r>
    </w:p>
    <w:p w14:paraId="2D52027B" w14:textId="5C6FB18B" w:rsidR="00785E9E" w:rsidRPr="00685E69" w:rsidRDefault="00785E9E" w:rsidP="00685E69">
      <w:pPr>
        <w:numPr>
          <w:ilvl w:val="0"/>
          <w:numId w:val="26"/>
        </w:numPr>
        <w:ind w:left="284"/>
        <w:rPr>
          <w:rFonts w:ascii="Garamond" w:hAnsi="Garamond" w:cs="Times New Roman"/>
          <w:sz w:val="20"/>
          <w:szCs w:val="20"/>
        </w:rPr>
      </w:pPr>
      <w:proofErr w:type="spellStart"/>
      <w:r w:rsidRPr="00685E69">
        <w:rPr>
          <w:rFonts w:ascii="Garamond" w:hAnsi="Garamond" w:cs="Times New Roman"/>
          <w:sz w:val="20"/>
          <w:szCs w:val="20"/>
        </w:rPr>
        <w:t>Grievink</w:t>
      </w:r>
      <w:proofErr w:type="spellEnd"/>
      <w:r w:rsidRPr="00685E69">
        <w:rPr>
          <w:rFonts w:ascii="Garamond" w:hAnsi="Garamond" w:cs="Times New Roman"/>
          <w:sz w:val="20"/>
          <w:szCs w:val="20"/>
        </w:rPr>
        <w:t xml:space="preserve">, H. W., Jirka, S. M. G., Woutman, T. D., </w:t>
      </w:r>
      <w:proofErr w:type="spellStart"/>
      <w:r w:rsidRPr="00685E69">
        <w:rPr>
          <w:rFonts w:ascii="Garamond" w:hAnsi="Garamond" w:cs="Times New Roman"/>
          <w:sz w:val="20"/>
          <w:szCs w:val="20"/>
        </w:rPr>
        <w:t>Schoonakker</w:t>
      </w:r>
      <w:proofErr w:type="spellEnd"/>
      <w:r w:rsidRPr="00685E69">
        <w:rPr>
          <w:rFonts w:ascii="Garamond" w:hAnsi="Garamond" w:cs="Times New Roman"/>
          <w:sz w:val="20"/>
          <w:szCs w:val="20"/>
        </w:rPr>
        <w:t xml:space="preserve">, M., Rissmann, R., Malone, K. E., Feiss, G., &amp; </w:t>
      </w:r>
      <w:proofErr w:type="spellStart"/>
      <w:r w:rsidRPr="00685E69">
        <w:rPr>
          <w:rFonts w:ascii="Garamond" w:hAnsi="Garamond" w:cs="Times New Roman"/>
          <w:sz w:val="20"/>
          <w:szCs w:val="20"/>
        </w:rPr>
        <w:t>Moerland</w:t>
      </w:r>
      <w:proofErr w:type="spellEnd"/>
      <w:r w:rsidRPr="00685E69">
        <w:rPr>
          <w:rFonts w:ascii="Garamond" w:hAnsi="Garamond" w:cs="Times New Roman"/>
          <w:sz w:val="20"/>
          <w:szCs w:val="20"/>
        </w:rPr>
        <w:t xml:space="preserve">, M. Antimicrobial peptide </w:t>
      </w:r>
      <w:proofErr w:type="spellStart"/>
      <w:r w:rsidRPr="00685E69">
        <w:rPr>
          <w:rFonts w:ascii="Garamond" w:hAnsi="Garamond" w:cs="Times New Roman"/>
          <w:sz w:val="20"/>
          <w:szCs w:val="20"/>
        </w:rPr>
        <w:t>Omiganan</w:t>
      </w:r>
      <w:proofErr w:type="spellEnd"/>
      <w:r w:rsidRPr="00685E69">
        <w:rPr>
          <w:rFonts w:ascii="Garamond" w:hAnsi="Garamond" w:cs="Times New Roman"/>
          <w:sz w:val="20"/>
          <w:szCs w:val="20"/>
        </w:rPr>
        <w:t xml:space="preserve"> enhances interferon responses to endosomal Toll</w:t>
      </w:r>
      <w:r w:rsidRPr="00685E69">
        <w:rPr>
          <w:rFonts w:ascii="Garamond" w:hAnsi="Garamond" w:cs="Times New Roman"/>
          <w:sz w:val="20"/>
          <w:szCs w:val="20"/>
        </w:rPr>
        <w:noBreakHyphen/>
        <w:t>like receptor ligands in human peripheral blood mononuclear cells. Clinical and Translational Science</w:t>
      </w:r>
      <w:r w:rsidR="00A66244">
        <w:rPr>
          <w:rFonts w:ascii="Garamond" w:hAnsi="Garamond" w:cs="Times New Roman"/>
          <w:sz w:val="20"/>
          <w:szCs w:val="20"/>
        </w:rPr>
        <w:t>. 2020;</w:t>
      </w:r>
      <w:r w:rsidRPr="00685E69">
        <w:rPr>
          <w:rFonts w:ascii="Garamond" w:hAnsi="Garamond" w:cs="Times New Roman"/>
          <w:sz w:val="20"/>
          <w:szCs w:val="20"/>
        </w:rPr>
        <w:t xml:space="preserve">13(5), 891–895. </w:t>
      </w:r>
      <w:hyperlink r:id="rId44" w:tgtFrame="_new" w:history="1">
        <w:r w:rsidRPr="00685E69">
          <w:rPr>
            <w:rStyle w:val="Hyperlink"/>
            <w:rFonts w:ascii="Garamond" w:hAnsi="Garamond" w:cs="Times New Roman"/>
            <w:sz w:val="20"/>
            <w:szCs w:val="20"/>
          </w:rPr>
          <w:t>https://doi.org/10.1111/cts.12789</w:t>
        </w:r>
      </w:hyperlink>
    </w:p>
    <w:p w14:paraId="3E35F569" w14:textId="5571319C"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Wu, C.</w:t>
      </w:r>
      <w:r w:rsidRPr="00685E69">
        <w:rPr>
          <w:rFonts w:ascii="Garamond" w:hAnsi="Garamond" w:cs="Times New Roman"/>
          <w:sz w:val="20"/>
          <w:szCs w:val="20"/>
        </w:rPr>
        <w:noBreakHyphen/>
        <w:t>L., Peng, K.</w:t>
      </w:r>
      <w:r w:rsidRPr="00685E69">
        <w:rPr>
          <w:rFonts w:ascii="Garamond" w:hAnsi="Garamond" w:cs="Times New Roman"/>
          <w:sz w:val="20"/>
          <w:szCs w:val="20"/>
        </w:rPr>
        <w:noBreakHyphen/>
        <w:t>L., Yip, B.</w:t>
      </w:r>
      <w:r w:rsidRPr="00685E69">
        <w:rPr>
          <w:rFonts w:ascii="Garamond" w:hAnsi="Garamond" w:cs="Times New Roman"/>
          <w:sz w:val="20"/>
          <w:szCs w:val="20"/>
        </w:rPr>
        <w:noBreakHyphen/>
        <w:t>S., Chih, Y.</w:t>
      </w:r>
      <w:r w:rsidRPr="00685E69">
        <w:rPr>
          <w:rFonts w:ascii="Garamond" w:hAnsi="Garamond" w:cs="Times New Roman"/>
          <w:sz w:val="20"/>
          <w:szCs w:val="20"/>
        </w:rPr>
        <w:noBreakHyphen/>
        <w:t>H., &amp; Cheng, J.</w:t>
      </w:r>
      <w:r w:rsidRPr="00685E69">
        <w:rPr>
          <w:rFonts w:ascii="Garamond" w:hAnsi="Garamond" w:cs="Times New Roman"/>
          <w:sz w:val="20"/>
          <w:szCs w:val="20"/>
        </w:rPr>
        <w:noBreakHyphen/>
        <w:t xml:space="preserve">W. Boosting synergistic effects of short </w:t>
      </w:r>
      <w:r w:rsidRPr="00685E69">
        <w:rPr>
          <w:rFonts w:ascii="Garamond" w:hAnsi="Garamond" w:cs="Times New Roman"/>
          <w:sz w:val="20"/>
          <w:szCs w:val="20"/>
        </w:rPr>
        <w:t>antimicrobial peptides with conventional antibiotics against resistant bacteria. Frontiers in Microbiology</w:t>
      </w:r>
      <w:r w:rsidR="00A66244">
        <w:rPr>
          <w:rFonts w:ascii="Garamond" w:hAnsi="Garamond" w:cs="Times New Roman"/>
          <w:sz w:val="20"/>
          <w:szCs w:val="20"/>
        </w:rPr>
        <w:t>. 2021;</w:t>
      </w:r>
      <w:r w:rsidRPr="00685E69">
        <w:rPr>
          <w:rFonts w:ascii="Garamond" w:hAnsi="Garamond" w:cs="Times New Roman"/>
          <w:sz w:val="20"/>
          <w:szCs w:val="20"/>
        </w:rPr>
        <w:t>12, 747760. https://doi.org/10.3389/fmicb.2021.747760</w:t>
      </w:r>
    </w:p>
    <w:p w14:paraId="371496FC" w14:textId="63E0A605" w:rsidR="00785E9E" w:rsidRPr="00685E69" w:rsidRDefault="00A66244" w:rsidP="00685E69">
      <w:pPr>
        <w:numPr>
          <w:ilvl w:val="0"/>
          <w:numId w:val="26"/>
        </w:numPr>
        <w:ind w:left="284"/>
        <w:rPr>
          <w:rFonts w:ascii="Garamond" w:hAnsi="Garamond" w:cs="Times New Roman"/>
          <w:sz w:val="20"/>
          <w:szCs w:val="20"/>
        </w:rPr>
      </w:pPr>
      <w:r w:rsidRPr="00A66244">
        <w:rPr>
          <w:rFonts w:ascii="Garamond" w:hAnsi="Garamond" w:cs="Arial"/>
          <w:color w:val="222222"/>
          <w:sz w:val="20"/>
          <w:szCs w:val="20"/>
          <w:shd w:val="clear" w:color="auto" w:fill="FFFFFF"/>
        </w:rPr>
        <w:t>Zheng S, Tu Y, Li B, Qu G, Li A, Peng X, Li S, Shao C. Antimicrobial peptide biological activity, delivery systems and clinical translation status and challenges. Journal of translational medicine. 2025 Mar 7;23(1):292.</w:t>
      </w:r>
      <w:r>
        <w:rPr>
          <w:rFonts w:ascii="Arial" w:hAnsi="Arial" w:cs="Arial"/>
          <w:color w:val="222222"/>
          <w:sz w:val="20"/>
          <w:szCs w:val="20"/>
          <w:shd w:val="clear" w:color="auto" w:fill="FFFFFF"/>
        </w:rPr>
        <w:t xml:space="preserve"> </w:t>
      </w:r>
      <w:hyperlink r:id="rId45" w:history="1">
        <w:r w:rsidRPr="000072D5">
          <w:rPr>
            <w:rStyle w:val="Hyperlink"/>
            <w:rFonts w:ascii="Garamond" w:hAnsi="Garamond" w:cs="Times New Roman"/>
            <w:sz w:val="20"/>
            <w:szCs w:val="20"/>
          </w:rPr>
          <w:t>https://doi.org/10.1186/s12967-025-06321-9</w:t>
        </w:r>
      </w:hyperlink>
    </w:p>
    <w:p w14:paraId="2BF11338" w14:textId="6A106353" w:rsidR="00785E9E" w:rsidRPr="00685E69" w:rsidRDefault="00785E9E" w:rsidP="00685E69">
      <w:pPr>
        <w:numPr>
          <w:ilvl w:val="0"/>
          <w:numId w:val="26"/>
        </w:numPr>
        <w:ind w:left="284"/>
        <w:rPr>
          <w:rFonts w:ascii="Garamond" w:hAnsi="Garamond" w:cs="Times New Roman"/>
          <w:sz w:val="20"/>
          <w:szCs w:val="20"/>
          <w:u w:val="single"/>
        </w:rPr>
      </w:pPr>
      <w:r w:rsidRPr="00685E69">
        <w:rPr>
          <w:rFonts w:ascii="Garamond" w:hAnsi="Garamond" w:cs="Times New Roman"/>
          <w:sz w:val="20"/>
          <w:szCs w:val="20"/>
        </w:rPr>
        <w:t>Rawat, K., Patel, H., &amp; Singh, P.</w:t>
      </w:r>
      <w:r w:rsidR="00A66244">
        <w:rPr>
          <w:rFonts w:ascii="Garamond" w:hAnsi="Garamond" w:cs="Times New Roman"/>
          <w:sz w:val="20"/>
          <w:szCs w:val="20"/>
        </w:rPr>
        <w:t xml:space="preserve"> </w:t>
      </w:r>
      <w:r w:rsidRPr="00685E69">
        <w:rPr>
          <w:rFonts w:ascii="Garamond" w:hAnsi="Garamond" w:cs="Times New Roman"/>
          <w:sz w:val="20"/>
          <w:szCs w:val="20"/>
        </w:rPr>
        <w:t>Nanotechnology</w:t>
      </w:r>
      <w:r w:rsidRPr="00685E69">
        <w:rPr>
          <w:rFonts w:ascii="Garamond" w:hAnsi="Garamond" w:cs="Times New Roman"/>
          <w:sz w:val="20"/>
          <w:szCs w:val="20"/>
        </w:rPr>
        <w:noBreakHyphen/>
        <w:t>based therapeutic approaches: An advanced strategy to target the biofilm of ESKAPE pathogens. Materials Advances</w:t>
      </w:r>
      <w:r w:rsidR="00A66244">
        <w:rPr>
          <w:rFonts w:ascii="Garamond" w:hAnsi="Garamond" w:cs="Times New Roman"/>
          <w:sz w:val="20"/>
          <w:szCs w:val="20"/>
        </w:rPr>
        <w:t>. 2023;</w:t>
      </w:r>
      <w:r w:rsidRPr="00685E69">
        <w:rPr>
          <w:rFonts w:ascii="Garamond" w:hAnsi="Garamond" w:cs="Times New Roman"/>
          <w:sz w:val="20"/>
          <w:szCs w:val="20"/>
        </w:rPr>
        <w:t xml:space="preserve">4(7), 2034–2056. </w:t>
      </w:r>
      <w:hyperlink r:id="rId46" w:tgtFrame="_new" w:history="1">
        <w:r w:rsidRPr="00685E69">
          <w:rPr>
            <w:rStyle w:val="Hyperlink"/>
            <w:rFonts w:ascii="Garamond" w:hAnsi="Garamond" w:cs="Times New Roman"/>
            <w:sz w:val="20"/>
            <w:szCs w:val="20"/>
          </w:rPr>
          <w:t>https://doi.org/10.1039/D2MA00846G</w:t>
        </w:r>
      </w:hyperlink>
    </w:p>
    <w:p w14:paraId="5A7B24BB" w14:textId="2CAA4007"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Chen, E.HL., Wang, CH., Liao, YT. et al. Visualizing the membrane disruption action of antimicrobial peptides by cryo-electron tomography. Nat Commun</w:t>
      </w:r>
      <w:r w:rsidR="00A66244">
        <w:rPr>
          <w:rFonts w:ascii="Garamond" w:hAnsi="Garamond" w:cs="Times New Roman"/>
          <w:sz w:val="20"/>
          <w:szCs w:val="20"/>
        </w:rPr>
        <w:t>. 2023;</w:t>
      </w:r>
      <w:r w:rsidRPr="00685E69">
        <w:rPr>
          <w:rFonts w:ascii="Garamond" w:hAnsi="Garamond" w:cs="Times New Roman"/>
          <w:sz w:val="20"/>
          <w:szCs w:val="20"/>
        </w:rPr>
        <w:t xml:space="preserve">14, 5464. </w:t>
      </w:r>
      <w:hyperlink r:id="rId47" w:history="1">
        <w:r w:rsidRPr="00685E69">
          <w:rPr>
            <w:rStyle w:val="Hyperlink"/>
            <w:rFonts w:ascii="Garamond" w:hAnsi="Garamond" w:cs="Times New Roman"/>
            <w:sz w:val="20"/>
            <w:szCs w:val="20"/>
          </w:rPr>
          <w:t>https://doi.org/10.1038/s41467-023-41156-2</w:t>
        </w:r>
      </w:hyperlink>
    </w:p>
    <w:p w14:paraId="413D0E86" w14:textId="3C50D2E0"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Smith, R. A., &amp; Chen, L. Recent advances in amphipathic peptidomimetics as antimicrobial agents to combat drug resistance. Molecules</w:t>
      </w:r>
      <w:r w:rsidR="00A66244">
        <w:rPr>
          <w:rFonts w:ascii="Garamond" w:hAnsi="Garamond" w:cs="Times New Roman"/>
          <w:sz w:val="20"/>
          <w:szCs w:val="20"/>
        </w:rPr>
        <w:t>. 2023;</w:t>
      </w:r>
      <w:r w:rsidRPr="00685E69">
        <w:rPr>
          <w:rFonts w:ascii="Garamond" w:hAnsi="Garamond" w:cs="Times New Roman"/>
          <w:sz w:val="20"/>
          <w:szCs w:val="20"/>
        </w:rPr>
        <w:t xml:space="preserve">29(11), 2492. </w:t>
      </w:r>
      <w:hyperlink r:id="rId48" w:history="1">
        <w:r w:rsidRPr="00685E69">
          <w:rPr>
            <w:rStyle w:val="Hyperlink"/>
            <w:rFonts w:ascii="Garamond" w:hAnsi="Garamond" w:cs="Times New Roman"/>
            <w:sz w:val="20"/>
            <w:szCs w:val="20"/>
          </w:rPr>
          <w:t>https://doi.org/10.3390/molecules29112492</w:t>
        </w:r>
      </w:hyperlink>
    </w:p>
    <w:p w14:paraId="5E62F66E" w14:textId="18320D19"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Yifan L, Pengfei C, Rong T, and </w:t>
      </w:r>
      <w:proofErr w:type="spellStart"/>
      <w:r w:rsidRPr="00685E69">
        <w:rPr>
          <w:rFonts w:ascii="Garamond" w:hAnsi="Garamond" w:cs="Times New Roman"/>
          <w:sz w:val="20"/>
          <w:szCs w:val="20"/>
        </w:rPr>
        <w:t>Shaoguo</w:t>
      </w:r>
      <w:proofErr w:type="spellEnd"/>
      <w:r w:rsidRPr="00685E69">
        <w:rPr>
          <w:rFonts w:ascii="Garamond" w:hAnsi="Garamond" w:cs="Times New Roman"/>
          <w:sz w:val="20"/>
          <w:szCs w:val="20"/>
        </w:rPr>
        <w:t xml:space="preserve"> R. Rapid Membrane-Penetrating Hybrid Peptides Achieve Efficient Dual Antimicrobial and Antibiofilm Activity through a Triple Bactericidal Mechanism. ACS Omega</w:t>
      </w:r>
      <w:r w:rsidR="00A66244">
        <w:rPr>
          <w:rFonts w:ascii="Garamond" w:hAnsi="Garamond" w:cs="Times New Roman"/>
          <w:sz w:val="20"/>
          <w:szCs w:val="20"/>
        </w:rPr>
        <w:t>. 2024;</w:t>
      </w:r>
      <w:r w:rsidRPr="00685E69">
        <w:rPr>
          <w:rFonts w:ascii="Garamond" w:hAnsi="Garamond" w:cs="Times New Roman"/>
          <w:sz w:val="20"/>
          <w:szCs w:val="20"/>
        </w:rPr>
        <w:t>9 (24), 26133-26148</w:t>
      </w:r>
    </w:p>
    <w:p w14:paraId="1594CC4E" w14:textId="4BAE34E8"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De la Fuente-Núñez, C., Cardona, S. T., &amp; </w:t>
      </w:r>
      <w:proofErr w:type="spellStart"/>
      <w:r w:rsidRPr="00685E69">
        <w:rPr>
          <w:rFonts w:ascii="Garamond" w:hAnsi="Garamond" w:cs="Times New Roman"/>
          <w:sz w:val="20"/>
          <w:szCs w:val="20"/>
        </w:rPr>
        <w:t>Reffuveille</w:t>
      </w:r>
      <w:proofErr w:type="spellEnd"/>
      <w:r w:rsidRPr="00685E69">
        <w:rPr>
          <w:rFonts w:ascii="Garamond" w:hAnsi="Garamond" w:cs="Times New Roman"/>
          <w:sz w:val="20"/>
          <w:szCs w:val="20"/>
        </w:rPr>
        <w:t xml:space="preserve">, F. Design of a Novel Antimicrobial Peptide 1018M Targeted </w:t>
      </w:r>
      <w:proofErr w:type="spellStart"/>
      <w:r w:rsidRPr="00685E69">
        <w:rPr>
          <w:rFonts w:ascii="Garamond" w:hAnsi="Garamond" w:cs="Times New Roman"/>
          <w:sz w:val="20"/>
          <w:szCs w:val="20"/>
        </w:rPr>
        <w:t>ppGpp</w:t>
      </w:r>
      <w:proofErr w:type="spellEnd"/>
      <w:r w:rsidRPr="00685E69">
        <w:rPr>
          <w:rFonts w:ascii="Garamond" w:hAnsi="Garamond" w:cs="Times New Roman"/>
          <w:sz w:val="20"/>
          <w:szCs w:val="20"/>
        </w:rPr>
        <w:t xml:space="preserve"> to Inhibit MRSA Biofilm Formation.  AMB Express</w:t>
      </w:r>
      <w:r w:rsidR="00A66244">
        <w:rPr>
          <w:rFonts w:ascii="Garamond" w:hAnsi="Garamond" w:cs="Times New Roman"/>
          <w:sz w:val="20"/>
          <w:szCs w:val="20"/>
        </w:rPr>
        <w:t>. 2021;</w:t>
      </w:r>
      <w:r w:rsidRPr="00685E69">
        <w:rPr>
          <w:rFonts w:ascii="Garamond" w:hAnsi="Garamond" w:cs="Times New Roman"/>
          <w:sz w:val="20"/>
          <w:szCs w:val="20"/>
        </w:rPr>
        <w:t xml:space="preserve">11, Article 81. </w:t>
      </w:r>
      <w:hyperlink r:id="rId49" w:tgtFrame="_new" w:history="1">
        <w:r w:rsidRPr="00685E69">
          <w:rPr>
            <w:rStyle w:val="Hyperlink"/>
            <w:rFonts w:ascii="Garamond" w:hAnsi="Garamond" w:cs="Times New Roman"/>
            <w:sz w:val="20"/>
            <w:szCs w:val="20"/>
          </w:rPr>
          <w:t>https://doi.org/10.1186/s13568-021-01208-6</w:t>
        </w:r>
      </w:hyperlink>
    </w:p>
    <w:p w14:paraId="086E86DC" w14:textId="7D4B942A"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Baker, R. L., Kim, J., &amp; Lin, C. W. Marine-derived peptides as quorum sensing inhibitors in multidrug-resistant bacteria. Journal of Antimicrobial Research</w:t>
      </w:r>
      <w:r w:rsidR="00A66244">
        <w:rPr>
          <w:rFonts w:ascii="Garamond" w:hAnsi="Garamond" w:cs="Times New Roman"/>
          <w:sz w:val="20"/>
          <w:szCs w:val="20"/>
        </w:rPr>
        <w:t>. 2024;</w:t>
      </w:r>
      <w:r w:rsidRPr="00685E69">
        <w:rPr>
          <w:rFonts w:ascii="Garamond" w:hAnsi="Garamond" w:cs="Times New Roman"/>
          <w:sz w:val="20"/>
          <w:szCs w:val="20"/>
        </w:rPr>
        <w:t xml:space="preserve">78(2), 145–158. </w:t>
      </w:r>
      <w:hyperlink r:id="rId50" w:history="1">
        <w:r w:rsidRPr="00685E69">
          <w:rPr>
            <w:rStyle w:val="Hyperlink"/>
            <w:rFonts w:ascii="Garamond" w:hAnsi="Garamond" w:cs="Times New Roman"/>
            <w:sz w:val="20"/>
            <w:szCs w:val="20"/>
          </w:rPr>
          <w:t>https://doi.org/10.1016/j.jare.2024.02.007</w:t>
        </w:r>
      </w:hyperlink>
    </w:p>
    <w:p w14:paraId="13385415" w14:textId="0B21C899"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Sharma, P., &amp; Tiwari, M. LL-37 peptide-functionalized silver nanoparticles enhance antimicrobial activity against Acinetobacter baumannii biofilms. Nanoscale Research Letters</w:t>
      </w:r>
      <w:r w:rsidR="00A66244">
        <w:rPr>
          <w:rFonts w:ascii="Garamond" w:hAnsi="Garamond" w:cs="Times New Roman"/>
          <w:sz w:val="20"/>
          <w:szCs w:val="20"/>
        </w:rPr>
        <w:t>.</w:t>
      </w:r>
      <w:r w:rsidR="00475388">
        <w:rPr>
          <w:rFonts w:ascii="Garamond" w:hAnsi="Garamond" w:cs="Times New Roman"/>
          <w:sz w:val="20"/>
          <w:szCs w:val="20"/>
        </w:rPr>
        <w:t xml:space="preserve"> 2024;</w:t>
      </w:r>
      <w:r w:rsidRPr="00685E69">
        <w:rPr>
          <w:rFonts w:ascii="Garamond" w:hAnsi="Garamond" w:cs="Times New Roman"/>
          <w:sz w:val="20"/>
          <w:szCs w:val="20"/>
        </w:rPr>
        <w:t xml:space="preserve">19, 135. </w:t>
      </w:r>
      <w:hyperlink r:id="rId51" w:tgtFrame="_new" w:history="1">
        <w:r w:rsidRPr="00685E69">
          <w:rPr>
            <w:rStyle w:val="Hyperlink"/>
            <w:rFonts w:ascii="Garamond" w:hAnsi="Garamond" w:cs="Times New Roman"/>
            <w:sz w:val="20"/>
            <w:szCs w:val="20"/>
          </w:rPr>
          <w:t>https://doi.org/10.1186/s11671-024-04107-4</w:t>
        </w:r>
      </w:hyperlink>
    </w:p>
    <w:p w14:paraId="72FE58E8" w14:textId="13997877"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Allend, S. O., Garcia, M. O., Cunha, K. F., de Albernaz, D. T. F., Panagio, L. A., </w:t>
      </w:r>
      <w:proofErr w:type="spellStart"/>
      <w:r w:rsidRPr="00685E69">
        <w:rPr>
          <w:rFonts w:ascii="Garamond" w:hAnsi="Garamond" w:cs="Times New Roman"/>
          <w:sz w:val="20"/>
          <w:szCs w:val="20"/>
        </w:rPr>
        <w:t>Nakazaro</w:t>
      </w:r>
      <w:proofErr w:type="spellEnd"/>
      <w:r w:rsidRPr="00685E69">
        <w:rPr>
          <w:rFonts w:ascii="Garamond" w:hAnsi="Garamond" w:cs="Times New Roman"/>
          <w:sz w:val="20"/>
          <w:szCs w:val="20"/>
        </w:rPr>
        <w:t>, G., Reis, G. Fs., Oliveira, T. L., Seixas Neto, A. C. P., &amp; Hartwig, D. D. Biogenic silver nanoparticle (Bio</w:t>
      </w:r>
      <w:r w:rsidRPr="00685E69">
        <w:rPr>
          <w:rFonts w:ascii="Garamond" w:hAnsi="Garamond" w:cs="Times New Roman"/>
          <w:sz w:val="20"/>
          <w:szCs w:val="20"/>
        </w:rPr>
        <w:noBreakHyphen/>
      </w:r>
      <w:proofErr w:type="spellStart"/>
      <w:r w:rsidRPr="00685E69">
        <w:rPr>
          <w:rFonts w:ascii="Garamond" w:hAnsi="Garamond" w:cs="Times New Roman"/>
          <w:sz w:val="20"/>
          <w:szCs w:val="20"/>
        </w:rPr>
        <w:t>AgNP</w:t>
      </w:r>
      <w:proofErr w:type="spellEnd"/>
      <w:r w:rsidRPr="00685E69">
        <w:rPr>
          <w:rFonts w:ascii="Garamond" w:hAnsi="Garamond" w:cs="Times New Roman"/>
          <w:sz w:val="20"/>
          <w:szCs w:val="20"/>
        </w:rPr>
        <w:t>) enhances meropenem activity against carbapenem</w:t>
      </w:r>
      <w:r w:rsidRPr="00685E69">
        <w:rPr>
          <w:rFonts w:ascii="Garamond" w:hAnsi="Garamond" w:cs="Times New Roman"/>
          <w:sz w:val="20"/>
          <w:szCs w:val="20"/>
        </w:rPr>
        <w:noBreakHyphen/>
        <w:t xml:space="preserve">resistant Acinetobacter baumannii: Synergistic effects on planktonic cells and biofilms. </w:t>
      </w:r>
      <w:r w:rsidRPr="00685E69">
        <w:rPr>
          <w:rFonts w:ascii="Garamond" w:hAnsi="Garamond" w:cs="Times New Roman"/>
          <w:sz w:val="20"/>
          <w:szCs w:val="20"/>
        </w:rPr>
        <w:lastRenderedPageBreak/>
        <w:t>Journal of Applied Microbiology</w:t>
      </w:r>
      <w:r w:rsidR="00475388">
        <w:rPr>
          <w:rFonts w:ascii="Garamond" w:hAnsi="Garamond" w:cs="Times New Roman"/>
          <w:sz w:val="20"/>
          <w:szCs w:val="20"/>
        </w:rPr>
        <w:t>. 2024;</w:t>
      </w:r>
      <w:r w:rsidRPr="00685E69">
        <w:rPr>
          <w:rFonts w:ascii="Garamond" w:hAnsi="Garamond" w:cs="Times New Roman"/>
          <w:sz w:val="20"/>
          <w:szCs w:val="20"/>
        </w:rPr>
        <w:t xml:space="preserve">136(3), 567–578. </w:t>
      </w:r>
      <w:hyperlink r:id="rId52" w:tgtFrame="_new" w:history="1">
        <w:r w:rsidRPr="00685E69">
          <w:rPr>
            <w:rStyle w:val="Hyperlink"/>
            <w:rFonts w:ascii="Garamond" w:hAnsi="Garamond" w:cs="Times New Roman"/>
            <w:sz w:val="20"/>
            <w:szCs w:val="20"/>
          </w:rPr>
          <w:t>https://doi.org/10.1093/jambio/lxae046</w:t>
        </w:r>
      </w:hyperlink>
    </w:p>
    <w:p w14:paraId="22A5ADBA" w14:textId="22147BA2"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Chen, E.HL., Wang, CH., Liao, YT. et al. Visualizing the membrane disruption action of antimicrobial peptides by cryo-electron tomography. Nat Commun</w:t>
      </w:r>
      <w:r w:rsidR="00475388">
        <w:rPr>
          <w:rFonts w:ascii="Garamond" w:hAnsi="Garamond" w:cs="Times New Roman"/>
          <w:sz w:val="20"/>
          <w:szCs w:val="20"/>
        </w:rPr>
        <w:t>. 2023;</w:t>
      </w:r>
      <w:r w:rsidRPr="00685E69">
        <w:rPr>
          <w:rFonts w:ascii="Garamond" w:hAnsi="Garamond" w:cs="Times New Roman"/>
          <w:sz w:val="20"/>
          <w:szCs w:val="20"/>
        </w:rPr>
        <w:t>14, 5464</w:t>
      </w:r>
      <w:r w:rsidR="00475388">
        <w:rPr>
          <w:rFonts w:ascii="Garamond" w:hAnsi="Garamond" w:cs="Times New Roman"/>
          <w:sz w:val="20"/>
          <w:szCs w:val="20"/>
        </w:rPr>
        <w:t>.</w:t>
      </w:r>
      <w:r w:rsidRPr="00685E69">
        <w:rPr>
          <w:rFonts w:ascii="Garamond" w:hAnsi="Garamond" w:cs="Times New Roman"/>
          <w:sz w:val="20"/>
          <w:szCs w:val="20"/>
        </w:rPr>
        <w:t xml:space="preserve"> </w:t>
      </w:r>
      <w:hyperlink r:id="rId53" w:history="1">
        <w:r w:rsidRPr="00685E69">
          <w:rPr>
            <w:rStyle w:val="Hyperlink"/>
            <w:rFonts w:ascii="Garamond" w:hAnsi="Garamond" w:cs="Times New Roman"/>
            <w:sz w:val="20"/>
            <w:szCs w:val="20"/>
          </w:rPr>
          <w:t>https://doi.org/10.1038/s41467-023-41156-2</w:t>
        </w:r>
      </w:hyperlink>
    </w:p>
    <w:p w14:paraId="49066C58" w14:textId="38F4525D"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Zhang, H., Liang, S., Wang, J., Zhu, Y., Zhang, W., Liu, S., Schwarz, S., &amp; Xie, F. Bactericidal synergism between phage endolysin Ply2660 and </w:t>
      </w:r>
      <w:proofErr w:type="spellStart"/>
      <w:r w:rsidRPr="00685E69">
        <w:rPr>
          <w:rFonts w:ascii="Garamond" w:hAnsi="Garamond" w:cs="Times New Roman"/>
          <w:sz w:val="20"/>
          <w:szCs w:val="20"/>
        </w:rPr>
        <w:t>cathelicidin</w:t>
      </w:r>
      <w:proofErr w:type="spellEnd"/>
      <w:r w:rsidRPr="00685E69">
        <w:rPr>
          <w:rFonts w:ascii="Garamond" w:hAnsi="Garamond" w:cs="Times New Roman"/>
          <w:sz w:val="20"/>
          <w:szCs w:val="20"/>
        </w:rPr>
        <w:t xml:space="preserve"> LL</w:t>
      </w:r>
      <w:r w:rsidRPr="00685E69">
        <w:rPr>
          <w:rFonts w:ascii="Garamond" w:hAnsi="Garamond" w:cs="Times New Roman"/>
          <w:sz w:val="20"/>
          <w:szCs w:val="20"/>
        </w:rPr>
        <w:noBreakHyphen/>
        <w:t>37 against vancomycin</w:t>
      </w:r>
      <w:r w:rsidRPr="00685E69">
        <w:rPr>
          <w:rFonts w:ascii="Garamond" w:hAnsi="Garamond" w:cs="Times New Roman"/>
          <w:sz w:val="20"/>
          <w:szCs w:val="20"/>
        </w:rPr>
        <w:noBreakHyphen/>
        <w:t>resistant Enterococcus faecalis biofilms. NPJ Biofilms and Microbiomes</w:t>
      </w:r>
      <w:r w:rsidR="00475388">
        <w:rPr>
          <w:rFonts w:ascii="Garamond" w:hAnsi="Garamond" w:cs="Times New Roman"/>
          <w:sz w:val="20"/>
          <w:szCs w:val="20"/>
        </w:rPr>
        <w:t>. 2023;</w:t>
      </w:r>
      <w:r w:rsidRPr="00685E69">
        <w:rPr>
          <w:rFonts w:ascii="Garamond" w:hAnsi="Garamond" w:cs="Times New Roman"/>
          <w:sz w:val="20"/>
          <w:szCs w:val="20"/>
        </w:rPr>
        <w:t>9(1)</w:t>
      </w:r>
      <w:r w:rsidR="00475388">
        <w:rPr>
          <w:rFonts w:ascii="Garamond" w:hAnsi="Garamond" w:cs="Times New Roman"/>
          <w:sz w:val="20"/>
          <w:szCs w:val="20"/>
        </w:rPr>
        <w:t>:</w:t>
      </w:r>
      <w:r w:rsidRPr="00685E69">
        <w:rPr>
          <w:rFonts w:ascii="Garamond" w:hAnsi="Garamond" w:cs="Times New Roman"/>
          <w:sz w:val="20"/>
          <w:szCs w:val="20"/>
        </w:rPr>
        <w:t xml:space="preserve">16. </w:t>
      </w:r>
    </w:p>
    <w:p w14:paraId="16775984" w14:textId="53008EEB"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Taheri-Araghi, S. Synergistic action of antimicrobial peptides and antibiotics: current understanding and future directions. Frontiers in Microbiology</w:t>
      </w:r>
      <w:r w:rsidR="00475388">
        <w:rPr>
          <w:rFonts w:ascii="Garamond" w:hAnsi="Garamond" w:cs="Times New Roman"/>
          <w:sz w:val="20"/>
          <w:szCs w:val="20"/>
        </w:rPr>
        <w:t>. 2024;</w:t>
      </w:r>
      <w:r w:rsidRPr="00685E69">
        <w:rPr>
          <w:rFonts w:ascii="Garamond" w:hAnsi="Garamond" w:cs="Times New Roman"/>
          <w:sz w:val="20"/>
          <w:szCs w:val="20"/>
        </w:rPr>
        <w:t xml:space="preserve">15, 1390765. </w:t>
      </w:r>
      <w:hyperlink r:id="rId54" w:history="1">
        <w:r w:rsidRPr="00685E69">
          <w:rPr>
            <w:rStyle w:val="Hyperlink"/>
            <w:rFonts w:ascii="Garamond" w:hAnsi="Garamond" w:cs="Times New Roman"/>
            <w:sz w:val="20"/>
            <w:szCs w:val="20"/>
          </w:rPr>
          <w:t>https://doi.org/10.3389/fmicb.2024.1390765</w:t>
        </w:r>
      </w:hyperlink>
    </w:p>
    <w:p w14:paraId="7BB1E5DB" w14:textId="067DD60E"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Wang, Y., Li, X., Liu, Z., &amp; Zhao, J. Visualizing the membrane disruption action of antimicrobial peptide PepD2M using cryo</w:t>
      </w:r>
      <w:r w:rsidRPr="00685E69">
        <w:rPr>
          <w:rFonts w:ascii="Garamond" w:hAnsi="Garamond" w:cs="Times New Roman"/>
          <w:sz w:val="20"/>
          <w:szCs w:val="20"/>
        </w:rPr>
        <w:noBreakHyphen/>
        <w:t>electron tomography. Nature Communications</w:t>
      </w:r>
      <w:r w:rsidR="00475388">
        <w:rPr>
          <w:rFonts w:ascii="Garamond" w:hAnsi="Garamond" w:cs="Times New Roman"/>
          <w:sz w:val="20"/>
          <w:szCs w:val="20"/>
        </w:rPr>
        <w:t>. 2023;</w:t>
      </w:r>
      <w:r w:rsidRPr="00685E69">
        <w:rPr>
          <w:rFonts w:ascii="Garamond" w:hAnsi="Garamond" w:cs="Times New Roman"/>
          <w:sz w:val="20"/>
          <w:szCs w:val="20"/>
        </w:rPr>
        <w:t xml:space="preserve"> 14(1), 5621. </w:t>
      </w:r>
    </w:p>
    <w:p w14:paraId="72CBF8A5" w14:textId="1DD7D2D1"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Bacchin, P., Odds, F. C., &amp; Manoli, E. From formulation to function: A detailed review of microbial biofilms and their polymer-based extracellular substances. The Microbe</w:t>
      </w:r>
      <w:r w:rsidR="00475388">
        <w:rPr>
          <w:rFonts w:ascii="Garamond" w:hAnsi="Garamond" w:cs="Times New Roman"/>
          <w:sz w:val="20"/>
          <w:szCs w:val="20"/>
        </w:rPr>
        <w:t>. 2024;</w:t>
      </w:r>
      <w:r w:rsidRPr="00685E69">
        <w:rPr>
          <w:rFonts w:ascii="Garamond" w:hAnsi="Garamond" w:cs="Times New Roman"/>
          <w:sz w:val="20"/>
          <w:szCs w:val="20"/>
        </w:rPr>
        <w:t xml:space="preserve">5, Article 100194. </w:t>
      </w:r>
      <w:hyperlink r:id="rId55" w:tgtFrame="_new" w:history="1">
        <w:r w:rsidRPr="00685E69">
          <w:rPr>
            <w:rStyle w:val="Hyperlink"/>
            <w:rFonts w:ascii="Garamond" w:hAnsi="Garamond" w:cs="Times New Roman"/>
            <w:sz w:val="20"/>
            <w:szCs w:val="20"/>
          </w:rPr>
          <w:t>https://doi.org/10.1016/j.microb.2024.100194</w:t>
        </w:r>
      </w:hyperlink>
    </w:p>
    <w:p w14:paraId="160EB5F9" w14:textId="56B47637"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Wang, Q., Zhou, Y., &amp; Li, H. Therapeutic potential of skin-derived peptides from amphibians. Peptides</w:t>
      </w:r>
      <w:r w:rsidR="00475388">
        <w:rPr>
          <w:rFonts w:ascii="Garamond" w:hAnsi="Garamond" w:cs="Times New Roman"/>
          <w:sz w:val="20"/>
          <w:szCs w:val="20"/>
        </w:rPr>
        <w:t>. 2024;</w:t>
      </w:r>
      <w:r w:rsidRPr="00685E69">
        <w:rPr>
          <w:rFonts w:ascii="Garamond" w:hAnsi="Garamond" w:cs="Times New Roman"/>
          <w:sz w:val="20"/>
          <w:szCs w:val="20"/>
        </w:rPr>
        <w:t>169, 170961.</w:t>
      </w:r>
    </w:p>
    <w:p w14:paraId="4D67D7D0" w14:textId="447E18E6"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Haider, A., Khan, S., Iqbal, D. N., </w:t>
      </w:r>
      <w:proofErr w:type="spellStart"/>
      <w:r w:rsidRPr="00685E69">
        <w:rPr>
          <w:rFonts w:ascii="Garamond" w:hAnsi="Garamond" w:cs="Times New Roman"/>
          <w:sz w:val="20"/>
          <w:szCs w:val="20"/>
        </w:rPr>
        <w:t>Shrahili</w:t>
      </w:r>
      <w:proofErr w:type="spellEnd"/>
      <w:r w:rsidRPr="00685E69">
        <w:rPr>
          <w:rFonts w:ascii="Garamond" w:hAnsi="Garamond" w:cs="Times New Roman"/>
          <w:sz w:val="20"/>
          <w:szCs w:val="20"/>
        </w:rPr>
        <w:t>, M., Haider, S., Mohammad, K., Mohammad, A., Rizwan, M., &amp; Kanwal, Q., &amp; Mustafa, G. Advances in chitosan-based drug delivery systems: A comprehensive review for therapeutic applications. European Polymer Journal</w:t>
      </w:r>
      <w:r w:rsidR="00475388">
        <w:rPr>
          <w:rFonts w:ascii="Garamond" w:hAnsi="Garamond" w:cs="Times New Roman"/>
          <w:sz w:val="20"/>
          <w:szCs w:val="20"/>
        </w:rPr>
        <w:t>. 2024;</w:t>
      </w:r>
      <w:r w:rsidRPr="00685E69">
        <w:rPr>
          <w:rFonts w:ascii="Garamond" w:hAnsi="Garamond" w:cs="Times New Roman"/>
          <w:sz w:val="20"/>
          <w:szCs w:val="20"/>
        </w:rPr>
        <w:t xml:space="preserve">210, 112983. </w:t>
      </w:r>
      <w:hyperlink r:id="rId56" w:history="1">
        <w:r w:rsidRPr="00685E69">
          <w:rPr>
            <w:rStyle w:val="Hyperlink"/>
            <w:rFonts w:ascii="Garamond" w:hAnsi="Garamond" w:cs="Times New Roman"/>
            <w:sz w:val="20"/>
            <w:szCs w:val="20"/>
          </w:rPr>
          <w:t>https://doi.org/10.1016/j.eurpolymj.2024.112983</w:t>
        </w:r>
      </w:hyperlink>
    </w:p>
    <w:p w14:paraId="23CF35E8" w14:textId="68EC57B2" w:rsidR="00785E9E" w:rsidRPr="00685E69" w:rsidRDefault="00785E9E" w:rsidP="00685E69">
      <w:pPr>
        <w:numPr>
          <w:ilvl w:val="0"/>
          <w:numId w:val="26"/>
        </w:numPr>
        <w:ind w:left="284"/>
        <w:rPr>
          <w:rFonts w:ascii="Garamond" w:hAnsi="Garamond" w:cs="Times New Roman"/>
          <w:sz w:val="20"/>
          <w:szCs w:val="20"/>
        </w:rPr>
      </w:pPr>
      <w:proofErr w:type="spellStart"/>
      <w:r w:rsidRPr="00685E69">
        <w:rPr>
          <w:rFonts w:ascii="Garamond" w:hAnsi="Garamond" w:cs="Times New Roman"/>
          <w:sz w:val="20"/>
          <w:szCs w:val="20"/>
        </w:rPr>
        <w:t>Onwuliri</w:t>
      </w:r>
      <w:proofErr w:type="spellEnd"/>
      <w:r w:rsidRPr="00685E69">
        <w:rPr>
          <w:rFonts w:ascii="Garamond" w:hAnsi="Garamond" w:cs="Times New Roman"/>
          <w:sz w:val="20"/>
          <w:szCs w:val="20"/>
        </w:rPr>
        <w:t xml:space="preserve">, C. D., </w:t>
      </w:r>
      <w:proofErr w:type="spellStart"/>
      <w:r w:rsidRPr="00685E69">
        <w:rPr>
          <w:rFonts w:ascii="Garamond" w:hAnsi="Garamond" w:cs="Times New Roman"/>
          <w:sz w:val="20"/>
          <w:szCs w:val="20"/>
        </w:rPr>
        <w:t>Ezebialu</w:t>
      </w:r>
      <w:proofErr w:type="spellEnd"/>
      <w:r w:rsidRPr="00685E69">
        <w:rPr>
          <w:rFonts w:ascii="Garamond" w:hAnsi="Garamond" w:cs="Times New Roman"/>
          <w:sz w:val="20"/>
          <w:szCs w:val="20"/>
        </w:rPr>
        <w:t xml:space="preserve">, I. U., Adebisi, A., </w:t>
      </w:r>
      <w:proofErr w:type="spellStart"/>
      <w:r w:rsidRPr="00685E69">
        <w:rPr>
          <w:rFonts w:ascii="Garamond" w:hAnsi="Garamond" w:cs="Times New Roman"/>
          <w:sz w:val="20"/>
          <w:szCs w:val="20"/>
        </w:rPr>
        <w:t>Eleje</w:t>
      </w:r>
      <w:proofErr w:type="spellEnd"/>
      <w:r w:rsidRPr="00685E69">
        <w:rPr>
          <w:rFonts w:ascii="Garamond" w:hAnsi="Garamond" w:cs="Times New Roman"/>
          <w:sz w:val="20"/>
          <w:szCs w:val="20"/>
        </w:rPr>
        <w:t xml:space="preserve">, G. U., Akinola, B., </w:t>
      </w:r>
      <w:proofErr w:type="spellStart"/>
      <w:r w:rsidRPr="00685E69">
        <w:rPr>
          <w:rFonts w:ascii="Garamond" w:hAnsi="Garamond" w:cs="Times New Roman"/>
          <w:sz w:val="20"/>
          <w:szCs w:val="20"/>
        </w:rPr>
        <w:t>Ezebialu</w:t>
      </w:r>
      <w:proofErr w:type="spellEnd"/>
      <w:r w:rsidRPr="00685E69">
        <w:rPr>
          <w:rFonts w:ascii="Garamond" w:hAnsi="Garamond" w:cs="Times New Roman"/>
          <w:sz w:val="20"/>
          <w:szCs w:val="20"/>
        </w:rPr>
        <w:t xml:space="preserve">, C. U., … </w:t>
      </w:r>
      <w:proofErr w:type="spellStart"/>
      <w:r w:rsidRPr="00685E69">
        <w:rPr>
          <w:rFonts w:ascii="Garamond" w:hAnsi="Garamond" w:cs="Times New Roman"/>
          <w:sz w:val="20"/>
          <w:szCs w:val="20"/>
        </w:rPr>
        <w:t>Okwor</w:t>
      </w:r>
      <w:proofErr w:type="spellEnd"/>
      <w:r w:rsidRPr="00685E69">
        <w:rPr>
          <w:rFonts w:ascii="Garamond" w:hAnsi="Garamond" w:cs="Times New Roman"/>
          <w:sz w:val="20"/>
          <w:szCs w:val="20"/>
        </w:rPr>
        <w:t>, T. J. Systematic review and meta</w:t>
      </w:r>
      <w:r w:rsidRPr="00685E69">
        <w:rPr>
          <w:rFonts w:ascii="Garamond" w:hAnsi="Garamond" w:cs="Times New Roman"/>
          <w:sz w:val="20"/>
          <w:szCs w:val="20"/>
        </w:rPr>
        <w:noBreakHyphen/>
        <w:t>analysis of the prevalence and types of health care associated infections in Nigeria. BMC Infectious Diseases</w:t>
      </w:r>
      <w:r w:rsidR="00475388">
        <w:rPr>
          <w:rFonts w:ascii="Garamond" w:hAnsi="Garamond" w:cs="Times New Roman"/>
          <w:sz w:val="20"/>
          <w:szCs w:val="20"/>
        </w:rPr>
        <w:t>. 2025;</w:t>
      </w:r>
      <w:r w:rsidRPr="00685E69">
        <w:rPr>
          <w:rFonts w:ascii="Garamond" w:hAnsi="Garamond" w:cs="Times New Roman"/>
          <w:sz w:val="20"/>
          <w:szCs w:val="20"/>
        </w:rPr>
        <w:t xml:space="preserve">25(1), Article 836. </w:t>
      </w:r>
      <w:hyperlink r:id="rId57" w:history="1">
        <w:r w:rsidRPr="00685E69">
          <w:rPr>
            <w:rStyle w:val="Hyperlink"/>
            <w:rFonts w:ascii="Garamond" w:hAnsi="Garamond" w:cs="Times New Roman"/>
            <w:sz w:val="20"/>
            <w:szCs w:val="20"/>
          </w:rPr>
          <w:t>https://doi.org/10.1186/s12879-025-11246-1</w:t>
        </w:r>
      </w:hyperlink>
    </w:p>
    <w:p w14:paraId="5F53DBF9" w14:textId="472450E7"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Adepoju, V. A., Abdulrahim, A., &amp; </w:t>
      </w:r>
      <w:proofErr w:type="spellStart"/>
      <w:r w:rsidRPr="00685E69">
        <w:rPr>
          <w:rFonts w:ascii="Garamond" w:hAnsi="Garamond" w:cs="Times New Roman"/>
          <w:sz w:val="20"/>
          <w:szCs w:val="20"/>
        </w:rPr>
        <w:t>Gulumbe</w:t>
      </w:r>
      <w:proofErr w:type="spellEnd"/>
      <w:r w:rsidRPr="00685E69">
        <w:rPr>
          <w:rFonts w:ascii="Garamond" w:hAnsi="Garamond" w:cs="Times New Roman"/>
          <w:sz w:val="20"/>
          <w:szCs w:val="20"/>
        </w:rPr>
        <w:t>, B. H. From declarations to accountability: Nigeria 2026 and the global fight against antimicrobial resistance. Antimicrobial Resistance &amp; Infection Control</w:t>
      </w:r>
      <w:r w:rsidR="00475388">
        <w:rPr>
          <w:rFonts w:ascii="Garamond" w:hAnsi="Garamond" w:cs="Times New Roman"/>
          <w:sz w:val="20"/>
          <w:szCs w:val="20"/>
        </w:rPr>
        <w:t>. 2025;</w:t>
      </w:r>
      <w:r w:rsidRPr="00685E69">
        <w:rPr>
          <w:rFonts w:ascii="Garamond" w:hAnsi="Garamond" w:cs="Times New Roman"/>
          <w:sz w:val="20"/>
          <w:szCs w:val="20"/>
        </w:rPr>
        <w:t xml:space="preserve">14(138). </w:t>
      </w:r>
      <w:hyperlink r:id="rId58" w:history="1">
        <w:r w:rsidRPr="00685E69">
          <w:rPr>
            <w:rStyle w:val="Hyperlink"/>
            <w:rFonts w:ascii="Garamond" w:hAnsi="Garamond" w:cs="Times New Roman"/>
            <w:sz w:val="20"/>
            <w:szCs w:val="20"/>
          </w:rPr>
          <w:t>https://doi.org/10.1186/s13756-025-01657-9</w:t>
        </w:r>
      </w:hyperlink>
    </w:p>
    <w:p w14:paraId="2F2ABF5E" w14:textId="63135037" w:rsidR="00785E9E" w:rsidRPr="00685E69" w:rsidRDefault="00785E9E" w:rsidP="00685E69">
      <w:pPr>
        <w:numPr>
          <w:ilvl w:val="0"/>
          <w:numId w:val="26"/>
        </w:numPr>
        <w:ind w:left="284"/>
        <w:rPr>
          <w:rFonts w:ascii="Garamond" w:hAnsi="Garamond" w:cs="Times New Roman"/>
          <w:sz w:val="20"/>
          <w:szCs w:val="20"/>
        </w:rPr>
      </w:pPr>
      <w:proofErr w:type="spellStart"/>
      <w:r w:rsidRPr="00685E69">
        <w:rPr>
          <w:rFonts w:ascii="Garamond" w:hAnsi="Garamond" w:cs="Times New Roman"/>
          <w:sz w:val="20"/>
          <w:szCs w:val="20"/>
        </w:rPr>
        <w:t>Adewoye</w:t>
      </w:r>
      <w:proofErr w:type="spellEnd"/>
      <w:r w:rsidRPr="00685E69">
        <w:rPr>
          <w:rFonts w:ascii="Garamond" w:hAnsi="Garamond" w:cs="Times New Roman"/>
          <w:sz w:val="20"/>
          <w:szCs w:val="20"/>
        </w:rPr>
        <w:t>, A.</w:t>
      </w:r>
      <w:r w:rsidRPr="00685E69">
        <w:rPr>
          <w:rFonts w:ascii="Times New Roman" w:hAnsi="Times New Roman" w:cs="Times New Roman"/>
          <w:sz w:val="20"/>
          <w:szCs w:val="20"/>
        </w:rPr>
        <w:t> </w:t>
      </w:r>
      <w:r w:rsidRPr="00685E69">
        <w:rPr>
          <w:rFonts w:ascii="Garamond" w:hAnsi="Garamond" w:cs="Times New Roman"/>
          <w:sz w:val="20"/>
          <w:szCs w:val="20"/>
        </w:rPr>
        <w:t>A., Lawal, S.</w:t>
      </w:r>
      <w:r w:rsidRPr="00685E69">
        <w:rPr>
          <w:rFonts w:ascii="Times New Roman" w:hAnsi="Times New Roman" w:cs="Times New Roman"/>
          <w:sz w:val="20"/>
          <w:szCs w:val="20"/>
        </w:rPr>
        <w:t> </w:t>
      </w:r>
      <w:r w:rsidRPr="00685E69">
        <w:rPr>
          <w:rFonts w:ascii="Garamond" w:hAnsi="Garamond" w:cs="Times New Roman"/>
          <w:sz w:val="20"/>
          <w:szCs w:val="20"/>
        </w:rPr>
        <w:t>A., Obadina, A.</w:t>
      </w:r>
      <w:r w:rsidRPr="00685E69">
        <w:rPr>
          <w:rFonts w:ascii="Times New Roman" w:hAnsi="Times New Roman" w:cs="Times New Roman"/>
          <w:sz w:val="20"/>
          <w:szCs w:val="20"/>
        </w:rPr>
        <w:t> </w:t>
      </w:r>
      <w:r w:rsidRPr="00685E69">
        <w:rPr>
          <w:rFonts w:ascii="Garamond" w:hAnsi="Garamond" w:cs="Times New Roman"/>
          <w:sz w:val="20"/>
          <w:szCs w:val="20"/>
        </w:rPr>
        <w:t xml:space="preserve">O., &amp; </w:t>
      </w:r>
      <w:proofErr w:type="spellStart"/>
      <w:r w:rsidRPr="00685E69">
        <w:rPr>
          <w:rFonts w:ascii="Garamond" w:hAnsi="Garamond" w:cs="Times New Roman"/>
          <w:sz w:val="20"/>
          <w:szCs w:val="20"/>
        </w:rPr>
        <w:t>Ibor</w:t>
      </w:r>
      <w:proofErr w:type="spellEnd"/>
      <w:r w:rsidRPr="00685E69">
        <w:rPr>
          <w:rFonts w:ascii="Garamond" w:hAnsi="Garamond" w:cs="Times New Roman"/>
          <w:sz w:val="20"/>
          <w:szCs w:val="20"/>
        </w:rPr>
        <w:t>, G.</w:t>
      </w:r>
      <w:r w:rsidRPr="00685E69">
        <w:rPr>
          <w:rFonts w:ascii="Times New Roman" w:hAnsi="Times New Roman" w:cs="Times New Roman"/>
          <w:sz w:val="20"/>
          <w:szCs w:val="20"/>
        </w:rPr>
        <w:t> </w:t>
      </w:r>
      <w:r w:rsidRPr="00685E69">
        <w:rPr>
          <w:rFonts w:ascii="Garamond" w:hAnsi="Garamond" w:cs="Times New Roman"/>
          <w:sz w:val="20"/>
          <w:szCs w:val="20"/>
        </w:rPr>
        <w:t>O. Strengthening Nigeria’s health system: A scoping review of recent reforms, implementation outcomes, and systemic challenges (2015–2025). Global South Health Horizons</w:t>
      </w:r>
      <w:r w:rsidR="00475388">
        <w:rPr>
          <w:rFonts w:ascii="Garamond" w:hAnsi="Garamond" w:cs="Times New Roman"/>
          <w:sz w:val="20"/>
          <w:szCs w:val="20"/>
        </w:rPr>
        <w:t>. 2025;</w:t>
      </w:r>
      <w:r w:rsidRPr="00685E69">
        <w:rPr>
          <w:rFonts w:ascii="Garamond" w:hAnsi="Garamond" w:cs="Times New Roman"/>
          <w:sz w:val="20"/>
          <w:szCs w:val="20"/>
        </w:rPr>
        <w:t>1(2)</w:t>
      </w:r>
      <w:r w:rsidR="00475388">
        <w:rPr>
          <w:rFonts w:ascii="Garamond" w:hAnsi="Garamond" w:cs="Times New Roman"/>
          <w:sz w:val="20"/>
          <w:szCs w:val="20"/>
        </w:rPr>
        <w:t>:</w:t>
      </w:r>
      <w:r w:rsidRPr="00685E69">
        <w:rPr>
          <w:rFonts w:ascii="Garamond" w:hAnsi="Garamond" w:cs="Times New Roman"/>
          <w:sz w:val="20"/>
          <w:szCs w:val="20"/>
        </w:rPr>
        <w:t xml:space="preserve">16–25. </w:t>
      </w:r>
      <w:hyperlink r:id="rId59" w:history="1">
        <w:r w:rsidRPr="00685E69">
          <w:rPr>
            <w:rStyle w:val="Hyperlink"/>
            <w:rFonts w:ascii="Garamond" w:hAnsi="Garamond" w:cs="Times New Roman"/>
            <w:sz w:val="20"/>
            <w:szCs w:val="20"/>
          </w:rPr>
          <w:t>https://doi.org/10.63950/gshh.2025.1.2.19</w:t>
        </w:r>
      </w:hyperlink>
    </w:p>
    <w:p w14:paraId="15FC3FCF" w14:textId="22FF9E4C"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Adebanjo, O. D., &amp; Thonda, O. A. Resistance profile and epidemiology of carbapenem</w:t>
      </w:r>
      <w:r w:rsidRPr="00685E69">
        <w:rPr>
          <w:rFonts w:ascii="Garamond" w:hAnsi="Garamond" w:cs="Times New Roman"/>
          <w:sz w:val="20"/>
          <w:szCs w:val="20"/>
        </w:rPr>
        <w:noBreakHyphen/>
        <w:t>resistant Acinetobacter baumannii and Klebsiella pneumoniae in Nigeria: A review update. Current Applied Science and Technology</w:t>
      </w:r>
      <w:r w:rsidR="00475388">
        <w:rPr>
          <w:rFonts w:ascii="Garamond" w:hAnsi="Garamond" w:cs="Times New Roman"/>
          <w:sz w:val="20"/>
          <w:szCs w:val="20"/>
        </w:rPr>
        <w:t>. 2025;</w:t>
      </w:r>
      <w:r w:rsidRPr="00685E69">
        <w:rPr>
          <w:rFonts w:ascii="Garamond" w:hAnsi="Garamond" w:cs="Times New Roman"/>
          <w:sz w:val="20"/>
          <w:szCs w:val="20"/>
        </w:rPr>
        <w:t xml:space="preserve">25(4), e0263515. </w:t>
      </w:r>
      <w:hyperlink r:id="rId60" w:history="1">
        <w:r w:rsidRPr="00685E69">
          <w:rPr>
            <w:rStyle w:val="Hyperlink"/>
            <w:rFonts w:ascii="Garamond" w:hAnsi="Garamond" w:cs="Times New Roman"/>
            <w:sz w:val="20"/>
            <w:szCs w:val="20"/>
          </w:rPr>
          <w:t>https://doi.org/10.55003/cast.2025.263515</w:t>
        </w:r>
      </w:hyperlink>
    </w:p>
    <w:p w14:paraId="0928A6B1" w14:textId="085B2B4E"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Olagunju, O. J., Ben, E., </w:t>
      </w:r>
      <w:proofErr w:type="spellStart"/>
      <w:r w:rsidRPr="00685E69">
        <w:rPr>
          <w:rFonts w:ascii="Garamond" w:hAnsi="Garamond" w:cs="Times New Roman"/>
          <w:sz w:val="20"/>
          <w:szCs w:val="20"/>
        </w:rPr>
        <w:t>Majolagbe</w:t>
      </w:r>
      <w:proofErr w:type="spellEnd"/>
      <w:r w:rsidRPr="00685E69">
        <w:rPr>
          <w:rFonts w:ascii="Garamond" w:hAnsi="Garamond" w:cs="Times New Roman"/>
          <w:sz w:val="20"/>
          <w:szCs w:val="20"/>
        </w:rPr>
        <w:t xml:space="preserve">, O. G., </w:t>
      </w:r>
      <w:proofErr w:type="spellStart"/>
      <w:r w:rsidRPr="00685E69">
        <w:rPr>
          <w:rFonts w:ascii="Garamond" w:hAnsi="Garamond" w:cs="Times New Roman"/>
          <w:sz w:val="20"/>
          <w:szCs w:val="20"/>
        </w:rPr>
        <w:t>Osanyinlusi</w:t>
      </w:r>
      <w:proofErr w:type="spellEnd"/>
      <w:r w:rsidRPr="00685E69">
        <w:rPr>
          <w:rFonts w:ascii="Garamond" w:hAnsi="Garamond" w:cs="Times New Roman"/>
          <w:sz w:val="20"/>
          <w:szCs w:val="20"/>
        </w:rPr>
        <w:t xml:space="preserve">, O. O., </w:t>
      </w:r>
      <w:proofErr w:type="spellStart"/>
      <w:r w:rsidRPr="00685E69">
        <w:rPr>
          <w:rFonts w:ascii="Garamond" w:hAnsi="Garamond" w:cs="Times New Roman"/>
          <w:sz w:val="20"/>
          <w:szCs w:val="20"/>
        </w:rPr>
        <w:t>Adewoye</w:t>
      </w:r>
      <w:proofErr w:type="spellEnd"/>
      <w:r w:rsidRPr="00685E69">
        <w:rPr>
          <w:rFonts w:ascii="Garamond" w:hAnsi="Garamond" w:cs="Times New Roman"/>
          <w:sz w:val="20"/>
          <w:szCs w:val="20"/>
        </w:rPr>
        <w:t>, T., … Dawha, S. D. Poorly regulated antibiotic use in Nigeria: A critical public health concern and its impact on medical practice. Cureus</w:t>
      </w:r>
      <w:r w:rsidR="00475388">
        <w:rPr>
          <w:rFonts w:ascii="Garamond" w:hAnsi="Garamond" w:cs="Times New Roman"/>
          <w:sz w:val="20"/>
          <w:szCs w:val="20"/>
        </w:rPr>
        <w:t>: 2025;</w:t>
      </w:r>
      <w:r w:rsidRPr="00685E69">
        <w:rPr>
          <w:rFonts w:ascii="Garamond" w:hAnsi="Garamond" w:cs="Times New Roman"/>
          <w:sz w:val="20"/>
          <w:szCs w:val="20"/>
        </w:rPr>
        <w:t xml:space="preserve">17(6), e85212. </w:t>
      </w:r>
      <w:hyperlink r:id="rId61" w:history="1">
        <w:r w:rsidRPr="00685E69">
          <w:rPr>
            <w:rStyle w:val="Hyperlink"/>
            <w:rFonts w:ascii="Garamond" w:hAnsi="Garamond" w:cs="Times New Roman"/>
            <w:sz w:val="20"/>
            <w:szCs w:val="20"/>
          </w:rPr>
          <w:t>https://doi.org/10.7759/cureus.85212</w:t>
        </w:r>
      </w:hyperlink>
    </w:p>
    <w:p w14:paraId="778F9A81" w14:textId="3E1EF2C8" w:rsidR="00785E9E" w:rsidRPr="00685E69" w:rsidRDefault="00785E9E" w:rsidP="00685E69">
      <w:pPr>
        <w:numPr>
          <w:ilvl w:val="0"/>
          <w:numId w:val="26"/>
        </w:numPr>
        <w:ind w:left="284"/>
        <w:rPr>
          <w:rFonts w:ascii="Garamond" w:hAnsi="Garamond" w:cs="Times New Roman"/>
          <w:sz w:val="20"/>
          <w:szCs w:val="20"/>
        </w:rPr>
      </w:pPr>
      <w:r w:rsidRPr="00685E69">
        <w:rPr>
          <w:rFonts w:ascii="Garamond" w:hAnsi="Garamond" w:cs="Times New Roman"/>
          <w:sz w:val="20"/>
          <w:szCs w:val="20"/>
        </w:rPr>
        <w:t xml:space="preserve">Falana, R. O. A., </w:t>
      </w:r>
      <w:proofErr w:type="spellStart"/>
      <w:r w:rsidRPr="00685E69">
        <w:rPr>
          <w:rFonts w:ascii="Garamond" w:hAnsi="Garamond" w:cs="Times New Roman"/>
          <w:sz w:val="20"/>
          <w:szCs w:val="20"/>
        </w:rPr>
        <w:t>Ogidan</w:t>
      </w:r>
      <w:proofErr w:type="spellEnd"/>
      <w:r w:rsidRPr="00685E69">
        <w:rPr>
          <w:rFonts w:ascii="Garamond" w:hAnsi="Garamond" w:cs="Times New Roman"/>
          <w:sz w:val="20"/>
          <w:szCs w:val="20"/>
        </w:rPr>
        <w:t xml:space="preserve">, O. C., &amp; </w:t>
      </w:r>
      <w:proofErr w:type="spellStart"/>
      <w:r w:rsidRPr="00685E69">
        <w:rPr>
          <w:rFonts w:ascii="Garamond" w:hAnsi="Garamond" w:cs="Times New Roman"/>
          <w:sz w:val="20"/>
          <w:szCs w:val="20"/>
        </w:rPr>
        <w:t>Fajemilehin</w:t>
      </w:r>
      <w:proofErr w:type="spellEnd"/>
      <w:r w:rsidRPr="00685E69">
        <w:rPr>
          <w:rFonts w:ascii="Garamond" w:hAnsi="Garamond" w:cs="Times New Roman"/>
          <w:sz w:val="20"/>
          <w:szCs w:val="20"/>
        </w:rPr>
        <w:t xml:space="preserve">, B. R. Barriers to infection prevention and control implementation in selected healthcare facilities in Nigeria. </w:t>
      </w:r>
      <w:r w:rsidR="00475388">
        <w:rPr>
          <w:rFonts w:ascii="Garamond" w:hAnsi="Garamond" w:cs="Times New Roman"/>
          <w:sz w:val="20"/>
          <w:szCs w:val="20"/>
        </w:rPr>
        <w:t xml:space="preserve">2024; </w:t>
      </w:r>
      <w:r w:rsidRPr="00685E69">
        <w:rPr>
          <w:rFonts w:ascii="Garamond" w:hAnsi="Garamond" w:cs="Times New Roman"/>
          <w:sz w:val="20"/>
          <w:szCs w:val="20"/>
        </w:rPr>
        <w:t xml:space="preserve">Infectious Disease Now, 54(3), 104877. </w:t>
      </w:r>
      <w:hyperlink r:id="rId62" w:history="1">
        <w:r w:rsidRPr="00685E69">
          <w:rPr>
            <w:rStyle w:val="Hyperlink"/>
            <w:rFonts w:ascii="Garamond" w:hAnsi="Garamond" w:cs="Times New Roman"/>
            <w:sz w:val="20"/>
            <w:szCs w:val="20"/>
          </w:rPr>
          <w:t>https://doi.org/10.1016/j.idnow.2024.104877</w:t>
        </w:r>
      </w:hyperlink>
    </w:p>
    <w:p w14:paraId="16E9417F" w14:textId="77777777" w:rsidR="00685E69" w:rsidRDefault="00685E69" w:rsidP="00685E69">
      <w:pPr>
        <w:rPr>
          <w:rFonts w:ascii="Garamond" w:hAnsi="Garamond"/>
          <w:sz w:val="20"/>
          <w:szCs w:val="20"/>
        </w:rPr>
      </w:pPr>
    </w:p>
    <w:p w14:paraId="5B801CDD" w14:textId="77777777" w:rsidR="00685E69" w:rsidRPr="00685E69" w:rsidRDefault="00685E69" w:rsidP="00685E69">
      <w:pPr>
        <w:rPr>
          <w:rFonts w:ascii="Garamond" w:hAnsi="Garamond" w:cs="Times New Roman"/>
          <w:sz w:val="20"/>
          <w:szCs w:val="20"/>
        </w:rPr>
      </w:pPr>
    </w:p>
    <w:p w14:paraId="0C8270EB" w14:textId="77777777" w:rsidR="00FB51C7" w:rsidRPr="004F6574" w:rsidRDefault="00FB51C7" w:rsidP="004F6574">
      <w:pPr>
        <w:rPr>
          <w:rFonts w:ascii="Garamond" w:hAnsi="Garamond" w:cs="Times New Roman"/>
          <w:sz w:val="20"/>
          <w:szCs w:val="20"/>
        </w:rPr>
      </w:pPr>
    </w:p>
    <w:bookmarkEnd w:id="8"/>
    <w:p w14:paraId="3BF376D4" w14:textId="77777777" w:rsidR="004F6574" w:rsidRDefault="004F6574" w:rsidP="007A1526">
      <w:pPr>
        <w:spacing w:line="259" w:lineRule="auto"/>
        <w:jc w:val="both"/>
        <w:rPr>
          <w:rFonts w:ascii="Garamond" w:hAnsi="Garamond"/>
          <w:bCs/>
          <w:iCs/>
          <w:sz w:val="20"/>
          <w:szCs w:val="20"/>
        </w:rPr>
      </w:pPr>
    </w:p>
    <w:p w14:paraId="08511946" w14:textId="3BC5A859" w:rsidR="004F6574" w:rsidRDefault="004F6574" w:rsidP="007A1526">
      <w:pPr>
        <w:spacing w:line="259" w:lineRule="auto"/>
        <w:jc w:val="both"/>
        <w:rPr>
          <w:rFonts w:ascii="Garamond" w:hAnsi="Garamond"/>
          <w:bCs/>
          <w:iCs/>
          <w:sz w:val="20"/>
          <w:szCs w:val="20"/>
        </w:rPr>
      </w:pPr>
    </w:p>
    <w:sectPr w:rsidR="004F6574" w:rsidSect="00785E9E">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0D82B" w14:textId="77777777" w:rsidR="00F207E8" w:rsidRDefault="00F207E8" w:rsidP="00202B90">
      <w:r>
        <w:separator/>
      </w:r>
    </w:p>
  </w:endnote>
  <w:endnote w:type="continuationSeparator" w:id="0">
    <w:p w14:paraId="5B126C2C" w14:textId="77777777" w:rsidR="00F207E8" w:rsidRDefault="00F207E8"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3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2E6D4" w14:textId="77777777" w:rsidR="00F207E8" w:rsidRDefault="00F207E8" w:rsidP="00202B90">
      <w:bookmarkStart w:id="0" w:name="_Hlk191386689"/>
      <w:bookmarkEnd w:id="0"/>
      <w:r>
        <w:separator/>
      </w:r>
    </w:p>
  </w:footnote>
  <w:footnote w:type="continuationSeparator" w:id="0">
    <w:p w14:paraId="7A377A0E" w14:textId="77777777" w:rsidR="00F207E8" w:rsidRDefault="00F207E8"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4859172D" w14:textId="77777777" w:rsidR="00ED0617" w:rsidRPr="00ED0617" w:rsidRDefault="00ED0617" w:rsidP="00E94E49">
    <w:pPr>
      <w:pStyle w:val="Header"/>
      <w:tabs>
        <w:tab w:val="clear" w:pos="4320"/>
        <w:tab w:val="clear" w:pos="8640"/>
        <w:tab w:val="left" w:pos="630"/>
      </w:tabs>
      <w:jc w:val="both"/>
      <w:rPr>
        <w:rFonts w:ascii="Garamond" w:hAnsi="Garamond"/>
        <w:sz w:val="20"/>
        <w:szCs w:val="22"/>
      </w:rPr>
    </w:pPr>
    <w:r w:rsidRPr="00ED0617">
      <w:rPr>
        <w:rFonts w:ascii="Garamond" w:hAnsi="Garamond"/>
        <w:sz w:val="20"/>
        <w:szCs w:val="22"/>
      </w:rPr>
      <w:t xml:space="preserve">Antimicrobial Peptides Against Carbapenem-Resistant </w:t>
    </w:r>
    <w:r w:rsidRPr="00ED0617">
      <w:rPr>
        <w:rFonts w:ascii="Garamond" w:hAnsi="Garamond"/>
        <w:i/>
        <w:iCs/>
        <w:sz w:val="20"/>
        <w:szCs w:val="22"/>
      </w:rPr>
      <w:t>Acinetobacter baumannii</w:t>
    </w:r>
    <w:r w:rsidRPr="00ED0617">
      <w:rPr>
        <w:rFonts w:ascii="Garamond" w:hAnsi="Garamond"/>
        <w:sz w:val="20"/>
        <w:szCs w:val="22"/>
      </w:rPr>
      <w:t xml:space="preserve"> </w:t>
    </w:r>
  </w:p>
  <w:p w14:paraId="5D172485" w14:textId="0638B3DF" w:rsidR="002238CA" w:rsidRPr="00ED0617" w:rsidRDefault="00ED0617" w:rsidP="00E94E49">
    <w:pPr>
      <w:pStyle w:val="Header"/>
      <w:tabs>
        <w:tab w:val="clear" w:pos="4320"/>
        <w:tab w:val="clear" w:pos="8640"/>
        <w:tab w:val="left" w:pos="630"/>
      </w:tabs>
      <w:jc w:val="both"/>
      <w:rPr>
        <w:rFonts w:ascii="Garamond" w:hAnsi="Garamond"/>
        <w:sz w:val="20"/>
        <w:szCs w:val="22"/>
        <w:lang w:val="en-GB"/>
      </w:rPr>
    </w:pPr>
    <w:proofErr w:type="spellStart"/>
    <w:r w:rsidRPr="00ED0617">
      <w:rPr>
        <w:rFonts w:ascii="Garamond" w:hAnsi="Garamond"/>
        <w:sz w:val="20"/>
        <w:szCs w:val="22"/>
      </w:rPr>
      <w:t>Ebiloma</w:t>
    </w:r>
    <w:proofErr w:type="spellEnd"/>
    <w:r w:rsidR="008134A3" w:rsidRPr="00ED0617">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C72E3F3" w14:textId="77777777" w:rsidR="00ED0617" w:rsidRPr="00ED0617" w:rsidRDefault="00ED0617" w:rsidP="00ED0617">
    <w:pPr>
      <w:pStyle w:val="Header"/>
      <w:tabs>
        <w:tab w:val="clear" w:pos="4320"/>
        <w:tab w:val="clear" w:pos="8640"/>
        <w:tab w:val="left" w:pos="630"/>
      </w:tabs>
      <w:jc w:val="both"/>
      <w:rPr>
        <w:rFonts w:ascii="Garamond" w:hAnsi="Garamond"/>
        <w:sz w:val="20"/>
        <w:szCs w:val="22"/>
      </w:rPr>
    </w:pPr>
    <w:r w:rsidRPr="00ED0617">
      <w:rPr>
        <w:rFonts w:ascii="Garamond" w:hAnsi="Garamond"/>
        <w:sz w:val="20"/>
        <w:szCs w:val="22"/>
      </w:rPr>
      <w:t xml:space="preserve">Antimicrobial Peptides Against Carbapenem-Resistant </w:t>
    </w:r>
    <w:r w:rsidRPr="00ED0617">
      <w:rPr>
        <w:rFonts w:ascii="Garamond" w:hAnsi="Garamond"/>
        <w:i/>
        <w:iCs/>
        <w:sz w:val="20"/>
        <w:szCs w:val="22"/>
      </w:rPr>
      <w:t>Acinetobacter baumannii</w:t>
    </w:r>
    <w:r w:rsidRPr="00ED0617">
      <w:rPr>
        <w:rFonts w:ascii="Garamond" w:hAnsi="Garamond"/>
        <w:sz w:val="20"/>
        <w:szCs w:val="22"/>
      </w:rPr>
      <w:t xml:space="preserve"> </w:t>
    </w:r>
  </w:p>
  <w:p w14:paraId="0E9FCF5A" w14:textId="77777777" w:rsidR="00ED0617" w:rsidRPr="00ED0617" w:rsidRDefault="00ED0617" w:rsidP="00ED0617">
    <w:pPr>
      <w:pStyle w:val="Header"/>
      <w:tabs>
        <w:tab w:val="clear" w:pos="4320"/>
        <w:tab w:val="clear" w:pos="8640"/>
        <w:tab w:val="left" w:pos="630"/>
      </w:tabs>
      <w:jc w:val="both"/>
      <w:rPr>
        <w:rFonts w:ascii="Garamond" w:hAnsi="Garamond"/>
        <w:sz w:val="20"/>
        <w:szCs w:val="22"/>
        <w:lang w:val="en-GB"/>
      </w:rPr>
    </w:pPr>
    <w:proofErr w:type="spellStart"/>
    <w:r w:rsidRPr="00ED0617">
      <w:rPr>
        <w:rFonts w:ascii="Garamond" w:hAnsi="Garamond"/>
        <w:sz w:val="20"/>
        <w:szCs w:val="22"/>
      </w:rPr>
      <w:t>Ebiloma</w:t>
    </w:r>
    <w:proofErr w:type="spellEnd"/>
    <w:r w:rsidRPr="00ED0617">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43508545" w14:textId="77777777" w:rsidR="00ED0617" w:rsidRPr="00ED0617" w:rsidRDefault="00ED0617" w:rsidP="00ED0617">
    <w:pPr>
      <w:pStyle w:val="Header"/>
      <w:tabs>
        <w:tab w:val="clear" w:pos="4320"/>
        <w:tab w:val="clear" w:pos="8640"/>
        <w:tab w:val="left" w:pos="630"/>
      </w:tabs>
      <w:jc w:val="both"/>
      <w:rPr>
        <w:rFonts w:ascii="Garamond" w:hAnsi="Garamond"/>
        <w:sz w:val="20"/>
        <w:szCs w:val="22"/>
      </w:rPr>
    </w:pPr>
    <w:r w:rsidRPr="00ED0617">
      <w:rPr>
        <w:rFonts w:ascii="Garamond" w:hAnsi="Garamond"/>
        <w:sz w:val="20"/>
        <w:szCs w:val="22"/>
      </w:rPr>
      <w:t xml:space="preserve">Antimicrobial Peptides Against Carbapenem-Resistant </w:t>
    </w:r>
    <w:r w:rsidRPr="00ED0617">
      <w:rPr>
        <w:rFonts w:ascii="Garamond" w:hAnsi="Garamond"/>
        <w:i/>
        <w:iCs/>
        <w:sz w:val="20"/>
        <w:szCs w:val="22"/>
      </w:rPr>
      <w:t>Acinetobacter baumannii</w:t>
    </w:r>
    <w:r w:rsidRPr="00ED0617">
      <w:rPr>
        <w:rFonts w:ascii="Garamond" w:hAnsi="Garamond"/>
        <w:sz w:val="20"/>
        <w:szCs w:val="22"/>
      </w:rPr>
      <w:t xml:space="preserve"> </w:t>
    </w:r>
  </w:p>
  <w:p w14:paraId="03158A9A" w14:textId="77777777" w:rsidR="00ED0617" w:rsidRPr="00ED0617" w:rsidRDefault="00ED0617" w:rsidP="00ED0617">
    <w:pPr>
      <w:pStyle w:val="Header"/>
      <w:tabs>
        <w:tab w:val="clear" w:pos="4320"/>
        <w:tab w:val="clear" w:pos="8640"/>
        <w:tab w:val="left" w:pos="630"/>
      </w:tabs>
      <w:jc w:val="both"/>
      <w:rPr>
        <w:rFonts w:ascii="Garamond" w:hAnsi="Garamond"/>
        <w:sz w:val="20"/>
        <w:szCs w:val="22"/>
        <w:lang w:val="en-GB"/>
      </w:rPr>
    </w:pPr>
    <w:proofErr w:type="spellStart"/>
    <w:r w:rsidRPr="00ED0617">
      <w:rPr>
        <w:rFonts w:ascii="Garamond" w:hAnsi="Garamond"/>
        <w:sz w:val="20"/>
        <w:szCs w:val="22"/>
      </w:rPr>
      <w:t>Ebiloma</w:t>
    </w:r>
    <w:proofErr w:type="spellEnd"/>
    <w:r w:rsidRPr="00ED0617">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7C3700"/>
    <w:multiLevelType w:val="hybridMultilevel"/>
    <w:tmpl w:val="D3C6E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4"/>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8"/>
  </w:num>
  <w:num w:numId="22" w16cid:durableId="1575044381">
    <w:abstractNumId w:val="17"/>
  </w:num>
  <w:num w:numId="23" w16cid:durableId="1550071572">
    <w:abstractNumId w:val="25"/>
  </w:num>
  <w:num w:numId="24" w16cid:durableId="1200505831">
    <w:abstractNumId w:val="23"/>
  </w:num>
  <w:num w:numId="25" w16cid:durableId="1501195848">
    <w:abstractNumId w:val="3"/>
  </w:num>
  <w:num w:numId="26" w16cid:durableId="1343319229">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0747B"/>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388"/>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4F6574"/>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3D42"/>
    <w:rsid w:val="005C4B82"/>
    <w:rsid w:val="005C56D6"/>
    <w:rsid w:val="005D1303"/>
    <w:rsid w:val="005D69B0"/>
    <w:rsid w:val="005E72F4"/>
    <w:rsid w:val="005E7E10"/>
    <w:rsid w:val="005F3C1A"/>
    <w:rsid w:val="005F578E"/>
    <w:rsid w:val="005F7F0B"/>
    <w:rsid w:val="0060273B"/>
    <w:rsid w:val="00604B2A"/>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85E69"/>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D6566"/>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5E9E"/>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1E92"/>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56F9D"/>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6CC"/>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12F6"/>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66244"/>
    <w:rsid w:val="00A7208F"/>
    <w:rsid w:val="00A72C0A"/>
    <w:rsid w:val="00A74B40"/>
    <w:rsid w:val="00A7575B"/>
    <w:rsid w:val="00A76763"/>
    <w:rsid w:val="00A80D3B"/>
    <w:rsid w:val="00A812B6"/>
    <w:rsid w:val="00A822A5"/>
    <w:rsid w:val="00A9005E"/>
    <w:rsid w:val="00A979AC"/>
    <w:rsid w:val="00AA486B"/>
    <w:rsid w:val="00AA4BA3"/>
    <w:rsid w:val="00AA6363"/>
    <w:rsid w:val="00AA7E00"/>
    <w:rsid w:val="00AB1292"/>
    <w:rsid w:val="00AB1608"/>
    <w:rsid w:val="00AB56A1"/>
    <w:rsid w:val="00AB7625"/>
    <w:rsid w:val="00AC112A"/>
    <w:rsid w:val="00AC1900"/>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36D77"/>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A76A8"/>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610E"/>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97661"/>
    <w:rsid w:val="00EA4561"/>
    <w:rsid w:val="00EB038A"/>
    <w:rsid w:val="00EB0FB8"/>
    <w:rsid w:val="00EB1521"/>
    <w:rsid w:val="00EB658E"/>
    <w:rsid w:val="00EC322A"/>
    <w:rsid w:val="00EC3387"/>
    <w:rsid w:val="00EC5532"/>
    <w:rsid w:val="00EC6106"/>
    <w:rsid w:val="00ED0617"/>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7E8"/>
    <w:rsid w:val="00F20CA0"/>
    <w:rsid w:val="00F23682"/>
    <w:rsid w:val="00F2589D"/>
    <w:rsid w:val="00F26986"/>
    <w:rsid w:val="00F26F9E"/>
    <w:rsid w:val="00F30FAF"/>
    <w:rsid w:val="00F33637"/>
    <w:rsid w:val="00F34330"/>
    <w:rsid w:val="00F362EB"/>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3D87"/>
    <w:rsid w:val="00FB4826"/>
    <w:rsid w:val="00FB51C7"/>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39" Type="http://schemas.openxmlformats.org/officeDocument/2006/relationships/hyperlink" Target="https://doi.org/10.1016/j.ejmech.2023.115377" TargetMode="External"/><Relationship Id="rId21" Type="http://schemas.openxmlformats.org/officeDocument/2006/relationships/image" Target="media/image3.jpeg"/><Relationship Id="rId34" Type="http://schemas.openxmlformats.org/officeDocument/2006/relationships/hyperlink" Target="https://doi.org/10.1007/s00203-024-04003-6" TargetMode="External"/><Relationship Id="rId42" Type="http://schemas.openxmlformats.org/officeDocument/2006/relationships/hyperlink" Target="https://doi.org/10.1038/s41467-023-37573-y" TargetMode="External"/><Relationship Id="rId47" Type="http://schemas.openxmlformats.org/officeDocument/2006/relationships/hyperlink" Target="https://doi.org/10.1038/s41467-023-41156-2" TargetMode="External"/><Relationship Id="rId50" Type="http://schemas.openxmlformats.org/officeDocument/2006/relationships/hyperlink" Target="https://doi.org/10.1016/j.jare.2024.02.007" TargetMode="External"/><Relationship Id="rId55" Type="http://schemas.openxmlformats.org/officeDocument/2006/relationships/hyperlink" Target="https://doi.org/10.1016/j.microb.2024.100194"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image" Target="media/image7.png"/><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hyperlink" Target="https://doi.org/10.1002/advs.202410893" TargetMode="External"/><Relationship Id="rId37" Type="http://schemas.openxmlformats.org/officeDocument/2006/relationships/hyperlink" Target="https://doi.org/10.7717/peerj.18722" TargetMode="External"/><Relationship Id="rId40" Type="http://schemas.openxmlformats.org/officeDocument/2006/relationships/hyperlink" Target="https://doi.org/10.3390/antibiotics12020244" TargetMode="External"/><Relationship Id="rId45" Type="http://schemas.openxmlformats.org/officeDocument/2006/relationships/hyperlink" Target="https://doi.org/10.1186/s12967-025-06321-9" TargetMode="External"/><Relationship Id="rId53" Type="http://schemas.openxmlformats.org/officeDocument/2006/relationships/hyperlink" Target="https://doi.org/10.1038/s41467-023-41156-2" TargetMode="External"/><Relationship Id="rId58" Type="http://schemas.openxmlformats.org/officeDocument/2006/relationships/hyperlink" Target="https://doi.org/10.1186/s13756-025-01657-9" TargetMode="External"/><Relationship Id="rId5" Type="http://schemas.openxmlformats.org/officeDocument/2006/relationships/webSettings" Target="webSettings.xml"/><Relationship Id="rId61" Type="http://schemas.openxmlformats.org/officeDocument/2006/relationships/hyperlink" Target="https://doi.org/10.7759/cureus.85212" TargetMode="External"/><Relationship Id="rId19" Type="http://schemas.openxmlformats.org/officeDocument/2006/relationships/header" Target="header6.xml"/><Relationship Id="rId14" Type="http://schemas.openxmlformats.org/officeDocument/2006/relationships/footer" Target="footer3.xml"/><Relationship Id="rId22" Type="http://schemas.openxmlformats.org/officeDocument/2006/relationships/hyperlink" Target="https://doi.org/10.71637/tnhj.v26i1.1353"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yperlink" Target="https://doi.org/10.1111/1751-7915.70072" TargetMode="External"/><Relationship Id="rId43" Type="http://schemas.openxmlformats.org/officeDocument/2006/relationships/hyperlink" Target="https://doi.org/10.1093/jac/dkae191" TargetMode="External"/><Relationship Id="rId48" Type="http://schemas.openxmlformats.org/officeDocument/2006/relationships/hyperlink" Target="https://doi.org/10.3390/molecules29112492" TargetMode="External"/><Relationship Id="rId56" Type="http://schemas.openxmlformats.org/officeDocument/2006/relationships/hyperlink" Target="https://doi.org/10.1016/j.eurpolymj.2024.112983" TargetMode="External"/><Relationship Id="rId64" Type="http://schemas.openxmlformats.org/officeDocument/2006/relationships/theme" Target="theme/theme1.xml"/><Relationship Id="rId8" Type="http://schemas.openxmlformats.org/officeDocument/2006/relationships/hyperlink" Target="mailto:Samuel.ebiloma@abiastateuniversity.edu.ng" TargetMode="External"/><Relationship Id="rId51" Type="http://schemas.openxmlformats.org/officeDocument/2006/relationships/hyperlink" Target="https://doi.org/10.1186/s11671-024-04107-4"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hyperlink" Target="https://doi.org/10.1089/wound.2014.0557" TargetMode="External"/><Relationship Id="rId38" Type="http://schemas.openxmlformats.org/officeDocument/2006/relationships/hyperlink" Target="https://doi.org/10.1016/j.ijfoodmicro.2004.11.007" TargetMode="External"/><Relationship Id="rId46" Type="http://schemas.openxmlformats.org/officeDocument/2006/relationships/hyperlink" Target="https://doi.org/10.1039/D2MA00846G" TargetMode="External"/><Relationship Id="rId59" Type="http://schemas.openxmlformats.org/officeDocument/2006/relationships/hyperlink" Target="https://doi.org/10.63950/gshh.2025.1.2.19" TargetMode="External"/><Relationship Id="rId20" Type="http://schemas.openxmlformats.org/officeDocument/2006/relationships/footer" Target="footer6.xml"/><Relationship Id="rId41" Type="http://schemas.openxmlformats.org/officeDocument/2006/relationships/hyperlink" Target="https://doi.org/10.1039/D4TB02144D" TargetMode="External"/><Relationship Id="rId54" Type="http://schemas.openxmlformats.org/officeDocument/2006/relationships/hyperlink" Target="https://doi.org/10.3389/fmicb.2024.1390765" TargetMode="External"/><Relationship Id="rId62" Type="http://schemas.openxmlformats.org/officeDocument/2006/relationships/hyperlink" Target="https://doi.org/10.1016/j.idnow.2024.10487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doi.org/10.71637/tnhj.v26i1.1353" TargetMode="External"/><Relationship Id="rId28" Type="http://schemas.openxmlformats.org/officeDocument/2006/relationships/image" Target="media/image6.png"/><Relationship Id="rId36" Type="http://schemas.openxmlformats.org/officeDocument/2006/relationships/hyperlink" Target="https://doi.org/10.3390/ijms24087563" TargetMode="External"/><Relationship Id="rId49" Type="http://schemas.openxmlformats.org/officeDocument/2006/relationships/hyperlink" Target="https://doi.org/10.1186/s13568-021-01208-6" TargetMode="External"/><Relationship Id="rId57" Type="http://schemas.openxmlformats.org/officeDocument/2006/relationships/hyperlink" Target="https://doi.org/10.1186/s12879-025-11246-1" TargetMode="External"/><Relationship Id="rId10" Type="http://schemas.openxmlformats.org/officeDocument/2006/relationships/header" Target="header2.xml"/><Relationship Id="rId31" Type="http://schemas.openxmlformats.org/officeDocument/2006/relationships/image" Target="media/image9.PNG"/><Relationship Id="rId44" Type="http://schemas.openxmlformats.org/officeDocument/2006/relationships/hyperlink" Target="https://doi.org/10.1111/cts.12789" TargetMode="External"/><Relationship Id="rId52" Type="http://schemas.openxmlformats.org/officeDocument/2006/relationships/hyperlink" Target="https://doi.org/10.1093/jambio/lxae046" TargetMode="External"/><Relationship Id="rId60" Type="http://schemas.openxmlformats.org/officeDocument/2006/relationships/hyperlink" Target="https://doi.org/10.55003/cast.2025.263515" TargetMode="Externa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7987</Words>
  <Characters>45527</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2026-04-06T08:16:00Z</dcterms:created>
  <dcterms:modified xsi:type="dcterms:W3CDTF">2026-04-06T08:17:00Z</dcterms:modified>
</cp:coreProperties>
</file>