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0077351">
                <wp:simplePos x="0" y="0"/>
                <wp:positionH relativeFrom="column">
                  <wp:posOffset>-235390</wp:posOffset>
                </wp:positionH>
                <wp:positionV relativeFrom="paragraph">
                  <wp:posOffset>120241</wp:posOffset>
                </wp:positionV>
                <wp:extent cx="6419850" cy="787652"/>
                <wp:effectExtent l="0" t="0" r="19050" b="1270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787652"/>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A85858" id="Round Diagonal Corner Rectangle 262" o:spid="_x0000_s1026" style="position:absolute;margin-left:-18.55pt;margin-top:9.45pt;width:505.5pt;height:62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787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" path="m131278,l6419850,r,l6419850,656374v,72503,-58775,131278,-131278,131278l,787652r,l,131278c,58775,58775,,131278,xe" fillcolor="#1a601c" strokecolor="#385723" strokeweight="1pt">
                <v:stroke joinstyle="miter"/>
                <v:path arrowok="t" o:connecttype="custom" o:connectlocs="131278,0;6419850,0;6419850,0;6419850,656374;6288572,787652;0,787652;0,787652;0,131278;131278,0" o:connectangles="0,0,0,0,0,0,0,0,0"/>
              </v:shape>
            </w:pict>
          </mc:Fallback>
        </mc:AlternateContent>
      </w:r>
    </w:p>
    <w:p w14:paraId="6090C526" w14:textId="77777777" w:rsidR="001C5BC0" w:rsidRPr="001C5BC0" w:rsidRDefault="001C5BC0" w:rsidP="001C5BC0">
      <w:pPr>
        <w:pBdr>
          <w:bottom w:val="single" w:sz="6" w:space="1" w:color="auto"/>
        </w:pBdr>
        <w:jc w:val="both"/>
        <w:rPr>
          <w:rFonts w:ascii="Garamond" w:hAnsi="Garamond" w:cs="Times New Roman"/>
          <w:b/>
          <w:bCs/>
          <w:color w:val="FFFFFF" w:themeColor="background1"/>
          <w:sz w:val="32"/>
          <w:szCs w:val="32"/>
          <w:lang w:val="id-ID"/>
        </w:rPr>
      </w:pPr>
      <w:bookmarkStart w:id="1" w:name="_top"/>
      <w:bookmarkStart w:id="2" w:name="_Hlk216870410"/>
      <w:bookmarkStart w:id="3" w:name="_Hlk192762964"/>
      <w:bookmarkStart w:id="4" w:name="_Hlk192836332"/>
      <w:bookmarkEnd w:id="1"/>
      <w:r w:rsidRPr="001C5BC0">
        <w:rPr>
          <w:rFonts w:ascii="Garamond" w:hAnsi="Garamond" w:cs="Times New Roman"/>
          <w:b/>
          <w:bCs/>
          <w:color w:val="FFFFFF" w:themeColor="background1"/>
          <w:sz w:val="32"/>
          <w:szCs w:val="32"/>
        </w:rPr>
        <w:t>Factors Related to The</w:t>
      </w:r>
      <w:r w:rsidRPr="001C5BC0">
        <w:rPr>
          <w:rFonts w:ascii="Garamond" w:hAnsi="Garamond" w:cs="Times New Roman"/>
          <w:b/>
          <w:bCs/>
          <w:color w:val="FFFFFF" w:themeColor="background1"/>
          <w:sz w:val="32"/>
          <w:szCs w:val="32"/>
          <w:lang w:val="zh-CN"/>
        </w:rPr>
        <w:t xml:space="preserve"> Real Costs </w:t>
      </w:r>
      <w:r w:rsidRPr="001C5BC0">
        <w:rPr>
          <w:rFonts w:ascii="Garamond" w:hAnsi="Garamond" w:cs="Times New Roman"/>
          <w:b/>
          <w:bCs/>
          <w:color w:val="FFFFFF" w:themeColor="background1"/>
          <w:sz w:val="32"/>
          <w:szCs w:val="32"/>
        </w:rPr>
        <w:t>for</w:t>
      </w:r>
      <w:r w:rsidRPr="001C5BC0">
        <w:rPr>
          <w:rFonts w:ascii="Garamond" w:hAnsi="Garamond" w:cs="Times New Roman"/>
          <w:b/>
          <w:bCs/>
          <w:color w:val="FFFFFF" w:themeColor="background1"/>
          <w:sz w:val="32"/>
          <w:szCs w:val="32"/>
          <w:lang w:val="zh-CN"/>
        </w:rPr>
        <w:t xml:space="preserve"> Stroke Patients </w:t>
      </w:r>
      <w:proofErr w:type="spellStart"/>
      <w:r w:rsidRPr="001C5BC0">
        <w:rPr>
          <w:rFonts w:ascii="Garamond" w:hAnsi="Garamond" w:cs="Times New Roman"/>
          <w:b/>
          <w:bCs/>
          <w:color w:val="FFFFFF" w:themeColor="background1"/>
          <w:sz w:val="32"/>
          <w:szCs w:val="32"/>
        </w:rPr>
        <w:t>i</w:t>
      </w:r>
      <w:proofErr w:type="spellEnd"/>
      <w:r w:rsidRPr="001C5BC0">
        <w:rPr>
          <w:rFonts w:ascii="Garamond" w:hAnsi="Garamond" w:cs="Times New Roman"/>
          <w:b/>
          <w:bCs/>
          <w:color w:val="FFFFFF" w:themeColor="background1"/>
          <w:sz w:val="32"/>
          <w:szCs w:val="32"/>
          <w:lang w:val="zh-CN"/>
        </w:rPr>
        <w:t xml:space="preserve">n </w:t>
      </w:r>
      <w:r w:rsidRPr="001C5BC0">
        <w:rPr>
          <w:rFonts w:ascii="Garamond" w:hAnsi="Garamond" w:cs="Times New Roman"/>
          <w:b/>
          <w:bCs/>
          <w:color w:val="FFFFFF" w:themeColor="background1"/>
          <w:sz w:val="32"/>
          <w:szCs w:val="32"/>
        </w:rPr>
        <w:t xml:space="preserve">The </w:t>
      </w:r>
      <w:r w:rsidRPr="001C5BC0">
        <w:rPr>
          <w:rFonts w:ascii="Garamond" w:hAnsi="Garamond" w:cs="Times New Roman"/>
          <w:b/>
          <w:bCs/>
          <w:color w:val="FFFFFF" w:themeColor="background1"/>
          <w:sz w:val="32"/>
          <w:szCs w:val="32"/>
          <w:lang w:val="zh-CN"/>
        </w:rPr>
        <w:t>Hospitals</w:t>
      </w:r>
      <w:r w:rsidRPr="001C5BC0">
        <w:rPr>
          <w:rFonts w:ascii="Garamond" w:hAnsi="Garamond" w:cs="Times New Roman"/>
          <w:b/>
          <w:bCs/>
          <w:color w:val="FFFFFF" w:themeColor="background1"/>
          <w:sz w:val="32"/>
          <w:szCs w:val="32"/>
        </w:rPr>
        <w:t>,</w:t>
      </w:r>
      <w:r w:rsidRPr="001C5BC0">
        <w:rPr>
          <w:rFonts w:ascii="Garamond" w:hAnsi="Garamond" w:cs="Times New Roman"/>
          <w:b/>
          <w:bCs/>
          <w:color w:val="FFFFFF" w:themeColor="background1"/>
          <w:sz w:val="32"/>
          <w:szCs w:val="32"/>
          <w:lang w:val="zh-CN"/>
        </w:rPr>
        <w:t xml:space="preserve"> Yogyakarta </w:t>
      </w:r>
      <w:r w:rsidRPr="001C5BC0">
        <w:rPr>
          <w:rFonts w:ascii="Garamond" w:hAnsi="Garamond" w:cs="Times New Roman"/>
          <w:b/>
          <w:bCs/>
          <w:color w:val="FFFFFF" w:themeColor="background1"/>
          <w:sz w:val="32"/>
          <w:szCs w:val="32"/>
        </w:rPr>
        <w:t>City, Indonesia</w:t>
      </w:r>
    </w:p>
    <w:p w14:paraId="067505D2" w14:textId="727CD62F" w:rsidR="005E5FC6" w:rsidRPr="00F03324" w:rsidRDefault="0024597C" w:rsidP="005E5FC6">
      <w:pPr>
        <w:pBdr>
          <w:bottom w:val="single" w:sz="6" w:space="1" w:color="auto"/>
        </w:pBdr>
        <w:jc w:val="both"/>
        <w:rPr>
          <w:rFonts w:ascii="Garamond" w:hAnsi="Garamond"/>
          <w:b/>
          <w:bCs/>
          <w:i/>
          <w:iCs/>
          <w:color w:val="FFFFFF" w:themeColor="background1"/>
          <w:sz w:val="22"/>
          <w:szCs w:val="22"/>
        </w:rPr>
      </w:pPr>
      <w:bookmarkStart w:id="5" w:name="_Hlk216872523"/>
      <w:bookmarkEnd w:id="2"/>
      <w:r w:rsidRPr="0024597C">
        <w:rPr>
          <w:rFonts w:ascii="Garamond" w:hAnsi="Garamond"/>
          <w:b/>
          <w:bCs/>
          <w:i/>
          <w:iCs/>
          <w:color w:val="FFFFFF" w:themeColor="background1"/>
          <w:sz w:val="22"/>
          <w:szCs w:val="22"/>
          <w:vertAlign w:val="superscript"/>
        </w:rPr>
        <w:t>1</w:t>
      </w:r>
      <w:r w:rsidR="0067350B" w:rsidRPr="0067350B">
        <w:rPr>
          <w:rFonts w:ascii="Garamond" w:hAnsi="Garamond"/>
          <w:b/>
          <w:bCs/>
          <w:i/>
          <w:iCs/>
          <w:color w:val="FFFFFF" w:themeColor="background1"/>
          <w:sz w:val="22"/>
          <w:szCs w:val="22"/>
          <w:lang w:val="zh-CN"/>
        </w:rPr>
        <w:t>Muslimah</w:t>
      </w:r>
      <w:r w:rsidR="0067350B" w:rsidRPr="0067350B">
        <w:rPr>
          <w:rFonts w:ascii="Garamond" w:hAnsi="Garamond"/>
          <w:b/>
          <w:bCs/>
          <w:i/>
          <w:iCs/>
          <w:color w:val="FFFFFF" w:themeColor="background1"/>
          <w:sz w:val="22"/>
          <w:szCs w:val="22"/>
        </w:rPr>
        <w:t xml:space="preserve"> </w:t>
      </w:r>
      <w:r w:rsidR="0067350B" w:rsidRPr="0067350B">
        <w:rPr>
          <w:rFonts w:ascii="Garamond" w:hAnsi="Garamond"/>
          <w:b/>
          <w:bCs/>
          <w:i/>
          <w:iCs/>
          <w:color w:val="FFFFFF" w:themeColor="background1"/>
          <w:sz w:val="22"/>
          <w:szCs w:val="22"/>
          <w:lang w:val="zh-CN"/>
        </w:rPr>
        <w:t>Muslimah</w:t>
      </w:r>
      <w:r w:rsidR="0067350B">
        <w:rPr>
          <w:rFonts w:ascii="Garamond" w:hAnsi="Garamond"/>
          <w:b/>
          <w:bCs/>
          <w:i/>
          <w:iCs/>
          <w:color w:val="FFFFFF" w:themeColor="background1"/>
          <w:sz w:val="22"/>
          <w:szCs w:val="22"/>
        </w:rPr>
        <w:t xml:space="preserve">, </w:t>
      </w:r>
      <w:r w:rsidR="0067350B" w:rsidRPr="0067350B">
        <w:rPr>
          <w:rFonts w:ascii="Garamond" w:hAnsi="Garamond"/>
          <w:b/>
          <w:bCs/>
          <w:i/>
          <w:iCs/>
          <w:color w:val="FFFFFF" w:themeColor="background1"/>
          <w:sz w:val="22"/>
          <w:szCs w:val="22"/>
          <w:vertAlign w:val="superscript"/>
        </w:rPr>
        <w:t>1</w:t>
      </w:r>
      <w:r w:rsidR="0067350B" w:rsidRPr="0067350B">
        <w:rPr>
          <w:rFonts w:ascii="Garamond" w:hAnsi="Garamond"/>
          <w:b/>
          <w:bCs/>
          <w:i/>
          <w:iCs/>
          <w:color w:val="FFFFFF" w:themeColor="background1"/>
          <w:sz w:val="22"/>
          <w:szCs w:val="22"/>
          <w:lang w:val="zh-CN"/>
        </w:rPr>
        <w:t>Nina Anggraeni Noviasari</w:t>
      </w:r>
      <w:r w:rsidR="002265FA">
        <w:rPr>
          <w:rFonts w:ascii="Garamond" w:hAnsi="Garamond"/>
          <w:b/>
          <w:bCs/>
          <w:i/>
          <w:iCs/>
          <w:color w:val="FFFFFF" w:themeColor="background1"/>
          <w:sz w:val="22"/>
          <w:szCs w:val="22"/>
        </w:rPr>
        <w:t xml:space="preserve">, </w:t>
      </w:r>
      <w:r w:rsidR="002265FA" w:rsidRPr="002265FA">
        <w:rPr>
          <w:rFonts w:ascii="Garamond" w:hAnsi="Garamond"/>
          <w:b/>
          <w:bCs/>
          <w:i/>
          <w:iCs/>
          <w:color w:val="FFFFFF" w:themeColor="background1"/>
          <w:sz w:val="22"/>
          <w:szCs w:val="22"/>
          <w:vertAlign w:val="superscript"/>
        </w:rPr>
        <w:t>2</w:t>
      </w:r>
      <w:r w:rsidR="0067350B" w:rsidRPr="0067350B">
        <w:rPr>
          <w:rFonts w:ascii="Garamond" w:hAnsi="Garamond"/>
          <w:b/>
          <w:bCs/>
          <w:i/>
          <w:iCs/>
          <w:color w:val="FFFFFF" w:themeColor="background1"/>
          <w:sz w:val="22"/>
          <w:szCs w:val="22"/>
        </w:rPr>
        <w:t>Satriya Pranata</w:t>
      </w:r>
      <w:r w:rsidR="005E5FC6">
        <w:rPr>
          <w:rFonts w:ascii="Garamond" w:hAnsi="Garamond"/>
          <w:b/>
          <w:bCs/>
          <w:i/>
          <w:iCs/>
          <w:color w:val="FFFFFF" w:themeColor="background1"/>
          <w:sz w:val="22"/>
          <w:szCs w:val="22"/>
        </w:rPr>
        <w:t>,</w:t>
      </w:r>
      <w:r w:rsidR="0067350B" w:rsidRPr="0067350B">
        <w:rPr>
          <w:rFonts w:ascii="Garamond" w:hAnsi="Garamond"/>
          <w:b/>
          <w:bCs/>
          <w:i/>
          <w:iCs/>
          <w:color w:val="FFFFFF" w:themeColor="background1"/>
          <w:sz w:val="22"/>
          <w:szCs w:val="22"/>
        </w:rPr>
        <w:t xml:space="preserve"> </w:t>
      </w:r>
      <w:r w:rsidR="005E5FC6" w:rsidRPr="005E5FC6">
        <w:rPr>
          <w:rFonts w:ascii="Garamond" w:hAnsi="Garamond"/>
          <w:b/>
          <w:bCs/>
          <w:i/>
          <w:iCs/>
          <w:color w:val="FFFFFF" w:themeColor="background1"/>
          <w:sz w:val="22"/>
          <w:szCs w:val="22"/>
          <w:vertAlign w:val="superscript"/>
        </w:rPr>
        <w:t>3</w:t>
      </w:r>
      <w:r w:rsidR="005E5FC6" w:rsidRPr="005E5FC6">
        <w:rPr>
          <w:rFonts w:ascii="Garamond" w:hAnsi="Garamond"/>
          <w:b/>
          <w:bCs/>
          <w:i/>
          <w:iCs/>
          <w:color w:val="FFFFFF" w:themeColor="background1"/>
          <w:sz w:val="22"/>
          <w:szCs w:val="22"/>
        </w:rPr>
        <w:t>Sri Wahyuni</w:t>
      </w:r>
      <w:r w:rsidR="005E5FC6">
        <w:rPr>
          <w:rFonts w:ascii="Garamond" w:hAnsi="Garamond"/>
          <w:b/>
          <w:bCs/>
          <w:i/>
          <w:iCs/>
          <w:color w:val="FFFFFF" w:themeColor="background1"/>
          <w:sz w:val="22"/>
          <w:szCs w:val="22"/>
        </w:rPr>
        <w:t xml:space="preserve">, </w:t>
      </w:r>
      <w:r w:rsidR="005E5FC6" w:rsidRPr="005E5FC6">
        <w:rPr>
          <w:rFonts w:ascii="Garamond" w:hAnsi="Garamond"/>
          <w:b/>
          <w:bCs/>
          <w:i/>
          <w:iCs/>
          <w:color w:val="FFFFFF" w:themeColor="background1"/>
          <w:sz w:val="22"/>
          <w:szCs w:val="22"/>
          <w:vertAlign w:val="superscript"/>
        </w:rPr>
        <w:t>1</w:t>
      </w:r>
      <w:r w:rsidR="005E5FC6" w:rsidRPr="005E5FC6">
        <w:rPr>
          <w:rFonts w:ascii="Garamond" w:hAnsi="Garamond"/>
          <w:b/>
          <w:bCs/>
          <w:i/>
          <w:iCs/>
          <w:color w:val="FFFFFF" w:themeColor="background1"/>
          <w:sz w:val="22"/>
          <w:szCs w:val="22"/>
        </w:rPr>
        <w:t>Swas</w:t>
      </w:r>
      <w:r w:rsidR="005E5FC6">
        <w:rPr>
          <w:rFonts w:ascii="Garamond" w:hAnsi="Garamond"/>
          <w:b/>
          <w:bCs/>
          <w:i/>
          <w:iCs/>
          <w:color w:val="FFFFFF" w:themeColor="background1"/>
          <w:sz w:val="22"/>
          <w:szCs w:val="22"/>
        </w:rPr>
        <w:t xml:space="preserve">ty </w:t>
      </w:r>
      <w:proofErr w:type="spellStart"/>
      <w:r w:rsidR="005E5FC6" w:rsidRPr="005E5FC6">
        <w:rPr>
          <w:rFonts w:ascii="Garamond" w:hAnsi="Garamond"/>
          <w:b/>
          <w:bCs/>
          <w:i/>
          <w:iCs/>
          <w:color w:val="FFFFFF" w:themeColor="background1"/>
          <w:sz w:val="22"/>
          <w:szCs w:val="22"/>
        </w:rPr>
        <w:t>Swasty</w:t>
      </w:r>
      <w:proofErr w:type="spellEnd"/>
      <w:r w:rsidR="005E5FC6">
        <w:rPr>
          <w:rFonts w:ascii="Garamond" w:hAnsi="Garamond"/>
          <w:b/>
          <w:bCs/>
          <w:i/>
          <w:iCs/>
          <w:color w:val="FFFFFF" w:themeColor="background1"/>
          <w:sz w:val="22"/>
          <w:szCs w:val="22"/>
        </w:rPr>
        <w:t xml:space="preserve">, </w:t>
      </w:r>
      <w:r w:rsidR="005E5FC6" w:rsidRPr="005E5FC6">
        <w:rPr>
          <w:rFonts w:ascii="Garamond" w:hAnsi="Garamond"/>
          <w:b/>
          <w:bCs/>
          <w:i/>
          <w:iCs/>
          <w:color w:val="FFFFFF" w:themeColor="background1"/>
          <w:sz w:val="22"/>
          <w:szCs w:val="22"/>
          <w:vertAlign w:val="superscript"/>
        </w:rPr>
        <w:t>2</w:t>
      </w:r>
      <w:r w:rsidR="005E5FC6" w:rsidRPr="005E5FC6">
        <w:rPr>
          <w:rFonts w:ascii="Garamond" w:hAnsi="Garamond"/>
          <w:b/>
          <w:bCs/>
          <w:i/>
          <w:iCs/>
          <w:color w:val="FFFFFF" w:themeColor="background1"/>
          <w:sz w:val="22"/>
          <w:szCs w:val="22"/>
          <w:lang w:val="zh-CN"/>
        </w:rPr>
        <w:t>Machmudah</w:t>
      </w:r>
      <w:r w:rsidR="005E5FC6">
        <w:rPr>
          <w:rFonts w:ascii="Garamond" w:hAnsi="Garamond"/>
          <w:b/>
          <w:bCs/>
          <w:i/>
          <w:iCs/>
          <w:color w:val="FFFFFF" w:themeColor="background1"/>
          <w:sz w:val="22"/>
          <w:szCs w:val="22"/>
        </w:rPr>
        <w:t xml:space="preserve"> </w:t>
      </w:r>
      <w:r w:rsidR="005E5FC6" w:rsidRPr="005E5FC6">
        <w:rPr>
          <w:rFonts w:ascii="Garamond" w:hAnsi="Garamond"/>
          <w:b/>
          <w:bCs/>
          <w:i/>
          <w:iCs/>
          <w:color w:val="FFFFFF" w:themeColor="background1"/>
          <w:sz w:val="22"/>
          <w:szCs w:val="22"/>
          <w:lang w:val="zh-CN"/>
        </w:rPr>
        <w:t>Machmudah</w:t>
      </w:r>
      <w:bookmarkStart w:id="6" w:name="_Hlk209348096"/>
      <w:bookmarkEnd w:id="3"/>
      <w:bookmarkEnd w:id="4"/>
      <w:r w:rsidR="00F03324">
        <w:rPr>
          <w:rFonts w:ascii="Garamond" w:hAnsi="Garamond"/>
          <w:b/>
          <w:bCs/>
          <w:i/>
          <w:iCs/>
          <w:color w:val="FFFFFF" w:themeColor="background1"/>
          <w:sz w:val="22"/>
          <w:szCs w:val="22"/>
        </w:rPr>
        <w:t xml:space="preserve"> </w:t>
      </w:r>
    </w:p>
    <w:bookmarkEnd w:id="5"/>
    <w:p w14:paraId="18A2F1DB" w14:textId="59DE3A73" w:rsidR="005E5FC6" w:rsidRPr="005E5FC6" w:rsidRDefault="005E5FC6" w:rsidP="005E5FC6">
      <w:pPr>
        <w:pBdr>
          <w:bottom w:val="single" w:sz="6" w:space="1" w:color="auto"/>
        </w:pBdr>
        <w:jc w:val="both"/>
        <w:rPr>
          <w:rFonts w:ascii="Garamond" w:hAnsi="Garamond"/>
          <w:bCs/>
          <w:i/>
          <w:iCs/>
          <w:sz w:val="20"/>
          <w:szCs w:val="20"/>
          <w:lang w:val="zh-CN"/>
        </w:rPr>
      </w:pPr>
      <w:r w:rsidRPr="005E5FC6">
        <w:rPr>
          <w:rFonts w:ascii="Garamond" w:hAnsi="Garamond"/>
          <w:bCs/>
          <w:i/>
          <w:iCs/>
          <w:sz w:val="20"/>
          <w:szCs w:val="20"/>
          <w:vertAlign w:val="superscript"/>
          <w:lang w:val="zh-CN"/>
        </w:rPr>
        <w:t>1</w:t>
      </w:r>
      <w:r w:rsidRPr="005E5FC6">
        <w:rPr>
          <w:rFonts w:ascii="Garamond" w:hAnsi="Garamond"/>
          <w:bCs/>
          <w:i/>
          <w:iCs/>
          <w:sz w:val="20"/>
          <w:szCs w:val="20"/>
          <w:lang w:val="zh-CN"/>
        </w:rPr>
        <w:t xml:space="preserve">Faculty of Medicine, </w:t>
      </w:r>
      <w:r w:rsidRPr="005E5FC6">
        <w:rPr>
          <w:rFonts w:ascii="Garamond" w:hAnsi="Garamond"/>
          <w:bCs/>
          <w:i/>
          <w:iCs/>
          <w:sz w:val="20"/>
          <w:szCs w:val="20"/>
        </w:rPr>
        <w:t>Universitas Muhammadiyah Semarang</w:t>
      </w:r>
      <w:r w:rsidRPr="005E5FC6">
        <w:rPr>
          <w:rFonts w:ascii="Garamond" w:hAnsi="Garamond"/>
          <w:bCs/>
          <w:i/>
          <w:iCs/>
          <w:sz w:val="20"/>
          <w:szCs w:val="20"/>
          <w:lang w:val="zh-CN"/>
        </w:rPr>
        <w:t>, Semarang, Central Java, Indonesia</w:t>
      </w:r>
    </w:p>
    <w:p w14:paraId="3E250C7D" w14:textId="77777777" w:rsidR="005E5FC6" w:rsidRPr="005E5FC6" w:rsidRDefault="005E5FC6" w:rsidP="005E5FC6">
      <w:pPr>
        <w:pBdr>
          <w:bottom w:val="single" w:sz="6" w:space="1" w:color="auto"/>
        </w:pBdr>
        <w:jc w:val="both"/>
        <w:rPr>
          <w:rFonts w:ascii="Garamond" w:hAnsi="Garamond"/>
          <w:bCs/>
          <w:i/>
          <w:iCs/>
          <w:sz w:val="20"/>
          <w:szCs w:val="20"/>
        </w:rPr>
      </w:pPr>
      <w:r w:rsidRPr="005E5FC6">
        <w:rPr>
          <w:rFonts w:ascii="Garamond" w:hAnsi="Garamond"/>
          <w:bCs/>
          <w:i/>
          <w:iCs/>
          <w:sz w:val="20"/>
          <w:szCs w:val="20"/>
          <w:vertAlign w:val="superscript"/>
        </w:rPr>
        <w:t>2</w:t>
      </w:r>
      <w:r w:rsidRPr="005E5FC6">
        <w:rPr>
          <w:rFonts w:ascii="Garamond" w:hAnsi="Garamond"/>
          <w:bCs/>
          <w:i/>
          <w:iCs/>
          <w:sz w:val="20"/>
          <w:szCs w:val="20"/>
          <w:lang w:val="zh-CN"/>
        </w:rPr>
        <w:t xml:space="preserve">Faculty of Nursing, </w:t>
      </w:r>
      <w:r w:rsidRPr="005E5FC6">
        <w:rPr>
          <w:rFonts w:ascii="Garamond" w:hAnsi="Garamond"/>
          <w:bCs/>
          <w:i/>
          <w:iCs/>
          <w:sz w:val="20"/>
          <w:szCs w:val="20"/>
        </w:rPr>
        <w:t>Universitas Muhammadiyah Semarang</w:t>
      </w:r>
      <w:r w:rsidRPr="005E5FC6">
        <w:rPr>
          <w:rFonts w:ascii="Garamond" w:hAnsi="Garamond"/>
          <w:bCs/>
          <w:i/>
          <w:iCs/>
          <w:sz w:val="20"/>
          <w:szCs w:val="20"/>
          <w:lang w:val="zh-CN"/>
        </w:rPr>
        <w:t>, Semarang, Central Java, Indonesia</w:t>
      </w:r>
    </w:p>
    <w:p w14:paraId="0ACEA60E" w14:textId="35EA0900" w:rsidR="00F20CA0" w:rsidRDefault="005E5FC6" w:rsidP="005E5FC6">
      <w:pPr>
        <w:pBdr>
          <w:bottom w:val="single" w:sz="6" w:space="1" w:color="auto"/>
        </w:pBdr>
        <w:jc w:val="both"/>
        <w:rPr>
          <w:rFonts w:ascii="Garamond" w:hAnsi="Garamond"/>
          <w:bCs/>
          <w:i/>
          <w:iCs/>
          <w:sz w:val="20"/>
          <w:szCs w:val="20"/>
        </w:rPr>
      </w:pPr>
      <w:r w:rsidRPr="005E5FC6">
        <w:rPr>
          <w:rFonts w:ascii="Garamond" w:hAnsi="Garamond"/>
          <w:bCs/>
          <w:i/>
          <w:iCs/>
          <w:sz w:val="20"/>
          <w:szCs w:val="20"/>
          <w:vertAlign w:val="superscript"/>
        </w:rPr>
        <w:t>3</w:t>
      </w:r>
      <w:r w:rsidRPr="005E5FC6">
        <w:rPr>
          <w:rFonts w:ascii="Garamond" w:hAnsi="Garamond"/>
          <w:bCs/>
          <w:i/>
          <w:iCs/>
          <w:sz w:val="20"/>
          <w:szCs w:val="20"/>
        </w:rPr>
        <w:t xml:space="preserve">Faculty of Health Sciences, Universitas YPIB </w:t>
      </w:r>
      <w:proofErr w:type="spellStart"/>
      <w:r w:rsidRPr="005E5FC6">
        <w:rPr>
          <w:rFonts w:ascii="Garamond" w:hAnsi="Garamond"/>
          <w:bCs/>
          <w:i/>
          <w:iCs/>
          <w:sz w:val="20"/>
          <w:szCs w:val="20"/>
        </w:rPr>
        <w:t>Majalengka</w:t>
      </w:r>
      <w:proofErr w:type="spellEnd"/>
      <w:r w:rsidRPr="005E5FC6">
        <w:rPr>
          <w:rFonts w:ascii="Garamond" w:hAnsi="Garamond"/>
          <w:bCs/>
          <w:i/>
          <w:iCs/>
          <w:sz w:val="20"/>
          <w:szCs w:val="20"/>
        </w:rPr>
        <w:t xml:space="preserve">, </w:t>
      </w:r>
      <w:proofErr w:type="spellStart"/>
      <w:r w:rsidRPr="005E5FC6">
        <w:rPr>
          <w:rFonts w:ascii="Garamond" w:hAnsi="Garamond"/>
          <w:bCs/>
          <w:i/>
          <w:iCs/>
          <w:sz w:val="20"/>
          <w:szCs w:val="20"/>
        </w:rPr>
        <w:t>Majalengka</w:t>
      </w:r>
      <w:proofErr w:type="spellEnd"/>
      <w:r w:rsidRPr="005E5FC6">
        <w:rPr>
          <w:rFonts w:ascii="Garamond" w:hAnsi="Garamond"/>
          <w:bCs/>
          <w:i/>
          <w:iCs/>
          <w:sz w:val="20"/>
          <w:szCs w:val="20"/>
        </w:rPr>
        <w:t>, West Java,</w:t>
      </w:r>
      <w:r w:rsidR="008543A4">
        <w:rPr>
          <w:rFonts w:ascii="Garamond" w:hAnsi="Garamond"/>
          <w:bCs/>
          <w:i/>
          <w:iCs/>
          <w:sz w:val="20"/>
          <w:szCs w:val="20"/>
        </w:rPr>
        <w:t xml:space="preserve"> Indonesia</w:t>
      </w:r>
      <w:r w:rsidR="00F03324">
        <w:rPr>
          <w:rFonts w:ascii="Garamond" w:hAnsi="Garamond"/>
          <w:bCs/>
          <w:i/>
          <w:iCs/>
          <w:sz w:val="20"/>
          <w:szCs w:val="20"/>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6"/>
    <w:p w14:paraId="28C4A96E" w14:textId="57149D7B" w:rsidR="008543A4"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8543A4" w:rsidRPr="008543A4">
        <w:rPr>
          <w:rFonts w:ascii="Garamond" w:hAnsi="Garamond" w:cs="Segoe UI"/>
          <w:b/>
          <w:bCs/>
          <w:sz w:val="20"/>
          <w:szCs w:val="20"/>
          <w:shd w:val="clear" w:color="auto" w:fill="FFFFFF"/>
          <w:lang w:val="id-ID"/>
        </w:rPr>
        <w:t>Muslimah</w:t>
      </w:r>
      <w:r w:rsidR="008543A4" w:rsidRPr="008543A4">
        <w:rPr>
          <w:rFonts w:ascii="Italics" w:eastAsia="Calibri" w:hAnsi="Italics" w:cs="Times New Roman"/>
          <w:lang w:val="id-ID"/>
        </w:rPr>
        <w:t xml:space="preserve"> </w:t>
      </w:r>
      <w:r w:rsidR="008543A4" w:rsidRPr="008543A4">
        <w:rPr>
          <w:rFonts w:ascii="Garamond" w:hAnsi="Garamond" w:cs="Segoe UI"/>
          <w:b/>
          <w:bCs/>
          <w:sz w:val="20"/>
          <w:szCs w:val="20"/>
          <w:shd w:val="clear" w:color="auto" w:fill="FFFFFF"/>
          <w:lang w:val="id-ID"/>
        </w:rPr>
        <w:t>Muslimah</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8543A4" w:rsidRPr="008543A4">
        <w:rPr>
          <w:rFonts w:ascii="Garamond" w:hAnsi="Garamond"/>
          <w:bCs/>
          <w:sz w:val="20"/>
          <w:szCs w:val="20"/>
          <w:lang w:val="zh-CN"/>
        </w:rPr>
        <w:t xml:space="preserve">Faculty of Medicine, </w:t>
      </w:r>
      <w:r w:rsidR="008543A4" w:rsidRPr="008543A4">
        <w:rPr>
          <w:rFonts w:ascii="Garamond" w:hAnsi="Garamond"/>
          <w:bCs/>
          <w:sz w:val="20"/>
          <w:szCs w:val="20"/>
        </w:rPr>
        <w:t>Universitas Muhammadiyah Semarang</w:t>
      </w:r>
      <w:r w:rsidR="008543A4" w:rsidRPr="008543A4">
        <w:rPr>
          <w:rFonts w:ascii="Garamond" w:hAnsi="Garamond"/>
          <w:bCs/>
          <w:sz w:val="20"/>
          <w:szCs w:val="20"/>
          <w:lang w:val="zh-CN"/>
        </w:rPr>
        <w:t>, Semarang, Central Java, Indonesia</w:t>
      </w:r>
      <w:r w:rsidR="008543A4">
        <w:rPr>
          <w:rFonts w:ascii="Garamond" w:hAnsi="Garamond"/>
          <w:bCs/>
          <w:sz w:val="20"/>
          <w:szCs w:val="20"/>
        </w:rPr>
        <w:t xml:space="preserve">. </w:t>
      </w:r>
      <w:hyperlink r:id="rId8" w:history="1">
        <w:r w:rsidR="008543A4" w:rsidRPr="008543A4">
          <w:rPr>
            <w:rStyle w:val="Hyperlink"/>
            <w:rFonts w:ascii="Garamond" w:hAnsi="Garamond"/>
            <w:bCs/>
            <w:sz w:val="20"/>
            <w:szCs w:val="20"/>
            <w:lang w:val="id-ID"/>
          </w:rPr>
          <w:t>muslimah@unimus.ac.id</w:t>
        </w:r>
      </w:hyperlink>
      <w:r w:rsidR="008543A4">
        <w:rPr>
          <w:rFonts w:ascii="Garamond" w:hAnsi="Garamond"/>
          <w:bCs/>
          <w:sz w:val="20"/>
          <w:szCs w:val="20"/>
        </w:rPr>
        <w:t>:</w:t>
      </w:r>
      <w:r w:rsidR="008543A4" w:rsidRPr="008543A4">
        <w:rPr>
          <w:rFonts w:ascii="Garamond" w:hAnsi="Garamond"/>
          <w:bCs/>
          <w:sz w:val="20"/>
          <w:szCs w:val="20"/>
          <w:lang w:val="id-ID"/>
        </w:rPr>
        <w:t>+6285641170070</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53DED802"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1C5BC0">
        <w:rPr>
          <w:rFonts w:ascii="Garamond" w:hAnsi="Garamond"/>
          <w:sz w:val="16"/>
          <w:szCs w:val="16"/>
        </w:rPr>
        <w:t>15</w:t>
      </w:r>
      <w:r w:rsidR="00943E61" w:rsidRPr="00F30FAF">
        <w:rPr>
          <w:rFonts w:ascii="Garamond" w:hAnsi="Garamond"/>
          <w:sz w:val="16"/>
          <w:szCs w:val="16"/>
        </w:rPr>
        <w:t xml:space="preserve"> </w:t>
      </w:r>
      <w:r w:rsidR="001C5BC0">
        <w:rPr>
          <w:rFonts w:ascii="Garamond" w:hAnsi="Garamond"/>
          <w:sz w:val="16"/>
          <w:szCs w:val="16"/>
        </w:rPr>
        <w:t>September</w:t>
      </w:r>
      <w:r w:rsidR="00943E61" w:rsidRPr="00F30FAF">
        <w:rPr>
          <w:rFonts w:ascii="Garamond" w:hAnsi="Garamond"/>
          <w:sz w:val="16"/>
          <w:szCs w:val="16"/>
        </w:rPr>
        <w:t xml:space="preserve"> 202</w:t>
      </w:r>
      <w:r w:rsidR="001C5BC0">
        <w:rPr>
          <w:rFonts w:ascii="Garamond" w:hAnsi="Garamond"/>
          <w:sz w:val="16"/>
          <w:szCs w:val="16"/>
        </w:rPr>
        <w:t>4</w:t>
      </w:r>
      <w:r w:rsidR="00943E61" w:rsidRPr="00F30FAF">
        <w:rPr>
          <w:rFonts w:ascii="Garamond" w:hAnsi="Garamond"/>
          <w:sz w:val="16"/>
          <w:szCs w:val="16"/>
        </w:rPr>
        <w:t xml:space="preserve">, Reviewed </w:t>
      </w:r>
      <w:r w:rsidR="00D72BFC">
        <w:rPr>
          <w:rFonts w:ascii="Garamond" w:hAnsi="Garamond"/>
          <w:sz w:val="16"/>
          <w:szCs w:val="16"/>
        </w:rPr>
        <w:t>16</w:t>
      </w:r>
      <w:r w:rsidR="00943E61" w:rsidRPr="00F30FAF">
        <w:rPr>
          <w:rFonts w:ascii="Garamond" w:hAnsi="Garamond"/>
          <w:sz w:val="16"/>
          <w:szCs w:val="16"/>
        </w:rPr>
        <w:t xml:space="preserve"> </w:t>
      </w:r>
      <w:r w:rsidR="00D72BFC">
        <w:rPr>
          <w:rFonts w:ascii="Garamond" w:hAnsi="Garamond"/>
          <w:sz w:val="16"/>
          <w:szCs w:val="16"/>
        </w:rPr>
        <w:t>November</w:t>
      </w:r>
      <w:r w:rsidR="00943E61" w:rsidRPr="00F30FAF">
        <w:rPr>
          <w:rFonts w:ascii="Garamond" w:hAnsi="Garamond"/>
          <w:sz w:val="16"/>
          <w:szCs w:val="16"/>
        </w:rPr>
        <w:t xml:space="preserve"> 202</w:t>
      </w:r>
      <w:r w:rsidR="008543A4">
        <w:rPr>
          <w:rFonts w:ascii="Garamond" w:hAnsi="Garamond"/>
          <w:sz w:val="16"/>
          <w:szCs w:val="16"/>
        </w:rPr>
        <w:t>4</w:t>
      </w:r>
      <w:r w:rsidRPr="00F30FAF">
        <w:rPr>
          <w:rFonts w:ascii="Garamond" w:hAnsi="Garamond"/>
          <w:sz w:val="16"/>
          <w:szCs w:val="16"/>
        </w:rPr>
        <w:t>, Accepted for pub</w:t>
      </w:r>
      <w:r w:rsidR="00943E61" w:rsidRPr="00F30FAF">
        <w:rPr>
          <w:rFonts w:ascii="Garamond" w:hAnsi="Garamond"/>
          <w:sz w:val="16"/>
          <w:szCs w:val="16"/>
        </w:rPr>
        <w:t xml:space="preserve">lication </w:t>
      </w:r>
      <w:r w:rsidR="007E2794">
        <w:rPr>
          <w:rFonts w:ascii="Garamond" w:hAnsi="Garamond"/>
          <w:sz w:val="16"/>
          <w:szCs w:val="16"/>
        </w:rPr>
        <w:t>08</w:t>
      </w:r>
      <w:r w:rsidR="0023667C" w:rsidRPr="00F30FAF">
        <w:rPr>
          <w:rFonts w:ascii="Garamond" w:hAnsi="Garamond"/>
          <w:sz w:val="16"/>
          <w:szCs w:val="16"/>
        </w:rPr>
        <w:t xml:space="preserve"> </w:t>
      </w:r>
      <w:r w:rsidR="007E2794">
        <w:rPr>
          <w:rFonts w:ascii="Garamond" w:hAnsi="Garamond"/>
          <w:sz w:val="16"/>
          <w:szCs w:val="16"/>
        </w:rPr>
        <w:t>December</w:t>
      </w:r>
      <w:r w:rsidRPr="00F30FAF">
        <w:rPr>
          <w:rFonts w:ascii="Garamond" w:hAnsi="Garamond"/>
          <w:sz w:val="16"/>
          <w:szCs w:val="16"/>
        </w:rPr>
        <w:t xml:space="preserve"> 202</w:t>
      </w:r>
      <w:r w:rsidR="00491DAB" w:rsidRPr="00F30FAF">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19F94161" w:rsidR="006732D7" w:rsidRPr="000931E7" w:rsidRDefault="00F03324" w:rsidP="006732D7">
      <w:pPr>
        <w:jc w:val="both"/>
        <w:rPr>
          <w:rFonts w:ascii="Garamond" w:hAnsi="Garamond"/>
          <w:sz w:val="22"/>
          <w:szCs w:val="22"/>
        </w:rPr>
      </w:pPr>
      <w:r w:rsidRPr="000931E7">
        <w:rPr>
          <w:rFonts w:ascii="Garamond" w:hAnsi="Garamond"/>
          <w:b/>
          <w:sz w:val="22"/>
          <w:szCs w:val="20"/>
        </w:rPr>
        <w:t>ABSTRACT</w:t>
      </w:r>
    </w:p>
    <w:p w14:paraId="473AAB7D" w14:textId="1F11C120" w:rsidR="000364C9" w:rsidRPr="000364C9" w:rsidRDefault="0017507F" w:rsidP="000364C9">
      <w:pPr>
        <w:jc w:val="both"/>
        <w:rPr>
          <w:rFonts w:ascii="Garamond" w:eastAsiaTheme="minorHAnsi" w:hAnsi="Garamond" w:cstheme="minorHAnsi"/>
          <w:bCs/>
          <w:sz w:val="20"/>
          <w:szCs w:val="20"/>
          <w:lang w:val="id-ID"/>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0364C9" w:rsidRPr="000364C9">
        <w:rPr>
          <w:rFonts w:ascii="Garamond" w:eastAsiaTheme="minorHAnsi" w:hAnsi="Garamond" w:cstheme="minorHAnsi"/>
          <w:bCs/>
          <w:sz w:val="20"/>
          <w:szCs w:val="20"/>
          <w:lang w:val="id-ID"/>
        </w:rPr>
        <w:t xml:space="preserve"> </w:t>
      </w:r>
      <w:r w:rsidR="000364C9" w:rsidRPr="000364C9">
        <w:rPr>
          <w:rFonts w:ascii="Garamond" w:eastAsiaTheme="minorHAnsi" w:hAnsi="Garamond" w:cstheme="minorHAnsi"/>
          <w:bCs/>
          <w:sz w:val="20"/>
          <w:szCs w:val="20"/>
          <w:lang w:val="zh-CN"/>
        </w:rPr>
        <w:t xml:space="preserve">Stroke is </w:t>
      </w:r>
      <w:r w:rsidR="000364C9" w:rsidRPr="000364C9">
        <w:rPr>
          <w:rFonts w:ascii="Garamond" w:eastAsiaTheme="minorHAnsi" w:hAnsi="Garamond" w:cstheme="minorHAnsi"/>
          <w:bCs/>
          <w:sz w:val="20"/>
          <w:szCs w:val="20"/>
        </w:rPr>
        <w:t>a</w:t>
      </w:r>
      <w:r w:rsidR="000364C9" w:rsidRPr="000364C9">
        <w:rPr>
          <w:rFonts w:ascii="Garamond" w:eastAsiaTheme="minorHAnsi" w:hAnsi="Garamond" w:cstheme="minorHAnsi"/>
          <w:bCs/>
          <w:sz w:val="20"/>
          <w:szCs w:val="20"/>
          <w:lang w:val="zh-CN"/>
        </w:rPr>
        <w:t xml:space="preserve"> main cause of mortality and disability, resulting in severe, moderate, and mild impairments that need expensive medical care. This research aims to identify the variables affecting the actual expenses of treating stroke patients in Indonesian hospitals in the Yogyakarta region.</w:t>
      </w:r>
      <w:r w:rsidR="000364C9" w:rsidRPr="000364C9">
        <w:rPr>
          <w:rFonts w:ascii="Garamond" w:eastAsiaTheme="minorHAnsi" w:hAnsi="Garamond" w:cstheme="minorHAnsi"/>
          <w:bCs/>
          <w:sz w:val="20"/>
          <w:szCs w:val="20"/>
          <w:lang w:val="id-ID"/>
        </w:rPr>
        <w:t xml:space="preserve"> </w:t>
      </w:r>
    </w:p>
    <w:p w14:paraId="30D1C46F" w14:textId="77777777" w:rsidR="000364C9" w:rsidRPr="000364C9" w:rsidRDefault="000364C9" w:rsidP="000364C9">
      <w:pPr>
        <w:jc w:val="both"/>
        <w:rPr>
          <w:rFonts w:ascii="Garamond" w:eastAsiaTheme="minorHAnsi" w:hAnsi="Garamond" w:cstheme="minorHAnsi"/>
          <w:bCs/>
          <w:sz w:val="20"/>
          <w:szCs w:val="20"/>
          <w:lang w:val="id-ID"/>
        </w:rPr>
      </w:pPr>
      <w:r w:rsidRPr="000364C9">
        <w:rPr>
          <w:rFonts w:ascii="Garamond" w:eastAsiaTheme="minorHAnsi" w:hAnsi="Garamond" w:cstheme="minorHAnsi"/>
          <w:b/>
          <w:bCs/>
          <w:sz w:val="20"/>
          <w:szCs w:val="20"/>
          <w:lang w:val="id-ID"/>
        </w:rPr>
        <w:t>Method:</w:t>
      </w:r>
      <w:r w:rsidRPr="000364C9">
        <w:rPr>
          <w:rFonts w:ascii="Garamond" w:eastAsiaTheme="minorHAnsi" w:hAnsi="Garamond" w:cstheme="minorHAnsi"/>
          <w:bCs/>
          <w:sz w:val="20"/>
          <w:szCs w:val="20"/>
          <w:lang w:val="id-ID"/>
        </w:rPr>
        <w:t xml:space="preserve"> </w:t>
      </w:r>
      <w:r w:rsidRPr="000364C9">
        <w:rPr>
          <w:rFonts w:ascii="Garamond" w:eastAsiaTheme="minorHAnsi" w:hAnsi="Garamond" w:cstheme="minorHAnsi"/>
          <w:bCs/>
          <w:sz w:val="20"/>
          <w:szCs w:val="20"/>
          <w:lang w:val="zh-CN"/>
        </w:rPr>
        <w:t xml:space="preserve">This study was carried out using a cross-sectional design and an analytical observational technique based on variable instruments used to measure </w:t>
      </w:r>
      <w:r w:rsidRPr="000364C9">
        <w:rPr>
          <w:rFonts w:ascii="Garamond" w:eastAsiaTheme="minorHAnsi" w:hAnsi="Garamond" w:cstheme="minorHAnsi"/>
          <w:bCs/>
          <w:sz w:val="20"/>
          <w:szCs w:val="20"/>
        </w:rPr>
        <w:t xml:space="preserve">the </w:t>
      </w:r>
      <w:r w:rsidRPr="000364C9">
        <w:rPr>
          <w:rFonts w:ascii="Garamond" w:eastAsiaTheme="minorHAnsi" w:hAnsi="Garamond" w:cstheme="minorHAnsi"/>
          <w:bCs/>
          <w:sz w:val="20"/>
          <w:szCs w:val="20"/>
          <w:lang w:val="zh-CN"/>
        </w:rPr>
        <w:t>real costs</w:t>
      </w:r>
      <w:r w:rsidRPr="000364C9">
        <w:rPr>
          <w:rFonts w:ascii="Garamond" w:eastAsiaTheme="minorHAnsi" w:hAnsi="Garamond" w:cstheme="minorHAnsi"/>
          <w:bCs/>
          <w:sz w:val="20"/>
          <w:szCs w:val="20"/>
        </w:rPr>
        <w:t xml:space="preserve"> for stroke patients</w:t>
      </w:r>
      <w:r w:rsidRPr="000364C9">
        <w:rPr>
          <w:rFonts w:ascii="Garamond" w:eastAsiaTheme="minorHAnsi" w:hAnsi="Garamond" w:cstheme="minorHAnsi"/>
          <w:bCs/>
          <w:sz w:val="20"/>
          <w:szCs w:val="20"/>
          <w:lang w:val="zh-CN"/>
        </w:rPr>
        <w:t>. The total population amounted to 416 respondents using the</w:t>
      </w:r>
      <w:r w:rsidRPr="000364C9">
        <w:rPr>
          <w:rFonts w:ascii="Garamond" w:eastAsiaTheme="minorHAnsi" w:hAnsi="Garamond" w:cstheme="minorHAnsi"/>
          <w:bCs/>
          <w:sz w:val="20"/>
          <w:szCs w:val="20"/>
        </w:rPr>
        <w:t xml:space="preserve"> total</w:t>
      </w:r>
      <w:r w:rsidRPr="000364C9">
        <w:rPr>
          <w:rFonts w:ascii="Garamond" w:eastAsiaTheme="minorHAnsi" w:hAnsi="Garamond" w:cstheme="minorHAnsi"/>
          <w:bCs/>
          <w:sz w:val="20"/>
          <w:szCs w:val="20"/>
          <w:lang w:val="zh-CN"/>
        </w:rPr>
        <w:t xml:space="preserve"> sampling method.  Inclusion criteria include </w:t>
      </w:r>
      <w:r w:rsidRPr="000364C9">
        <w:rPr>
          <w:rFonts w:ascii="Garamond" w:eastAsiaTheme="minorHAnsi" w:hAnsi="Garamond" w:cstheme="minorHAnsi"/>
          <w:bCs/>
          <w:sz w:val="20"/>
          <w:szCs w:val="20"/>
        </w:rPr>
        <w:t>national health insurance</w:t>
      </w:r>
      <w:r w:rsidRPr="000364C9">
        <w:rPr>
          <w:rFonts w:ascii="Garamond" w:eastAsiaTheme="minorHAnsi" w:hAnsi="Garamond" w:cstheme="minorHAnsi"/>
          <w:bCs/>
          <w:sz w:val="20"/>
          <w:szCs w:val="20"/>
          <w:lang w:val="zh-CN"/>
        </w:rPr>
        <w:t xml:space="preserve"> patients, first-attack ischemic stroke, onset less than 24 hours and non-referral. Retrospective data collection of inpatients was observed from October 1, 2021, to March 31, 2022, for six months. Research data secondary data sourced from medical records, </w:t>
      </w:r>
      <w:r w:rsidRPr="000364C9">
        <w:rPr>
          <w:rFonts w:ascii="Garamond" w:eastAsiaTheme="minorHAnsi" w:hAnsi="Garamond" w:cstheme="minorHAnsi"/>
          <w:bCs/>
          <w:sz w:val="20"/>
          <w:szCs w:val="20"/>
          <w:lang w:val="id-ID"/>
        </w:rPr>
        <w:t>International Financial Reporting Standard (IFRS)</w:t>
      </w:r>
      <w:r w:rsidRPr="000364C9">
        <w:rPr>
          <w:rFonts w:ascii="Garamond" w:eastAsiaTheme="minorHAnsi" w:hAnsi="Garamond" w:cstheme="minorHAnsi"/>
          <w:bCs/>
          <w:sz w:val="20"/>
          <w:szCs w:val="20"/>
          <w:lang w:val="zh-CN"/>
        </w:rPr>
        <w:t xml:space="preserve">, and hospital Technology Units. Analysis of statistical data using the </w:t>
      </w:r>
      <w:r w:rsidRPr="000364C9">
        <w:rPr>
          <w:rFonts w:ascii="Garamond" w:eastAsiaTheme="minorHAnsi" w:hAnsi="Garamond" w:cstheme="minorHAnsi"/>
          <w:bCs/>
          <w:sz w:val="20"/>
          <w:szCs w:val="20"/>
        </w:rPr>
        <w:t>Chi-square test</w:t>
      </w:r>
      <w:r w:rsidRPr="000364C9">
        <w:rPr>
          <w:rFonts w:ascii="Garamond" w:eastAsiaTheme="minorHAnsi" w:hAnsi="Garamond" w:cstheme="minorHAnsi"/>
          <w:bCs/>
          <w:sz w:val="20"/>
          <w:szCs w:val="20"/>
          <w:lang w:val="zh-CN"/>
        </w:rPr>
        <w:t>.</w:t>
      </w:r>
      <w:r w:rsidRPr="000364C9">
        <w:rPr>
          <w:rFonts w:ascii="Garamond" w:eastAsiaTheme="minorHAnsi" w:hAnsi="Garamond" w:cstheme="minorHAnsi"/>
          <w:bCs/>
          <w:sz w:val="20"/>
          <w:szCs w:val="20"/>
          <w:lang w:val="id-ID"/>
        </w:rPr>
        <w:t xml:space="preserve"> </w:t>
      </w:r>
    </w:p>
    <w:p w14:paraId="7A69B0FC" w14:textId="77777777" w:rsidR="000364C9" w:rsidRPr="000364C9" w:rsidRDefault="000364C9" w:rsidP="000364C9">
      <w:pPr>
        <w:jc w:val="both"/>
        <w:rPr>
          <w:rFonts w:ascii="Garamond" w:eastAsiaTheme="minorHAnsi" w:hAnsi="Garamond" w:cstheme="minorHAnsi"/>
          <w:bCs/>
          <w:sz w:val="20"/>
          <w:szCs w:val="20"/>
          <w:lang w:val="id-ID"/>
        </w:rPr>
      </w:pPr>
      <w:r w:rsidRPr="000364C9">
        <w:rPr>
          <w:rFonts w:ascii="Garamond" w:eastAsiaTheme="minorHAnsi" w:hAnsi="Garamond" w:cstheme="minorHAnsi"/>
          <w:b/>
          <w:bCs/>
          <w:sz w:val="20"/>
          <w:szCs w:val="20"/>
          <w:lang w:val="id-ID"/>
        </w:rPr>
        <w:t>Result:</w:t>
      </w:r>
      <w:r w:rsidRPr="000364C9">
        <w:rPr>
          <w:rFonts w:ascii="Garamond" w:eastAsiaTheme="minorHAnsi" w:hAnsi="Garamond" w:cstheme="minorHAnsi"/>
          <w:bCs/>
          <w:sz w:val="20"/>
          <w:szCs w:val="20"/>
          <w:lang w:val="id-ID"/>
        </w:rPr>
        <w:t xml:space="preserve"> </w:t>
      </w:r>
      <w:r w:rsidRPr="000364C9">
        <w:rPr>
          <w:rFonts w:ascii="Garamond" w:eastAsiaTheme="minorHAnsi" w:hAnsi="Garamond" w:cstheme="minorHAnsi"/>
          <w:bCs/>
          <w:sz w:val="20"/>
          <w:szCs w:val="20"/>
        </w:rPr>
        <w:t>A</w:t>
      </w:r>
      <w:r w:rsidRPr="000364C9">
        <w:rPr>
          <w:rFonts w:ascii="Garamond" w:eastAsiaTheme="minorHAnsi" w:hAnsi="Garamond" w:cstheme="minorHAnsi"/>
          <w:bCs/>
          <w:sz w:val="20"/>
          <w:szCs w:val="20"/>
          <w:lang w:val="zh-CN"/>
        </w:rPr>
        <w:t xml:space="preserve">ge, </w:t>
      </w:r>
      <w:r w:rsidRPr="000364C9">
        <w:rPr>
          <w:rFonts w:ascii="Garamond" w:eastAsiaTheme="minorHAnsi" w:hAnsi="Garamond" w:cstheme="minorHAnsi"/>
          <w:bCs/>
          <w:sz w:val="20"/>
          <w:szCs w:val="20"/>
        </w:rPr>
        <w:t>gender</w:t>
      </w:r>
      <w:r w:rsidRPr="000364C9">
        <w:rPr>
          <w:rFonts w:ascii="Garamond" w:eastAsiaTheme="minorHAnsi" w:hAnsi="Garamond" w:cstheme="minorHAnsi"/>
          <w:bCs/>
          <w:sz w:val="20"/>
          <w:szCs w:val="20"/>
          <w:lang w:val="zh-CN"/>
        </w:rPr>
        <w:t>,</w:t>
      </w:r>
      <w:r w:rsidRPr="000364C9">
        <w:rPr>
          <w:rFonts w:ascii="Garamond" w:eastAsiaTheme="minorHAnsi" w:hAnsi="Garamond" w:cstheme="minorHAnsi"/>
          <w:bCs/>
          <w:sz w:val="20"/>
          <w:szCs w:val="20"/>
        </w:rPr>
        <w:t xml:space="preserve"> l</w:t>
      </w:r>
      <w:r w:rsidRPr="000364C9">
        <w:rPr>
          <w:rFonts w:ascii="Garamond" w:eastAsiaTheme="minorHAnsi" w:hAnsi="Garamond" w:cstheme="minorHAnsi"/>
          <w:bCs/>
          <w:sz w:val="20"/>
          <w:szCs w:val="20"/>
          <w:lang w:val="zh-CN"/>
        </w:rPr>
        <w:t xml:space="preserve">ength of </w:t>
      </w:r>
      <w:r w:rsidRPr="000364C9">
        <w:rPr>
          <w:rFonts w:ascii="Garamond" w:eastAsiaTheme="minorHAnsi" w:hAnsi="Garamond" w:cstheme="minorHAnsi"/>
          <w:bCs/>
          <w:sz w:val="20"/>
          <w:szCs w:val="20"/>
        </w:rPr>
        <w:t>stays</w:t>
      </w:r>
      <w:r w:rsidRPr="000364C9">
        <w:rPr>
          <w:rFonts w:ascii="Garamond" w:eastAsiaTheme="minorHAnsi" w:hAnsi="Garamond" w:cstheme="minorHAnsi"/>
          <w:bCs/>
          <w:sz w:val="20"/>
          <w:szCs w:val="20"/>
          <w:lang w:val="zh-CN"/>
        </w:rPr>
        <w:t xml:space="preserve">, </w:t>
      </w:r>
      <w:r w:rsidRPr="000364C9">
        <w:rPr>
          <w:rFonts w:ascii="Garamond" w:eastAsiaTheme="minorHAnsi" w:hAnsi="Garamond" w:cstheme="minorHAnsi"/>
          <w:bCs/>
          <w:sz w:val="20"/>
          <w:szCs w:val="20"/>
        </w:rPr>
        <w:t>inpatient</w:t>
      </w:r>
      <w:r w:rsidRPr="000364C9">
        <w:rPr>
          <w:rFonts w:ascii="Garamond" w:eastAsiaTheme="minorHAnsi" w:hAnsi="Garamond" w:cstheme="minorHAnsi"/>
          <w:bCs/>
          <w:sz w:val="20"/>
          <w:szCs w:val="20"/>
          <w:lang w:val="zh-CN"/>
        </w:rPr>
        <w:t xml:space="preserve"> class</w:t>
      </w:r>
      <w:r w:rsidRPr="000364C9">
        <w:rPr>
          <w:rFonts w:ascii="Garamond" w:eastAsiaTheme="minorHAnsi" w:hAnsi="Garamond" w:cstheme="minorHAnsi"/>
          <w:bCs/>
          <w:sz w:val="20"/>
          <w:szCs w:val="20"/>
        </w:rPr>
        <w:t>es</w:t>
      </w:r>
      <w:r w:rsidRPr="000364C9">
        <w:rPr>
          <w:rFonts w:ascii="Garamond" w:eastAsiaTheme="minorHAnsi" w:hAnsi="Garamond" w:cstheme="minorHAnsi"/>
          <w:bCs/>
          <w:sz w:val="20"/>
          <w:szCs w:val="20"/>
          <w:lang w:val="zh-CN"/>
        </w:rPr>
        <w:t>, and hospital type</w:t>
      </w:r>
      <w:r w:rsidRPr="000364C9">
        <w:rPr>
          <w:rFonts w:ascii="Garamond" w:eastAsiaTheme="minorHAnsi" w:hAnsi="Garamond" w:cstheme="minorHAnsi"/>
          <w:bCs/>
          <w:sz w:val="20"/>
          <w:szCs w:val="20"/>
        </w:rPr>
        <w:t xml:space="preserve"> have been identified as variables related to</w:t>
      </w:r>
      <w:r w:rsidRPr="000364C9">
        <w:rPr>
          <w:rFonts w:ascii="Garamond" w:eastAsiaTheme="minorHAnsi" w:hAnsi="Garamond" w:cstheme="minorHAnsi"/>
          <w:bCs/>
          <w:sz w:val="20"/>
          <w:szCs w:val="20"/>
          <w:lang w:val="zh-CN"/>
        </w:rPr>
        <w:t xml:space="preserve"> the real cost of stroke patients</w:t>
      </w:r>
      <w:r w:rsidRPr="000364C9">
        <w:rPr>
          <w:rFonts w:ascii="Garamond" w:eastAsiaTheme="minorHAnsi" w:hAnsi="Garamond" w:cstheme="minorHAnsi"/>
          <w:bCs/>
          <w:sz w:val="20"/>
          <w:szCs w:val="20"/>
        </w:rPr>
        <w:t xml:space="preserve"> in the hospitals</w:t>
      </w:r>
      <w:r w:rsidRPr="000364C9">
        <w:rPr>
          <w:rFonts w:ascii="Garamond" w:eastAsiaTheme="minorHAnsi" w:hAnsi="Garamond" w:cstheme="minorHAnsi"/>
          <w:bCs/>
          <w:sz w:val="20"/>
          <w:szCs w:val="20"/>
          <w:lang w:val="zh-CN"/>
        </w:rPr>
        <w:t xml:space="preserve"> </w:t>
      </w:r>
      <w:r w:rsidRPr="000364C9">
        <w:rPr>
          <w:rFonts w:ascii="Garamond" w:eastAsiaTheme="minorHAnsi" w:hAnsi="Garamond" w:cstheme="minorHAnsi"/>
          <w:bCs/>
          <w:sz w:val="20"/>
          <w:szCs w:val="20"/>
        </w:rPr>
        <w:t xml:space="preserve">with a </w:t>
      </w:r>
      <w:r w:rsidRPr="000364C9">
        <w:rPr>
          <w:rFonts w:ascii="Garamond" w:eastAsiaTheme="minorHAnsi" w:hAnsi="Garamond" w:cstheme="minorHAnsi"/>
          <w:bCs/>
          <w:sz w:val="20"/>
          <w:szCs w:val="20"/>
          <w:lang w:val="zh-CN"/>
        </w:rPr>
        <w:t>p</w:t>
      </w:r>
      <w:r w:rsidRPr="000364C9">
        <w:rPr>
          <w:rFonts w:ascii="Garamond" w:eastAsiaTheme="minorHAnsi" w:hAnsi="Garamond" w:cstheme="minorHAnsi"/>
          <w:bCs/>
          <w:sz w:val="20"/>
          <w:szCs w:val="20"/>
        </w:rPr>
        <w:t>-value</w:t>
      </w:r>
      <w:r w:rsidRPr="000364C9">
        <w:rPr>
          <w:rFonts w:ascii="Garamond" w:eastAsiaTheme="minorHAnsi" w:hAnsi="Garamond" w:cstheme="minorHAnsi"/>
          <w:bCs/>
          <w:sz w:val="20"/>
          <w:szCs w:val="20"/>
          <w:lang w:val="zh-CN"/>
        </w:rPr>
        <w:t xml:space="preserve"> &lt; 0.05.</w:t>
      </w:r>
      <w:r w:rsidRPr="000364C9">
        <w:rPr>
          <w:rFonts w:ascii="Garamond" w:eastAsiaTheme="minorHAnsi" w:hAnsi="Garamond" w:cstheme="minorHAnsi"/>
          <w:bCs/>
          <w:sz w:val="20"/>
          <w:szCs w:val="20"/>
          <w:lang w:val="id-ID"/>
        </w:rPr>
        <w:t xml:space="preserve"> </w:t>
      </w:r>
    </w:p>
    <w:p w14:paraId="43B7AB82" w14:textId="77777777" w:rsidR="000364C9" w:rsidRPr="000364C9" w:rsidRDefault="000364C9" w:rsidP="000364C9">
      <w:pPr>
        <w:jc w:val="both"/>
        <w:rPr>
          <w:rFonts w:ascii="Garamond" w:eastAsiaTheme="minorHAnsi" w:hAnsi="Garamond" w:cstheme="minorHAnsi"/>
          <w:bCs/>
          <w:sz w:val="20"/>
          <w:szCs w:val="20"/>
          <w:lang w:val="id-ID"/>
        </w:rPr>
      </w:pPr>
      <w:r w:rsidRPr="000364C9">
        <w:rPr>
          <w:rFonts w:ascii="Garamond" w:eastAsiaTheme="minorHAnsi" w:hAnsi="Garamond" w:cstheme="minorHAnsi"/>
          <w:b/>
          <w:bCs/>
          <w:sz w:val="20"/>
          <w:szCs w:val="20"/>
        </w:rPr>
        <w:t xml:space="preserve">Conclusion: </w:t>
      </w:r>
      <w:r w:rsidRPr="000364C9">
        <w:rPr>
          <w:rFonts w:ascii="Garamond" w:eastAsiaTheme="minorHAnsi" w:hAnsi="Garamond" w:cstheme="minorHAnsi"/>
          <w:bCs/>
          <w:sz w:val="20"/>
          <w:szCs w:val="20"/>
        </w:rPr>
        <w:t>A</w:t>
      </w:r>
      <w:r w:rsidRPr="000364C9">
        <w:rPr>
          <w:rFonts w:ascii="Garamond" w:eastAsiaTheme="minorHAnsi" w:hAnsi="Garamond" w:cstheme="minorHAnsi"/>
          <w:bCs/>
          <w:sz w:val="20"/>
          <w:szCs w:val="20"/>
          <w:lang w:val="zh-CN"/>
        </w:rPr>
        <w:t>ll variables examined in this study are connected to the expenses incurred by stroke victims in hospitals</w:t>
      </w:r>
      <w:r w:rsidRPr="000364C9">
        <w:rPr>
          <w:rFonts w:ascii="Garamond" w:eastAsiaTheme="minorHAnsi" w:hAnsi="Garamond" w:cstheme="minorHAnsi"/>
          <w:bCs/>
          <w:sz w:val="20"/>
          <w:szCs w:val="20"/>
        </w:rPr>
        <w:t xml:space="preserve">. However, </w:t>
      </w:r>
      <w:r w:rsidRPr="000364C9">
        <w:rPr>
          <w:rFonts w:ascii="Garamond" w:eastAsiaTheme="minorHAnsi" w:hAnsi="Garamond" w:cstheme="minorHAnsi"/>
          <w:bCs/>
          <w:sz w:val="20"/>
          <w:szCs w:val="20"/>
          <w:lang w:val="id-ID"/>
        </w:rPr>
        <w:t>several files of medical records cannot be identified in the study which means that other variables like comorbidities might also related to inpatient costs of stroke patients and need to be analysed for future study.</w:t>
      </w:r>
    </w:p>
    <w:p w14:paraId="3E11E0E8" w14:textId="77777777" w:rsidR="000364C9" w:rsidRDefault="000364C9" w:rsidP="000364C9">
      <w:pPr>
        <w:jc w:val="both"/>
        <w:rPr>
          <w:rFonts w:ascii="Garamond" w:eastAsiaTheme="minorHAnsi" w:hAnsi="Garamond" w:cstheme="minorHAnsi"/>
          <w:b/>
          <w:bCs/>
          <w:sz w:val="20"/>
          <w:szCs w:val="20"/>
          <w:lang w:val="id-ID"/>
        </w:rPr>
      </w:pPr>
    </w:p>
    <w:p w14:paraId="173ABDBA" w14:textId="4EEDFFC5" w:rsidR="006732D7" w:rsidRPr="005030CD" w:rsidRDefault="000364C9" w:rsidP="006732D7">
      <w:pPr>
        <w:jc w:val="both"/>
        <w:rPr>
          <w:rFonts w:ascii="Garamond" w:eastAsiaTheme="minorHAnsi" w:hAnsi="Garamond" w:cstheme="minorHAnsi"/>
          <w:bCs/>
          <w:sz w:val="20"/>
          <w:szCs w:val="20"/>
        </w:rPr>
        <w:sectPr w:rsidR="006732D7" w:rsidRPr="005030CD" w:rsidSect="006732D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cols w:space="720"/>
          <w:docGrid w:linePitch="326"/>
        </w:sectPr>
      </w:pPr>
      <w:r w:rsidRPr="000364C9">
        <w:rPr>
          <w:rFonts w:ascii="Garamond" w:eastAsiaTheme="minorHAnsi" w:hAnsi="Garamond" w:cstheme="minorHAnsi"/>
          <w:b/>
          <w:bCs/>
          <w:sz w:val="20"/>
          <w:szCs w:val="20"/>
          <w:lang w:val="id-ID"/>
        </w:rPr>
        <w:t>Keywords:</w:t>
      </w:r>
      <w:r w:rsidRPr="000364C9">
        <w:rPr>
          <w:rFonts w:ascii="Garamond" w:eastAsiaTheme="minorHAnsi" w:hAnsi="Garamond" w:cstheme="minorHAnsi"/>
          <w:bCs/>
          <w:sz w:val="20"/>
          <w:szCs w:val="20"/>
          <w:lang w:val="id-ID"/>
        </w:rPr>
        <w:t xml:space="preserve"> </w:t>
      </w:r>
      <w:r w:rsidRPr="000364C9">
        <w:rPr>
          <w:rFonts w:ascii="Garamond" w:eastAsiaTheme="minorHAnsi" w:hAnsi="Garamond" w:cstheme="minorHAnsi"/>
          <w:bCs/>
          <w:sz w:val="20"/>
          <w:szCs w:val="20"/>
          <w:lang w:val="zh-CN"/>
        </w:rPr>
        <w:t>Ischemic Stroke, Real Cost, Hospitalization, Outpatient</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6DD9CCB0"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08A1549C">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26A90F66"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68A232E1">
                <wp:simplePos x="0" y="0"/>
                <wp:positionH relativeFrom="margin">
                  <wp:posOffset>3261360</wp:posOffset>
                </wp:positionH>
                <wp:positionV relativeFrom="paragraph">
                  <wp:posOffset>26670</wp:posOffset>
                </wp:positionV>
                <wp:extent cx="2716039" cy="1076960"/>
                <wp:effectExtent l="0" t="0" r="14605" b="15240"/>
                <wp:wrapNone/>
                <wp:docPr id="8" name="Text Box 8"/>
                <wp:cNvGraphicFramePr/>
                <a:graphic xmlns:a="http://schemas.openxmlformats.org/drawingml/2006/main">
                  <a:graphicData uri="http://schemas.microsoft.com/office/word/2010/wordprocessingShape">
                    <wps:wsp>
                      <wps:cNvSpPr txBox="1"/>
                      <wps:spPr>
                        <a:xfrm>
                          <a:off x="0" y="0"/>
                          <a:ext cx="2716039" cy="1076960"/>
                        </a:xfrm>
                        <a:prstGeom prst="rect">
                          <a:avLst/>
                        </a:prstGeom>
                        <a:solidFill>
                          <a:sysClr val="window" lastClr="FFFFFF"/>
                        </a:solidFill>
                        <a:ln w="6350">
                          <a:solidFill>
                            <a:srgbClr val="70AD47">
                              <a:lumMod val="75000"/>
                            </a:srgbClr>
                          </a:solidFill>
                        </a:ln>
                      </wps:spPr>
                      <wps:txbx>
                        <w:txbxContent>
                          <w:p w14:paraId="65562D4D" w14:textId="62F5119A" w:rsidR="00576722" w:rsidRPr="000A025A" w:rsidRDefault="00B17E75" w:rsidP="00D26558">
                            <w:pPr>
                              <w:pBdr>
                                <w:bottom w:val="single" w:sz="6" w:space="1" w:color="auto"/>
                              </w:pBdr>
                              <w:jc w:val="both"/>
                              <w:rPr>
                                <w:rFonts w:ascii="Garamond" w:hAnsi="Garamond" w:cs="Segoe UI"/>
                                <w:color w:val="000000" w:themeColor="text1"/>
                                <w:sz w:val="22"/>
                                <w:szCs w:val="22"/>
                                <w:shd w:val="clear" w:color="auto" w:fill="FFFFFF"/>
                              </w:rPr>
                            </w:pPr>
                            <w:r w:rsidRPr="00B17E75">
                              <w:rPr>
                                <w:rFonts w:ascii="Garamond" w:hAnsi="Garamond" w:cs="Segoe UI"/>
                                <w:i/>
                                <w:iCs/>
                                <w:sz w:val="22"/>
                                <w:szCs w:val="22"/>
                                <w:shd w:val="clear" w:color="auto" w:fill="FFFFFF"/>
                                <w:lang w:val="zh-CN"/>
                              </w:rPr>
                              <w:t>Muslimah</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M</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Noviasari</w:t>
                            </w:r>
                            <w:r w:rsidRPr="000A025A">
                              <w:rPr>
                                <w:rFonts w:ascii="Garamond" w:hAnsi="Garamond" w:cs="Segoe UI"/>
                                <w:i/>
                                <w:iCs/>
                                <w:sz w:val="22"/>
                                <w:szCs w:val="22"/>
                                <w:shd w:val="clear" w:color="auto" w:fill="FFFFFF"/>
                              </w:rPr>
                              <w:t xml:space="preserve"> NA</w:t>
                            </w:r>
                            <w:r w:rsidRPr="00B17E75">
                              <w:rPr>
                                <w:rFonts w:ascii="Garamond" w:hAnsi="Garamond" w:cs="Segoe UI"/>
                                <w:i/>
                                <w:iCs/>
                                <w:sz w:val="22"/>
                                <w:szCs w:val="22"/>
                                <w:shd w:val="clear" w:color="auto" w:fill="FFFFFF"/>
                              </w:rPr>
                              <w:t>, Pranata</w:t>
                            </w:r>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Wahyuni</w:t>
                            </w:r>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xml:space="preserve">, </w:t>
                            </w:r>
                            <w:proofErr w:type="spellStart"/>
                            <w:r w:rsidRPr="00B17E75">
                              <w:rPr>
                                <w:rFonts w:ascii="Garamond" w:hAnsi="Garamond" w:cs="Segoe UI"/>
                                <w:i/>
                                <w:iCs/>
                                <w:sz w:val="22"/>
                                <w:szCs w:val="22"/>
                                <w:shd w:val="clear" w:color="auto" w:fill="FFFFFF"/>
                              </w:rPr>
                              <w:t>Swasty</w:t>
                            </w:r>
                            <w:proofErr w:type="spellEnd"/>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Machmudah</w:t>
                            </w:r>
                            <w:r w:rsidRPr="000A025A">
                              <w:rPr>
                                <w:rFonts w:ascii="Garamond" w:hAnsi="Garamond" w:cs="Segoe UI"/>
                                <w:i/>
                                <w:iCs/>
                                <w:sz w:val="22"/>
                                <w:szCs w:val="22"/>
                                <w:shd w:val="clear" w:color="auto" w:fill="FFFFFF"/>
                              </w:rPr>
                              <w:t xml:space="preserve"> M. </w:t>
                            </w:r>
                            <w:r w:rsidR="003A540C" w:rsidRPr="001C5BC0">
                              <w:rPr>
                                <w:rFonts w:ascii="Garamond" w:hAnsi="Garamond" w:cs="Segoe UI"/>
                                <w:sz w:val="22"/>
                                <w:szCs w:val="22"/>
                                <w:shd w:val="clear" w:color="auto" w:fill="FFFFFF"/>
                              </w:rPr>
                              <w:t>Factors Related to The</w:t>
                            </w:r>
                            <w:r w:rsidR="003A540C" w:rsidRPr="001C5BC0">
                              <w:rPr>
                                <w:rFonts w:ascii="Garamond" w:hAnsi="Garamond" w:cs="Segoe UI"/>
                                <w:sz w:val="22"/>
                                <w:szCs w:val="22"/>
                                <w:shd w:val="clear" w:color="auto" w:fill="FFFFFF"/>
                                <w:lang w:val="zh-CN"/>
                              </w:rPr>
                              <w:t xml:space="preserve"> Real Costs </w:t>
                            </w:r>
                            <w:r w:rsidR="003A540C" w:rsidRPr="001C5BC0">
                              <w:rPr>
                                <w:rFonts w:ascii="Garamond" w:hAnsi="Garamond" w:cs="Segoe UI"/>
                                <w:sz w:val="22"/>
                                <w:szCs w:val="22"/>
                                <w:shd w:val="clear" w:color="auto" w:fill="FFFFFF"/>
                              </w:rPr>
                              <w:t>for</w:t>
                            </w:r>
                            <w:r w:rsidR="003A540C" w:rsidRPr="001C5BC0">
                              <w:rPr>
                                <w:rFonts w:ascii="Garamond" w:hAnsi="Garamond" w:cs="Segoe UI"/>
                                <w:sz w:val="22"/>
                                <w:szCs w:val="22"/>
                                <w:shd w:val="clear" w:color="auto" w:fill="FFFFFF"/>
                                <w:lang w:val="zh-CN"/>
                              </w:rPr>
                              <w:t xml:space="preserve"> Stroke Patients </w:t>
                            </w:r>
                            <w:proofErr w:type="spellStart"/>
                            <w:r w:rsidR="003A540C" w:rsidRPr="001C5BC0">
                              <w:rPr>
                                <w:rFonts w:ascii="Garamond" w:hAnsi="Garamond" w:cs="Segoe UI"/>
                                <w:sz w:val="22"/>
                                <w:szCs w:val="22"/>
                                <w:shd w:val="clear" w:color="auto" w:fill="FFFFFF"/>
                              </w:rPr>
                              <w:t>i</w:t>
                            </w:r>
                            <w:proofErr w:type="spellEnd"/>
                            <w:r w:rsidR="003A540C" w:rsidRPr="001C5BC0">
                              <w:rPr>
                                <w:rFonts w:ascii="Garamond" w:hAnsi="Garamond" w:cs="Segoe UI"/>
                                <w:sz w:val="22"/>
                                <w:szCs w:val="22"/>
                                <w:shd w:val="clear" w:color="auto" w:fill="FFFFFF"/>
                                <w:lang w:val="zh-CN"/>
                              </w:rPr>
                              <w:t xml:space="preserve">n </w:t>
                            </w:r>
                            <w:r w:rsidR="003A540C" w:rsidRPr="001C5BC0">
                              <w:rPr>
                                <w:rFonts w:ascii="Garamond" w:hAnsi="Garamond" w:cs="Segoe UI"/>
                                <w:sz w:val="22"/>
                                <w:szCs w:val="22"/>
                                <w:shd w:val="clear" w:color="auto" w:fill="FFFFFF"/>
                              </w:rPr>
                              <w:t xml:space="preserve">The </w:t>
                            </w:r>
                            <w:r w:rsidR="003A540C" w:rsidRPr="001C5BC0">
                              <w:rPr>
                                <w:rFonts w:ascii="Garamond" w:hAnsi="Garamond" w:cs="Segoe UI"/>
                                <w:sz w:val="22"/>
                                <w:szCs w:val="22"/>
                                <w:shd w:val="clear" w:color="auto" w:fill="FFFFFF"/>
                                <w:lang w:val="zh-CN"/>
                              </w:rPr>
                              <w:t>Hospitals</w:t>
                            </w:r>
                            <w:r w:rsidR="003A540C" w:rsidRPr="001C5BC0">
                              <w:rPr>
                                <w:rFonts w:ascii="Garamond" w:hAnsi="Garamond" w:cs="Segoe UI"/>
                                <w:sz w:val="22"/>
                                <w:szCs w:val="22"/>
                                <w:shd w:val="clear" w:color="auto" w:fill="FFFFFF"/>
                              </w:rPr>
                              <w:t>,</w:t>
                            </w:r>
                            <w:r w:rsidR="003A540C" w:rsidRPr="001C5BC0">
                              <w:rPr>
                                <w:rFonts w:ascii="Garamond" w:hAnsi="Garamond" w:cs="Segoe UI"/>
                                <w:sz w:val="22"/>
                                <w:szCs w:val="22"/>
                                <w:shd w:val="clear" w:color="auto" w:fill="FFFFFF"/>
                                <w:lang w:val="zh-CN"/>
                              </w:rPr>
                              <w:t xml:space="preserve"> Yogyakarta </w:t>
                            </w:r>
                            <w:r w:rsidR="003A540C" w:rsidRPr="001C5BC0">
                              <w:rPr>
                                <w:rFonts w:ascii="Garamond" w:hAnsi="Garamond" w:cs="Segoe UI"/>
                                <w:sz w:val="22"/>
                                <w:szCs w:val="22"/>
                                <w:shd w:val="clear" w:color="auto" w:fill="FFFFFF"/>
                              </w:rPr>
                              <w:t>City, Indonesia</w:t>
                            </w:r>
                            <w:r w:rsidRPr="000A025A">
                              <w:rPr>
                                <w:rFonts w:ascii="Garamond" w:hAnsi="Garamond" w:cs="Segoe UI"/>
                                <w:sz w:val="22"/>
                                <w:szCs w:val="22"/>
                                <w:shd w:val="clear" w:color="auto" w:fill="FFFFFF"/>
                              </w:rPr>
                              <w:t xml:space="preserve">. </w:t>
                            </w:r>
                            <w:r w:rsidR="00576722" w:rsidRPr="000A025A">
                              <w:rPr>
                                <w:rFonts w:ascii="Garamond" w:hAnsi="Garamond" w:cs="Segoe UI"/>
                                <w:color w:val="000000" w:themeColor="text1"/>
                                <w:sz w:val="22"/>
                                <w:szCs w:val="22"/>
                                <w:shd w:val="clear" w:color="auto" w:fill="FFFFFF"/>
                              </w:rPr>
                              <w:t>The Nigerian Health Journal 202</w:t>
                            </w:r>
                            <w:r w:rsidR="00147D38">
                              <w:rPr>
                                <w:rFonts w:ascii="Garamond" w:hAnsi="Garamond" w:cs="Segoe UI"/>
                                <w:color w:val="000000" w:themeColor="text1"/>
                                <w:sz w:val="22"/>
                                <w:szCs w:val="22"/>
                                <w:shd w:val="clear" w:color="auto" w:fill="FFFFFF"/>
                              </w:rPr>
                              <w:t>6</w:t>
                            </w:r>
                            <w:r w:rsidR="00576722" w:rsidRPr="000A025A">
                              <w:rPr>
                                <w:rFonts w:ascii="Garamond" w:hAnsi="Garamond" w:cs="Segoe UI"/>
                                <w:color w:val="000000" w:themeColor="text1"/>
                                <w:sz w:val="22"/>
                                <w:szCs w:val="22"/>
                                <w:shd w:val="clear" w:color="auto" w:fill="FFFFFF"/>
                              </w:rPr>
                              <w:t>; 2</w:t>
                            </w:r>
                            <w:r w:rsidR="00147D38">
                              <w:rPr>
                                <w:rFonts w:ascii="Garamond" w:hAnsi="Garamond" w:cs="Segoe UI"/>
                                <w:color w:val="000000" w:themeColor="text1"/>
                                <w:sz w:val="22"/>
                                <w:szCs w:val="22"/>
                                <w:shd w:val="clear" w:color="auto" w:fill="FFFFFF"/>
                              </w:rPr>
                              <w:t>6</w:t>
                            </w:r>
                            <w:r w:rsidR="00576722" w:rsidRPr="000A025A">
                              <w:rPr>
                                <w:rFonts w:ascii="Garamond" w:hAnsi="Garamond" w:cs="Segoe UI"/>
                                <w:color w:val="000000" w:themeColor="text1"/>
                                <w:sz w:val="22"/>
                                <w:szCs w:val="22"/>
                                <w:shd w:val="clear" w:color="auto" w:fill="FFFFFF"/>
                              </w:rPr>
                              <w:t>(</w:t>
                            </w:r>
                            <w:r w:rsidR="00147D38">
                              <w:rPr>
                                <w:rFonts w:ascii="Garamond" w:hAnsi="Garamond" w:cs="Segoe UI"/>
                                <w:color w:val="000000" w:themeColor="text1"/>
                                <w:sz w:val="22"/>
                                <w:szCs w:val="22"/>
                                <w:shd w:val="clear" w:color="auto" w:fill="FFFFFF"/>
                              </w:rPr>
                              <w:t>1</w:t>
                            </w:r>
                            <w:r w:rsidR="00576722" w:rsidRPr="000A025A">
                              <w:rPr>
                                <w:rFonts w:ascii="Garamond" w:hAnsi="Garamond" w:cs="Segoe UI"/>
                                <w:color w:val="000000" w:themeColor="text1"/>
                                <w:sz w:val="22"/>
                                <w:szCs w:val="22"/>
                                <w:shd w:val="clear" w:color="auto" w:fill="FFFFFF"/>
                              </w:rPr>
                              <w:t>)</w:t>
                            </w:r>
                            <w:r w:rsidR="00E80F6B">
                              <w:rPr>
                                <w:rFonts w:ascii="Garamond" w:hAnsi="Garamond" w:cs="Segoe UI"/>
                                <w:color w:val="000000" w:themeColor="text1"/>
                                <w:sz w:val="22"/>
                                <w:szCs w:val="22"/>
                                <w:shd w:val="clear" w:color="auto" w:fill="FFFFFF"/>
                              </w:rPr>
                              <w:t>:1 - 8</w:t>
                            </w:r>
                            <w:r w:rsidR="00576722" w:rsidRPr="000A025A">
                              <w:rPr>
                                <w:rFonts w:ascii="Garamond" w:hAnsi="Garamond" w:cs="Segoe UI"/>
                                <w:color w:val="000000" w:themeColor="text1"/>
                                <w:sz w:val="22"/>
                                <w:szCs w:val="22"/>
                                <w:shd w:val="clear" w:color="auto" w:fill="FFFFFF"/>
                              </w:rPr>
                              <w:t>.</w:t>
                            </w:r>
                            <w:r w:rsidR="00E80F6B">
                              <w:rPr>
                                <w:rFonts w:ascii="Garamond" w:hAnsi="Garamond" w:cs="Segoe UI"/>
                                <w:color w:val="000000" w:themeColor="text1"/>
                                <w:sz w:val="22"/>
                                <w:szCs w:val="22"/>
                                <w:shd w:val="clear" w:color="auto" w:fill="FFFFFF"/>
                              </w:rPr>
                              <w:t xml:space="preserve"> </w:t>
                            </w:r>
                            <w:hyperlink r:id="rId22" w:history="1">
                              <w:r w:rsidR="00E80F6B" w:rsidRPr="008D4B15">
                                <w:rPr>
                                  <w:rStyle w:val="Hyperlink"/>
                                  <w:rFonts w:ascii="Garamond" w:hAnsi="Garamond" w:cs="Arial"/>
                                  <w:sz w:val="20"/>
                                  <w:szCs w:val="20"/>
                                </w:rPr>
                                <w:t>https://doi.org/10.71637/tnhj.v26i1.909</w:t>
                              </w:r>
                            </w:hyperlink>
                          </w:p>
                          <w:p w14:paraId="13AF94AF" w14:textId="77777777" w:rsidR="00DD3D36" w:rsidRDefault="00DD3D36" w:rsidP="00D26558">
                            <w:pPr>
                              <w:pBdr>
                                <w:bottom w:val="single" w:sz="6" w:space="1" w:color="auto"/>
                              </w:pBdr>
                              <w:jc w:val="both"/>
                              <w:rPr>
                                <w:rFonts w:ascii="Garamond" w:hAnsi="Garamond" w:cs="Segoe UI"/>
                                <w:sz w:val="20"/>
                                <w:szCs w:val="20"/>
                                <w:shd w:val="clear" w:color="auto" w:fill="FFFFFF"/>
                                <w:lang w:val="en-GB"/>
                              </w:rPr>
                            </w:pPr>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8pt;margin-top:2.1pt;width:213.85pt;height:84.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" fillcolor="window" strokecolor="#548235" strokeweight=".5pt">
                <v:textbox>
                  <w:txbxContent>
                    <w:p w14:paraId="65562D4D" w14:textId="62F5119A" w:rsidR="00576722" w:rsidRPr="000A025A" w:rsidRDefault="00B17E75" w:rsidP="00D26558">
                      <w:pPr>
                        <w:pBdr>
                          <w:bottom w:val="single" w:sz="6" w:space="1" w:color="auto"/>
                        </w:pBdr>
                        <w:jc w:val="both"/>
                        <w:rPr>
                          <w:rFonts w:ascii="Garamond" w:hAnsi="Garamond" w:cs="Segoe UI"/>
                          <w:color w:val="000000" w:themeColor="text1"/>
                          <w:sz w:val="22"/>
                          <w:szCs w:val="22"/>
                          <w:shd w:val="clear" w:color="auto" w:fill="FFFFFF"/>
                        </w:rPr>
                      </w:pPr>
                      <w:r w:rsidRPr="00B17E75">
                        <w:rPr>
                          <w:rFonts w:ascii="Garamond" w:hAnsi="Garamond" w:cs="Segoe UI"/>
                          <w:i/>
                          <w:iCs/>
                          <w:sz w:val="22"/>
                          <w:szCs w:val="22"/>
                          <w:shd w:val="clear" w:color="auto" w:fill="FFFFFF"/>
                          <w:lang w:val="zh-CN"/>
                        </w:rPr>
                        <w:t>Muslimah</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M</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Noviasari</w:t>
                      </w:r>
                      <w:r w:rsidRPr="000A025A">
                        <w:rPr>
                          <w:rFonts w:ascii="Garamond" w:hAnsi="Garamond" w:cs="Segoe UI"/>
                          <w:i/>
                          <w:iCs/>
                          <w:sz w:val="22"/>
                          <w:szCs w:val="22"/>
                          <w:shd w:val="clear" w:color="auto" w:fill="FFFFFF"/>
                        </w:rPr>
                        <w:t xml:space="preserve"> NA</w:t>
                      </w:r>
                      <w:r w:rsidRPr="00B17E75">
                        <w:rPr>
                          <w:rFonts w:ascii="Garamond" w:hAnsi="Garamond" w:cs="Segoe UI"/>
                          <w:i/>
                          <w:iCs/>
                          <w:sz w:val="22"/>
                          <w:szCs w:val="22"/>
                          <w:shd w:val="clear" w:color="auto" w:fill="FFFFFF"/>
                        </w:rPr>
                        <w:t>, Pranata</w:t>
                      </w:r>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Wahyuni</w:t>
                      </w:r>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xml:space="preserve">, </w:t>
                      </w:r>
                      <w:proofErr w:type="spellStart"/>
                      <w:r w:rsidRPr="00B17E75">
                        <w:rPr>
                          <w:rFonts w:ascii="Garamond" w:hAnsi="Garamond" w:cs="Segoe UI"/>
                          <w:i/>
                          <w:iCs/>
                          <w:sz w:val="22"/>
                          <w:szCs w:val="22"/>
                          <w:shd w:val="clear" w:color="auto" w:fill="FFFFFF"/>
                        </w:rPr>
                        <w:t>Swasty</w:t>
                      </w:r>
                      <w:proofErr w:type="spellEnd"/>
                      <w:r w:rsidRPr="000A025A">
                        <w:rPr>
                          <w:rFonts w:ascii="Garamond" w:hAnsi="Garamond" w:cs="Segoe UI"/>
                          <w:i/>
                          <w:iCs/>
                          <w:sz w:val="22"/>
                          <w:szCs w:val="22"/>
                          <w:shd w:val="clear" w:color="auto" w:fill="FFFFFF"/>
                        </w:rPr>
                        <w:t xml:space="preserve"> S</w:t>
                      </w:r>
                      <w:r w:rsidRPr="00B17E75">
                        <w:rPr>
                          <w:rFonts w:ascii="Garamond" w:hAnsi="Garamond" w:cs="Segoe UI"/>
                          <w:i/>
                          <w:iCs/>
                          <w:sz w:val="22"/>
                          <w:szCs w:val="22"/>
                          <w:shd w:val="clear" w:color="auto" w:fill="FFFFFF"/>
                        </w:rPr>
                        <w:t xml:space="preserve">, </w:t>
                      </w:r>
                      <w:r w:rsidRPr="00B17E75">
                        <w:rPr>
                          <w:rFonts w:ascii="Garamond" w:hAnsi="Garamond" w:cs="Segoe UI"/>
                          <w:i/>
                          <w:iCs/>
                          <w:sz w:val="22"/>
                          <w:szCs w:val="22"/>
                          <w:shd w:val="clear" w:color="auto" w:fill="FFFFFF"/>
                          <w:lang w:val="zh-CN"/>
                        </w:rPr>
                        <w:t>Machmudah</w:t>
                      </w:r>
                      <w:r w:rsidRPr="000A025A">
                        <w:rPr>
                          <w:rFonts w:ascii="Garamond" w:hAnsi="Garamond" w:cs="Segoe UI"/>
                          <w:i/>
                          <w:iCs/>
                          <w:sz w:val="22"/>
                          <w:szCs w:val="22"/>
                          <w:shd w:val="clear" w:color="auto" w:fill="FFFFFF"/>
                        </w:rPr>
                        <w:t xml:space="preserve"> M. </w:t>
                      </w:r>
                      <w:r w:rsidR="003A540C" w:rsidRPr="001C5BC0">
                        <w:rPr>
                          <w:rFonts w:ascii="Garamond" w:hAnsi="Garamond" w:cs="Segoe UI"/>
                          <w:sz w:val="22"/>
                          <w:szCs w:val="22"/>
                          <w:shd w:val="clear" w:color="auto" w:fill="FFFFFF"/>
                        </w:rPr>
                        <w:t>Factors Related to The</w:t>
                      </w:r>
                      <w:r w:rsidR="003A540C" w:rsidRPr="001C5BC0">
                        <w:rPr>
                          <w:rFonts w:ascii="Garamond" w:hAnsi="Garamond" w:cs="Segoe UI"/>
                          <w:sz w:val="22"/>
                          <w:szCs w:val="22"/>
                          <w:shd w:val="clear" w:color="auto" w:fill="FFFFFF"/>
                          <w:lang w:val="zh-CN"/>
                        </w:rPr>
                        <w:t xml:space="preserve"> Real Costs </w:t>
                      </w:r>
                      <w:r w:rsidR="003A540C" w:rsidRPr="001C5BC0">
                        <w:rPr>
                          <w:rFonts w:ascii="Garamond" w:hAnsi="Garamond" w:cs="Segoe UI"/>
                          <w:sz w:val="22"/>
                          <w:szCs w:val="22"/>
                          <w:shd w:val="clear" w:color="auto" w:fill="FFFFFF"/>
                        </w:rPr>
                        <w:t>for</w:t>
                      </w:r>
                      <w:r w:rsidR="003A540C" w:rsidRPr="001C5BC0">
                        <w:rPr>
                          <w:rFonts w:ascii="Garamond" w:hAnsi="Garamond" w:cs="Segoe UI"/>
                          <w:sz w:val="22"/>
                          <w:szCs w:val="22"/>
                          <w:shd w:val="clear" w:color="auto" w:fill="FFFFFF"/>
                          <w:lang w:val="zh-CN"/>
                        </w:rPr>
                        <w:t xml:space="preserve"> Stroke Patients </w:t>
                      </w:r>
                      <w:proofErr w:type="spellStart"/>
                      <w:r w:rsidR="003A540C" w:rsidRPr="001C5BC0">
                        <w:rPr>
                          <w:rFonts w:ascii="Garamond" w:hAnsi="Garamond" w:cs="Segoe UI"/>
                          <w:sz w:val="22"/>
                          <w:szCs w:val="22"/>
                          <w:shd w:val="clear" w:color="auto" w:fill="FFFFFF"/>
                        </w:rPr>
                        <w:t>i</w:t>
                      </w:r>
                      <w:proofErr w:type="spellEnd"/>
                      <w:r w:rsidR="003A540C" w:rsidRPr="001C5BC0">
                        <w:rPr>
                          <w:rFonts w:ascii="Garamond" w:hAnsi="Garamond" w:cs="Segoe UI"/>
                          <w:sz w:val="22"/>
                          <w:szCs w:val="22"/>
                          <w:shd w:val="clear" w:color="auto" w:fill="FFFFFF"/>
                          <w:lang w:val="zh-CN"/>
                        </w:rPr>
                        <w:t xml:space="preserve">n </w:t>
                      </w:r>
                      <w:r w:rsidR="003A540C" w:rsidRPr="001C5BC0">
                        <w:rPr>
                          <w:rFonts w:ascii="Garamond" w:hAnsi="Garamond" w:cs="Segoe UI"/>
                          <w:sz w:val="22"/>
                          <w:szCs w:val="22"/>
                          <w:shd w:val="clear" w:color="auto" w:fill="FFFFFF"/>
                        </w:rPr>
                        <w:t xml:space="preserve">The </w:t>
                      </w:r>
                      <w:r w:rsidR="003A540C" w:rsidRPr="001C5BC0">
                        <w:rPr>
                          <w:rFonts w:ascii="Garamond" w:hAnsi="Garamond" w:cs="Segoe UI"/>
                          <w:sz w:val="22"/>
                          <w:szCs w:val="22"/>
                          <w:shd w:val="clear" w:color="auto" w:fill="FFFFFF"/>
                          <w:lang w:val="zh-CN"/>
                        </w:rPr>
                        <w:t>Hospitals</w:t>
                      </w:r>
                      <w:r w:rsidR="003A540C" w:rsidRPr="001C5BC0">
                        <w:rPr>
                          <w:rFonts w:ascii="Garamond" w:hAnsi="Garamond" w:cs="Segoe UI"/>
                          <w:sz w:val="22"/>
                          <w:szCs w:val="22"/>
                          <w:shd w:val="clear" w:color="auto" w:fill="FFFFFF"/>
                        </w:rPr>
                        <w:t>,</w:t>
                      </w:r>
                      <w:r w:rsidR="003A540C" w:rsidRPr="001C5BC0">
                        <w:rPr>
                          <w:rFonts w:ascii="Garamond" w:hAnsi="Garamond" w:cs="Segoe UI"/>
                          <w:sz w:val="22"/>
                          <w:szCs w:val="22"/>
                          <w:shd w:val="clear" w:color="auto" w:fill="FFFFFF"/>
                          <w:lang w:val="zh-CN"/>
                        </w:rPr>
                        <w:t xml:space="preserve"> Yogyakarta </w:t>
                      </w:r>
                      <w:r w:rsidR="003A540C" w:rsidRPr="001C5BC0">
                        <w:rPr>
                          <w:rFonts w:ascii="Garamond" w:hAnsi="Garamond" w:cs="Segoe UI"/>
                          <w:sz w:val="22"/>
                          <w:szCs w:val="22"/>
                          <w:shd w:val="clear" w:color="auto" w:fill="FFFFFF"/>
                        </w:rPr>
                        <w:t>City, Indonesia</w:t>
                      </w:r>
                      <w:r w:rsidRPr="000A025A">
                        <w:rPr>
                          <w:rFonts w:ascii="Garamond" w:hAnsi="Garamond" w:cs="Segoe UI"/>
                          <w:sz w:val="22"/>
                          <w:szCs w:val="22"/>
                          <w:shd w:val="clear" w:color="auto" w:fill="FFFFFF"/>
                        </w:rPr>
                        <w:t xml:space="preserve">. </w:t>
                      </w:r>
                      <w:r w:rsidR="00576722" w:rsidRPr="000A025A">
                        <w:rPr>
                          <w:rFonts w:ascii="Garamond" w:hAnsi="Garamond" w:cs="Segoe UI"/>
                          <w:color w:val="000000" w:themeColor="text1"/>
                          <w:sz w:val="22"/>
                          <w:szCs w:val="22"/>
                          <w:shd w:val="clear" w:color="auto" w:fill="FFFFFF"/>
                        </w:rPr>
                        <w:t>The Nigerian Health Journal 202</w:t>
                      </w:r>
                      <w:r w:rsidR="00147D38">
                        <w:rPr>
                          <w:rFonts w:ascii="Garamond" w:hAnsi="Garamond" w:cs="Segoe UI"/>
                          <w:color w:val="000000" w:themeColor="text1"/>
                          <w:sz w:val="22"/>
                          <w:szCs w:val="22"/>
                          <w:shd w:val="clear" w:color="auto" w:fill="FFFFFF"/>
                        </w:rPr>
                        <w:t>6</w:t>
                      </w:r>
                      <w:r w:rsidR="00576722" w:rsidRPr="000A025A">
                        <w:rPr>
                          <w:rFonts w:ascii="Garamond" w:hAnsi="Garamond" w:cs="Segoe UI"/>
                          <w:color w:val="000000" w:themeColor="text1"/>
                          <w:sz w:val="22"/>
                          <w:szCs w:val="22"/>
                          <w:shd w:val="clear" w:color="auto" w:fill="FFFFFF"/>
                        </w:rPr>
                        <w:t>; 2</w:t>
                      </w:r>
                      <w:r w:rsidR="00147D38">
                        <w:rPr>
                          <w:rFonts w:ascii="Garamond" w:hAnsi="Garamond" w:cs="Segoe UI"/>
                          <w:color w:val="000000" w:themeColor="text1"/>
                          <w:sz w:val="22"/>
                          <w:szCs w:val="22"/>
                          <w:shd w:val="clear" w:color="auto" w:fill="FFFFFF"/>
                        </w:rPr>
                        <w:t>6</w:t>
                      </w:r>
                      <w:r w:rsidR="00576722" w:rsidRPr="000A025A">
                        <w:rPr>
                          <w:rFonts w:ascii="Garamond" w:hAnsi="Garamond" w:cs="Segoe UI"/>
                          <w:color w:val="000000" w:themeColor="text1"/>
                          <w:sz w:val="22"/>
                          <w:szCs w:val="22"/>
                          <w:shd w:val="clear" w:color="auto" w:fill="FFFFFF"/>
                        </w:rPr>
                        <w:t>(</w:t>
                      </w:r>
                      <w:r w:rsidR="00147D38">
                        <w:rPr>
                          <w:rFonts w:ascii="Garamond" w:hAnsi="Garamond" w:cs="Segoe UI"/>
                          <w:color w:val="000000" w:themeColor="text1"/>
                          <w:sz w:val="22"/>
                          <w:szCs w:val="22"/>
                          <w:shd w:val="clear" w:color="auto" w:fill="FFFFFF"/>
                        </w:rPr>
                        <w:t>1</w:t>
                      </w:r>
                      <w:r w:rsidR="00576722" w:rsidRPr="000A025A">
                        <w:rPr>
                          <w:rFonts w:ascii="Garamond" w:hAnsi="Garamond" w:cs="Segoe UI"/>
                          <w:color w:val="000000" w:themeColor="text1"/>
                          <w:sz w:val="22"/>
                          <w:szCs w:val="22"/>
                          <w:shd w:val="clear" w:color="auto" w:fill="FFFFFF"/>
                        </w:rPr>
                        <w:t>)</w:t>
                      </w:r>
                      <w:r w:rsidR="00E80F6B">
                        <w:rPr>
                          <w:rFonts w:ascii="Garamond" w:hAnsi="Garamond" w:cs="Segoe UI"/>
                          <w:color w:val="000000" w:themeColor="text1"/>
                          <w:sz w:val="22"/>
                          <w:szCs w:val="22"/>
                          <w:shd w:val="clear" w:color="auto" w:fill="FFFFFF"/>
                        </w:rPr>
                        <w:t>:1 - 8</w:t>
                      </w:r>
                      <w:r w:rsidR="00576722" w:rsidRPr="000A025A">
                        <w:rPr>
                          <w:rFonts w:ascii="Garamond" w:hAnsi="Garamond" w:cs="Segoe UI"/>
                          <w:color w:val="000000" w:themeColor="text1"/>
                          <w:sz w:val="22"/>
                          <w:szCs w:val="22"/>
                          <w:shd w:val="clear" w:color="auto" w:fill="FFFFFF"/>
                        </w:rPr>
                        <w:t>.</w:t>
                      </w:r>
                      <w:r w:rsidR="00E80F6B">
                        <w:rPr>
                          <w:rFonts w:ascii="Garamond" w:hAnsi="Garamond" w:cs="Segoe UI"/>
                          <w:color w:val="000000" w:themeColor="text1"/>
                          <w:sz w:val="22"/>
                          <w:szCs w:val="22"/>
                          <w:shd w:val="clear" w:color="auto" w:fill="FFFFFF"/>
                        </w:rPr>
                        <w:t xml:space="preserve"> </w:t>
                      </w:r>
                      <w:hyperlink r:id="rId23" w:history="1">
                        <w:r w:rsidR="00E80F6B" w:rsidRPr="008D4B15">
                          <w:rPr>
                            <w:rStyle w:val="Hyperlink"/>
                            <w:rFonts w:ascii="Garamond" w:hAnsi="Garamond" w:cs="Arial"/>
                            <w:sz w:val="20"/>
                            <w:szCs w:val="20"/>
                          </w:rPr>
                          <w:t>https://doi.org/10.71637/tnhj.v26i1.909</w:t>
                        </w:r>
                      </w:hyperlink>
                    </w:p>
                    <w:p w14:paraId="13AF94AF" w14:textId="77777777" w:rsidR="00DD3D36" w:rsidRDefault="00DD3D36" w:rsidP="00D26558">
                      <w:pPr>
                        <w:pBdr>
                          <w:bottom w:val="single" w:sz="6" w:space="1" w:color="auto"/>
                        </w:pBdr>
                        <w:jc w:val="both"/>
                        <w:rPr>
                          <w:rFonts w:ascii="Garamond" w:hAnsi="Garamond" w:cs="Segoe UI"/>
                          <w:sz w:val="20"/>
                          <w:szCs w:val="20"/>
                          <w:shd w:val="clear" w:color="auto" w:fill="FFFFFF"/>
                          <w:lang w:val="en-GB"/>
                        </w:rPr>
                      </w:pPr>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87229F8" w:rsidR="000720E5" w:rsidRDefault="00F03324"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865C5C8" w14:textId="01E4AA6D" w:rsidR="00AD612E" w:rsidRPr="007265BD" w:rsidRDefault="002D7048" w:rsidP="002D7048">
      <w:pPr>
        <w:spacing w:line="259" w:lineRule="auto"/>
        <w:jc w:val="both"/>
        <w:rPr>
          <w:rFonts w:ascii="Garamond" w:hAnsi="Garamond"/>
          <w:b/>
          <w:bCs/>
          <w:iCs/>
          <w:sz w:val="20"/>
          <w:szCs w:val="20"/>
        </w:rPr>
      </w:pPr>
      <w:r w:rsidRPr="002D7048">
        <w:rPr>
          <w:rFonts w:ascii="Garamond" w:hAnsi="Garamond"/>
          <w:bCs/>
          <w:iCs/>
          <w:sz w:val="20"/>
          <w:szCs w:val="20"/>
          <w:lang w:val="id-ID"/>
        </w:rPr>
        <w:t>Preventing early medical complications, minimizing the number of damaged cells through tissue healing, stopping additional bleeding in intracerebral hemorrhage, and speeding up the recovery of overall neurological function are the key goals of comprehensive stroke management. Effective overall stroke care is anticipated to improve the patient's prognosis.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{"citationItems":[{"id":"ITEM-1","itemData":{"DOI":"10.1161/STROKEAHA.111.643098","ISSN":"1524-4628","abstract":"BACKGROUND AND PURPOSE: Cerebral infarction is a major cause of death or decreasing activities of daily living. This study aimed to investigate the efficacy of commonly used antiplatelet drugs on stroke and motor and cognitive functions in relation to oxidative stress markers and insulin-like growth factor 1 receptor (IGF-1R). METHODS: Stroke-prone spontaneously hypertensive rats were treated with vehicle, aspirin, clopidogrel, and cilostazol from 8 to 10 weeks of age. Physiological parameters, regional cerebral blood flow, and serum lipids were examined. Motor and cognitive functions were evaluated weekly by the Rotorod and water maze task. Spontaneous infarct volume, oxidative stress markers for lipid, protein, and DNA at the ischemic boundary zone of spontaneous infarction, and the IGF-1R-positive cell ratio in the hippocampus were immunohistochemically examined in brain sections. IGF-1Rβ expression in the hippocampus was assessed by Western blotting. RESULTS: The antiplatelet drugs, cilostazol and clopidogrel, reduced the spontaneous infarct volume more than aspirin. Only cilostazol improved motor and cognitive functions with a significant increase (P&lt;0.05) in the memory-related IGF-1R-positive ratio and IGF-1Rβ expression in the hippocampus. Cilostazol reduced the 4 oxidative stress markers in affected neurons in stroke-prone spontaneously hypertensive rats regardless of blood pressure, regional cerebral blood flow, or serum lipid levels. CONCLUSIONS: The present results suggest that a possible pleiotropic effect of cilostazol resulted in the reduction of spontaneous infarct volume and preservation of motor and spatial cognitive functions. The increase of IGF-1R-positive cells in the hippocampal CA1 region could partly explain the preservation of spatial cognitive function in stroke-prone spontaneously hypertensive rats.","author":[{"dropping-particle":"","family":"Omote","given":"Yoshio","non-dropping-particle":"","parse-names":false,"suffix":""},{"dropping-particle":"","family":"Deguchi","given":"Kentaro","non-dropping-particle":"","parse-names":false,"suffix":""},{"dropping-particle":"","family":"Tian","given":"FengFeng","non-dropping-particle":"","parse-names":false,"suffix":""},{"dropping-particle":"","family":"Kawai","given":"Hiromi","non-dropping-particle":"","parse-names":false,"suffix":""},{"dropping-particle":"","family":"Kurata","given":"Tomoko","non-dropping-particle":"","parse-names":false,"suffix":""},{"dropping-particle":"","family":"Yamashita","given":"Toru","non-dropping-particle":"","parse-names":false,"suffix":""},{"dropping-particle":"","family":"Ohta","given":"Yasuyuki","non-dropping-particle":"","parse-names":false,"suffix":""},{"dropping-particle":"","family":"Abe","given":"Koji","non-dropping-particle":"","parse-names":false,"suffix":""}],"container-title":"Stroke; a Journal of Cerebral Circulation","id":"ITEM-1","issue":"6","issued":{"date-parts":[["2012"]]},"language":"eng","page":"1639-1646","title":"Clinical and pathological improvement in stroke-prone spontaneous hypertensive rats related to the pleiotropic effect of cilostazol","type":"article-journal","volume":"43"},"uris":["http://www.mendeley.com/documents/?uuid=271c235f-5b27-4114-a941-7a1a8ee65cd8","http://www.mendeley.com/documents/?uuid=c546df79-b978-45be-a8d4-9996591f1dc7","http://www.mendeley.com/documents/?uuid=847c47b4-ffde-4328-a255-62a29f4d0138"]}],"mendeley":{"formattedCitation":"&lt;sup&gt;1&lt;/sup&gt;","plainTextFormattedCitation":"1","previouslyFormattedCitation":"&lt;sup&gt;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w:t>
      </w:r>
      <w:r w:rsidRPr="002D7048">
        <w:rPr>
          <w:rFonts w:ascii="Garamond" w:hAnsi="Garamond"/>
          <w:bCs/>
          <w:iCs/>
          <w:sz w:val="20"/>
          <w:szCs w:val="20"/>
        </w:rPr>
        <w:fldChar w:fldCharType="end"/>
      </w:r>
      <w:r w:rsidRPr="002D7048">
        <w:rPr>
          <w:rFonts w:ascii="Garamond" w:hAnsi="Garamond"/>
          <w:bCs/>
          <w:iCs/>
          <w:sz w:val="20"/>
          <w:szCs w:val="20"/>
          <w:lang w:val="id-ID"/>
        </w:rPr>
        <w:t xml:space="preserve"> </w:t>
      </w:r>
    </w:p>
    <w:p w14:paraId="393B9BEE" w14:textId="5475C756" w:rsidR="00AD612E" w:rsidRPr="007265BD" w:rsidRDefault="002D7048" w:rsidP="002D7048">
      <w:pPr>
        <w:spacing w:line="259" w:lineRule="auto"/>
        <w:jc w:val="both"/>
        <w:rPr>
          <w:rFonts w:ascii="Garamond" w:hAnsi="Garamond"/>
          <w:b/>
          <w:bCs/>
          <w:iCs/>
          <w:sz w:val="20"/>
          <w:szCs w:val="20"/>
        </w:rPr>
      </w:pPr>
      <w:r w:rsidRPr="002D7048">
        <w:rPr>
          <w:rFonts w:ascii="Garamond" w:hAnsi="Garamond"/>
          <w:bCs/>
          <w:iCs/>
          <w:sz w:val="20"/>
          <w:szCs w:val="20"/>
          <w:lang w:val="id-ID"/>
        </w:rPr>
        <w:t>After heart disease and cancer, stroke is the third most common cause of death and the leading cause of disability.</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{"citationItems":[{"id":"ITEM-1","itemData":{"ISBN":"978-92-4-156488-5","author":[{"dropping-particle":"","family":"Organization","given":"World Health","non-dropping-particle":"","parse-names":false,"suffix":""}],"id":"ITEM-1","issued":{"date-parts":[["2015"]]},"language":"English","publisher":"World Health Organization","publisher-place":"Geneva","title":"World health statistics 2015.","type":"book"},"uris":["http://www.mendeley.com/documents/?uuid=f5e6e10d-b974-4024-a543-304a7bf941f5","http://www.mendeley.com/documents/?uuid=db090643-c179-45e9-a17e-96c0194f98f6","http://www.mendeley.com/documents/?uuid=5a6e3a0b-2b0e-4525-b324-8753dcf07851"]}],"mendeley":{"formattedCitation":"&lt;sup&gt;2&lt;/sup&gt;","plainTextFormattedCitation":"2","previouslyFormattedCitation":"&lt;sup&gt;2&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w:t>
      </w:r>
      <w:r w:rsidRPr="002D7048">
        <w:rPr>
          <w:rFonts w:ascii="Garamond" w:hAnsi="Garamond"/>
          <w:bCs/>
          <w:iCs/>
          <w:sz w:val="20"/>
          <w:szCs w:val="20"/>
        </w:rPr>
        <w:fldChar w:fldCharType="end"/>
      </w:r>
      <w:r w:rsidRPr="002D7048">
        <w:rPr>
          <w:rFonts w:ascii="Garamond" w:hAnsi="Garamond"/>
          <w:bCs/>
          <w:iCs/>
          <w:sz w:val="20"/>
          <w:szCs w:val="20"/>
          <w:lang w:val="id-ID"/>
        </w:rPr>
        <w:t xml:space="preserve"> Long-term rehabilitation and additional treatment are frequently needed by stroke survivors. The American Heart Association has released a policy statement projecting that by 2030, the cost of managing strokes will double and the incidence of strokes among Americans between the ages of 45 and 64 will rise. The cost of managing strokes in the United States increased to $183.13 billion in 2010 from 71.55 billion, the cost of lost productivity increased from 33.65 billion to 56.54 billion annually, and the prevalence of strokes among Americans increased by 5.1%. These are some of the reasons for this increase.</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{"citationItems":[{"id":"ITEM-1","itemData":{"DOI":"10.1161/01.STR.0000034396.68980.39","ISSN":"0039-2499, 1524-4628","abstract":"Background and Purpose— Accurate information about hospital resource utilization is necessary for management of healthcare service. The purpose of this study was to determine the demographic and clinical predictors of length of hospital stay (LOS) of acute care hospitalization for first-ever ischemic stroke patients. Methods— A group of 330 patients who suffered from first-ever ischemic stroke and were consecutively admitted to a medical center in southern Taiwan were followed prospectively. Because our intention was to identify the major predictors of LOS from the information available at admission, we evaluated only those factors that could be assessed at the time of admission. Univariate analysis and multiple regression analysis were used to identify the main predictors of LOS. Results— The median LOS was 7 days (mean, 11 days; range, 1 to 122 days). Among the prespecified demographic and clinical characteristics, National Institutes of Health Stroke Scale (NIHSS) score at admission, the quadratic term of the initial NIHSS score, modified Barthel Index score at admission, small-vessel occlusion stroke, sex, and smoking were the main explanatory factors for LOS. In particular, for each 1-point increase in the total score of NIHSS, LOS increased approximately 1 day for patients with mild or moderate (score 0 to 15 points) neurological impairments, while LOS decreased approximately 1 day for patients with severe (score &gt;15 points) neurological impairments. Conclusions— The severity of stroke, as rated by the total score on NIHSS, is an important factor that influences LOS after acute stroke hospitalization.","author":[{"dropping-particle":"","family":"Chang","given":"Ku-Chou","non-dropping-particle":"","parse-names":false,"suffix":""},{"dropping-particle":"","family":"Tseng","given":"Mei-Chiun","non-dropping-particle":"","parse-names":false,"suffix":""},{"dropping-particle":"","family":"Weng","given":"Hsu-Huei","non-dropping-particle":"","parse-names":false,"suffix":""},{"dropping-particle":"","family":"Lin","given":"Yin-Hui","non-dropping-particle":"","parse-names":false,"suffix":""},{"dropping-particle":"","family":"Liou","given":"Chia-Wei","non-dropping-particle":"","parse-names":false,"suffix":""},{"dropping-particle":"","family":"Tan","given":"Teng-Yeow","non-dropping-particle":"","parse-names":false,"suffix":""}],"container-title":"Stroke","id":"ITEM-1","issue":"11","issued":{"date-parts":[["2002","9"]]},"language":"en","page":"2670-2674","title":"Prediction of Length of Stay of First-Ever Ischemic Stroke","type":"article-journal","volume":"33"},"uris":["http://www.mendeley.com/documents/?uuid=828924d8-c0af-49b6-92c8-a0ff1e038acf","http://www.mendeley.com/documents/?uuid=0e5f6fb1-1c92-433a-b971-94290bd865e4","http://www.mendeley.com/documents/?uuid=290674d8-e221-4dd8-b3ec-859a68e280d7"]}],"mendeley":{"formattedCitation":"&lt;sup&gt;3&lt;/sup&gt;","plainTextFormattedCitation":"3","previouslyFormattedCitation":"&lt;sup&gt;3&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w:t>
      </w:r>
      <w:r w:rsidRPr="002D7048">
        <w:rPr>
          <w:rFonts w:ascii="Garamond" w:hAnsi="Garamond"/>
          <w:bCs/>
          <w:iCs/>
          <w:sz w:val="20"/>
          <w:szCs w:val="20"/>
        </w:rPr>
        <w:fldChar w:fldCharType="end"/>
      </w:r>
      <w:r w:rsidRPr="002D7048">
        <w:rPr>
          <w:rFonts w:ascii="Garamond" w:hAnsi="Garamond"/>
          <w:bCs/>
          <w:iCs/>
          <w:sz w:val="20"/>
          <w:szCs w:val="20"/>
          <w:lang w:val="id-ID"/>
        </w:rPr>
        <w:t xml:space="preserve"> Per Riskesdas (2013), strokes also have the greatest death rate in Indonesia. Recurrent stroke and stroke caused by disability necessitate expensive treatment to address the issue. At Sardjito Hospital Yogyakarta, the average total cost of therapy for an ischemic stroke was Rp 4,3 million in 2007, while for a hemorrhagic stroke, it was Rp 5,3 million. The mean price of medications for ischemic stroke is Rp. 1,7 million, whereas hemorrhagic stroke costs Rp. 2,1 million.</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{"citationItems":[{"id":"ITEM-1","itemData":{"ISSN":"2088-8139","abstract":"Stroke adalah penyakit gangguan otak yang dapat mengakibatkan kematian dan kecacatan dengan biaya perawatan yang besar. Studi Cost of Illness (COI) bertujuan untuk mengukur beban ekonomi suatu penyakit. Penelitian dimaksudkan untuk melihat gambaran total biaya penyakit stroke, mengetahui perbedaan biaya riil pasien stroke rawat jalan dan rawat inap ditinjau dari faktor usia, jenis kelamin, kelas perawatan, lama perawatan, jumlah komorbid, cara bayar dan tipe stroke. Jenis penelitian adalah penelitian analitik dengan rancangan cross sectional berdasarkan perspektif rumah sakit. Pengambilan data dilakukan secara retrospektif melalui catatan medik pasien, bagian penjaminan, dan dari bagian Unit Teknologi Informatika di RSUP Dr. Sardjito Yogyakarta selama periode bulan Januari sampai Juni 2014. Variabel bebas meliputi usia, jenis kelamin, kelas perawatan, lama perawatan, jumlah komorbid, cara bayar dan tipe stroke meliputi stroke iskemik dan hemoragi, sedangkan variabel terikat adalah biaya riil pasien stroke rawat jalan dan rawat inap. Analisis data menggunakan analisis statistik deskriptif, Mann Whitney, dan Kruskal Wallis. Hasil penelitian menunjukkan bahwa total biaya penyakit stroke untuk 606 pasien adalah sebesar Rp. 5.867.281.315,97. Biaya rawat jalan menunjukkan berbeda signifikan ditinjau dari faktor usia, jenis kelamin dan cara bayar untuk stroke iskemik, sedangkan untuk stroke hemoragi menunjukkan beda signifikan ditinjau dari faktor jenis kelamin dan cara bayar. Biaya rawat inap menunjukkan beda signifikan ditinjau dari faktor usia, kelas perawatan, lama perawatan dan jumlah komorbid untuk stroke iskemik, sedangkan untuk stroke hemoragi menunjukkan beda signifikan ditinjau dari kelas perawatan, lama perawatan dan jumlah komorbid. Tipe stroke memberikan hasil perbedaan signifikan pada biaya stroke rawat jalan.","author":[{"dropping-particle":"","family":"Purbaningsih","given":"Sandi","non-dropping-particle":"","parse-names":false,"suffix":""},{"dropping-particle":"","family":"Wahyono","given":"Djoko","non-dropping-particle":"","parse-names":false,"suffix":""},{"dropping-particle":"","family":"Suparniati","given":"Endang","non-dropping-particle":"","parse-names":false,"suffix":""}],"container-title":"Journal of Management and Pharmacy Practice","id":"ITEM-1","issue":"2","issued":{"date-parts":[["2015"]]},"page":"95-103","title":"Cost of illness pasien stroke","type":"article-journal","volume":"5"},"uris":["http://www.mendeley.com/documents/?uuid=be8d61a2-84cc-4add-a3af-0df7bba1fbef","http://www.mendeley.com/documents/?uuid=cdef9cb6-11a4-4c98-a133-2b074ad11728","http://www.mendeley.com/documents/?uuid=bf590cb1-815a-4965-8805-50c395edf4a0"]}],"mendeley":{"formattedCitation":"&lt;sup&gt;4&lt;/sup&gt;","plainTextFormattedCitation":"4","previouslyFormattedCitation":"&lt;sup&gt;4&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4</w:t>
      </w:r>
      <w:r w:rsidRPr="002D7048">
        <w:rPr>
          <w:rFonts w:ascii="Garamond" w:hAnsi="Garamond"/>
          <w:bCs/>
          <w:iCs/>
          <w:sz w:val="20"/>
          <w:szCs w:val="20"/>
        </w:rPr>
        <w:fldChar w:fldCharType="end"/>
      </w:r>
      <w:r w:rsidRPr="002D7048">
        <w:rPr>
          <w:rFonts w:ascii="Garamond" w:hAnsi="Garamond"/>
          <w:bCs/>
          <w:iCs/>
          <w:sz w:val="20"/>
          <w:szCs w:val="20"/>
          <w:lang w:val="id-ID"/>
        </w:rPr>
        <w:t xml:space="preserve"> </w:t>
      </w:r>
    </w:p>
    <w:p w14:paraId="7DDD706F" w14:textId="456D01A3" w:rsidR="00AD612E" w:rsidRPr="007265BD" w:rsidRDefault="002D7048" w:rsidP="002D7048">
      <w:pPr>
        <w:spacing w:line="259" w:lineRule="auto"/>
        <w:jc w:val="both"/>
        <w:rPr>
          <w:rFonts w:ascii="Garamond" w:hAnsi="Garamond"/>
          <w:b/>
          <w:bCs/>
          <w:iCs/>
          <w:sz w:val="20"/>
          <w:szCs w:val="20"/>
        </w:rPr>
      </w:pPr>
      <w:r w:rsidRPr="002D7048">
        <w:rPr>
          <w:rFonts w:ascii="Garamond" w:hAnsi="Garamond"/>
          <w:bCs/>
          <w:iCs/>
          <w:sz w:val="20"/>
          <w:szCs w:val="20"/>
          <w:lang w:val="id-ID"/>
        </w:rPr>
        <w:t>Stroke survivors have increased every year. The main cause is an unhealthy lifestyle, such as lack of exercise, smoking, drinking alcohol or consumption of fatty foods.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{"citationItems":[{"id":"ITEM-1","itemData":{"ISBN":"978-979-29-1406-1","author":[{"dropping-particle":"","family":"Pinzon Mkes","given":"dr Rizaldy","non-dropping-particle":"","parse-names":false,"suffix":""},{"dropping-particle":"","family":"Asanti SpS","given":"dr Laksmi Asanti","non-dropping-particle":"","parse-names":false,"suffix":""}],"id":"ITEM-1","issued":{"date-parts":[["2010"]]},"language":"id","number-of-pages":"84","publisher":"Penerbit Andi","title":"Awas stroke! Pengertian, Gejala, Tindakan, Perawatan dan Pencegahan","type":"book"},"uris":["http://www.mendeley.com/documents/?uuid=26a1daf9-ce4b-42d2-8904-07120b5808af","http://www.mendeley.com/documents/?uuid=b7af98e7-6e8a-4586-9e1a-c6b8f91bcbb8","http://www.mendeley.com/documents/?uuid=0bd201c2-52cd-4d28-bb76-54ccf053c22d"]}],"mendeley":{"formattedCitation":"&lt;sup&gt;5&lt;/sup&gt;","plainTextFormattedCitation":"5","previouslyFormattedCitation":"&lt;sup&gt;5&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5</w:t>
      </w:r>
      <w:r w:rsidRPr="002D7048">
        <w:rPr>
          <w:rFonts w:ascii="Garamond" w:hAnsi="Garamond"/>
          <w:bCs/>
          <w:iCs/>
          <w:sz w:val="20"/>
          <w:szCs w:val="20"/>
        </w:rPr>
        <w:fldChar w:fldCharType="end"/>
      </w:r>
      <w:r w:rsidRPr="002D7048">
        <w:rPr>
          <w:rFonts w:ascii="Garamond" w:hAnsi="Garamond"/>
          <w:bCs/>
          <w:iCs/>
          <w:sz w:val="20"/>
          <w:szCs w:val="20"/>
          <w:lang w:val="id-ID"/>
        </w:rPr>
        <w:t xml:space="preserve"> This disease influences the decline in productivity of sufferers becoming disabled, no longer able to earn a living, becoming dependent on others, and not infrequently becoming a burden on their families so that the family economy is disrupted. In addition, it can affect both the psychological and physical for both patients and families. Stroke requires long treatment, expensive costs and requires patience and high support from family.</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{"citationItems":[{"id":"ITEM-1","itemData":{"DOI":"10.1161/STR.0b013e3181fcb238","ISSN":"0039-2499, 1524-4628","author":[{"dropping-particle":"","family":"Goldstein","given":"L B","non-dropping-particle":"","parse-names":false,"suffix":""},{"dropping-particle":"","family":"Bushnell","given":"C D","non-dropping-particle":"","parse-names":false,"suffix":""},{"dropping-particle":"","family":"Adams","given":"R J","non-dropping-particle":"","parse-names":false,"suffix":""},{"dropping-particle":"","family":"Appel","given":"L J","non-dropping-particle":"","parse-names":false,"suffix":""},{"dropping-particle":"","family":"Braun","given":"L T","non-dropping-particle":"","parse-names":false,"suffix":""},{"dropping-particle":"","family":"Chaturvedi","given":"S","non-dropping-particle":"","parse-names":false,"suffix":""},{"dropping-particle":"","family":"Creager","given":"M A","non-dropping-particle":"","parse-names":false,"suffix":""},{"dropping-particle":"","family":"Culebras","given":"A","non-dropping-particle":"","parse-names":false,"suffix":""},{"dropping-particle":"","family":"Eckel","given":"R H","non-dropping-particle":"","parse-names":false,"suffix":""},{"dropping-particle":"","family":"Hart","given":"R G","non-dropping-particle":"","parse-names":false,"suffix":""},{"dropping-particle":"","family":"Hinchey","given":"J A","non-dropping-particle":"","parse-names":false,"suffix":""},{"dropping-particle":"","family":"Howard","given":"V J","non-dropping-particle":"","parse-names":false,"suffix":""},{"dropping-particle":"","family":"Jauch","given":"E C","non-dropping-particle":"","parse-names":false,"suffix":""},{"dropping-particle":"","family":"Levine","given":"S R","non-dropping-particle":"","parse-names":false,"suffix":""},{"dropping-particle":"","family":"Meschia","given":"J F","non-dropping-particle":"","parse-names":false,"suffix":""},{"dropping-particle":"","family":"Moore","given":"W S","non-dropping-particle":"","parse-names":false,"suffix":""},{"dropping-particle":"V","family":"Nixon","given":"J","non-dropping-particle":"","parse-names":false,"suffix":""},{"dropping-particle":"","family":"Pearson","given":"T A","non-dropping-particle":"","parse-names":false,"suffix":""},{"dropping-particle":"","family":"Council","given":"on behalf of the American Heart Association Stroke","non-dropping-particle":"","parse-names":false,"suffix":""},{"dropping-particle":"","family":"Nursing","given":"Council on Cardiovascular","non-dropping-particle":"","parse-names":false,"suffix":""},{"dropping-particle":"","family":"Prevention","given":"Council on Epidemiology and","non-dropping-particle":"","parse-names":false,"suffix":""},{"dropping-particle":"","family":"Research","given":"Council for High Blood Pressure","non-dropping-particle":"","parse-names":false,"suffix":""},{"dropping-particle":"","family":"Council on Peripheral Vascular Disease","given":"and Interdisciplinary Council on Quality of Care and Outcomes Research","non-dropping-particle":"","parse-names":false,"suffix":""}],"container-title":"Stroke","id":"ITEM-1","issue":"2","issued":{"date-parts":[["2011","5"]]},"language":"en","page":"517-584","title":"Guidelines for the Primary Prevention of Stroke: A Guideline for Healthcare Professionals From the American Heart Association/American Stroke Association","type":"article-journal","volume":"42"},"uris":["http://www.mendeley.com/documents/?uuid=f337ac73-7a28-48eb-831e-926f8ec96ef3","http://www.mendeley.com/documents/?uuid=e1f3e72e-cde3-41e7-98d4-4851b8d389ac","http://www.mendeley.com/documents/?uuid=d552828a-933b-4ea8-8c4a-46e2f9b92445"]}],"mendeley":{"formattedCitation":"&lt;sup&gt;6&lt;/sup&gt;","plainTextFormattedCitation":"6","previouslyFormattedCitation":"&lt;sup&gt;6&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6</w:t>
      </w:r>
      <w:r w:rsidRPr="002D7048">
        <w:rPr>
          <w:rFonts w:ascii="Garamond" w:hAnsi="Garamond"/>
          <w:bCs/>
          <w:iCs/>
          <w:sz w:val="20"/>
          <w:szCs w:val="20"/>
        </w:rPr>
        <w:fldChar w:fldCharType="end"/>
      </w:r>
      <w:r w:rsidRPr="002D7048">
        <w:rPr>
          <w:rFonts w:ascii="Garamond" w:hAnsi="Garamond"/>
          <w:bCs/>
          <w:iCs/>
          <w:sz w:val="20"/>
          <w:szCs w:val="20"/>
          <w:lang w:val="id-ID"/>
        </w:rPr>
        <w:t xml:space="preserve"> </w:t>
      </w:r>
    </w:p>
    <w:p w14:paraId="777A28F1" w14:textId="5D2F625D" w:rsidR="002D7048" w:rsidRPr="002D7048" w:rsidRDefault="002D7048" w:rsidP="002D7048">
      <w:pPr>
        <w:spacing w:line="259" w:lineRule="auto"/>
        <w:jc w:val="both"/>
        <w:rPr>
          <w:rFonts w:ascii="Garamond" w:hAnsi="Garamond"/>
          <w:b/>
          <w:bCs/>
          <w:iCs/>
          <w:sz w:val="20"/>
          <w:szCs w:val="20"/>
        </w:rPr>
      </w:pPr>
      <w:r w:rsidRPr="002D7048">
        <w:rPr>
          <w:rFonts w:ascii="Garamond" w:hAnsi="Garamond"/>
          <w:bCs/>
          <w:iCs/>
          <w:sz w:val="20"/>
          <w:szCs w:val="20"/>
          <w:lang w:val="id-ID"/>
        </w:rPr>
        <w:t>Disease cost analysis estimates The greatest amount that could be saved if it weren't prevented. Lots of research For the past 30 years, the cost of illness has been calculated.</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{"citationItems":[{"id":"ITEM-1","itemData":{"DOI":"10.1093/eurheartj/ehi733","ISSN":"0195-668X","PMID":"16495286","abstract":"{AIMS}: Cardiovascular disease ({CVD}), together with its main components, coronary heart disease ({CHD}), and cerebrovascular diseases, is the main source of morbidity and mortality in the European Union ({EU}), but to date, there has not been any systematic cost-of-illness study to assess the economic impact of {CVD} in the {EU}.\n{METHODS} {AND} {RESULTS}: {CVD}-related expenditure was estimated using aggregate data on morbidity, mortality, and healthcare resource use. Healthcare costs were estimated from expenditure on primary, outpatient, emergency, and inpatient care, as well as medications. Costs of unpaid care and lost earnings due to morbidity and premature death were included in the study. {CVD} was estimated to cost the {EU} Euro 169 billion annually, with healthcare accounting for 62\\% of costs. Productivity losses and informal care represented 21\\% and 17\\% of costs, respectively. {CHD} represented 27\\% and cerebrovascular diseases 20\\% of overall {CVD} costs.\n{CONCLUSION}: {CVD} is a leading public health problem. Our study is the first to assess the economic burden of {CVD} across the {EU}, and our results should help policy makers evaluate policy impact and prioritize research expenditures. However, because of data unavailability, our study has important limitations, which highlight the need for more accurate and comparable {CVD}-specific information.","author":[{"dropping-particle":"","family":"Leal","given":"José","non-dropping-particle":"","parse-names":false,"suffix":""},{"dropping-particle":"","family":"Luengo-Fernández","given":"Ramón","non-dropping-particle":"","parse-names":false,"suffix":""},{"dropping-particle":"","family":"Gray","given":"Alastair","non-dropping-particle":"","parse-names":false,"suffix":""},{"dropping-particle":"","family":"Petersen","given":"Sophie","non-dropping-particle":"","parse-names":false,"suffix":""},{"dropping-particle":"","family":"Rayner","given":"Mike","non-dropping-particle":"","parse-names":false,"suffix":""}],"id":"ITEM-1","issue":"13","issued":{"date-parts":[["0"]]},"page":"1610-1619","title":"Economic burden of cardiovascular diseases in the enlarged European Union","type":"article-journal","volume":"27"},"uris":["http://www.mendeley.com/documents/?uuid=41d14d72-03ae-431a-a755-3c210fe9ac20","http://www.mendeley.com/documents/?uuid=efc4c73e-9534-4da5-80ac-8defda37534b","http://www.mendeley.com/documents/?uuid=cb762ae8-4e07-4c63-b2c7-d63865fc84db"]}],"mendeley":{"formattedCitation":"&lt;sup&gt;7&lt;/sup&gt;","plainTextFormattedCitation":"7","previouslyFormattedCitation":"&lt;sup&gt;7&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7</w:t>
      </w:r>
      <w:r w:rsidRPr="002D7048">
        <w:rPr>
          <w:rFonts w:ascii="Garamond" w:hAnsi="Garamond"/>
          <w:bCs/>
          <w:iCs/>
          <w:sz w:val="20"/>
          <w:szCs w:val="20"/>
        </w:rPr>
        <w:fldChar w:fldCharType="end"/>
      </w:r>
      <w:r w:rsidRPr="002D7048">
        <w:rPr>
          <w:rFonts w:ascii="Garamond" w:hAnsi="Garamond"/>
          <w:bCs/>
          <w:iCs/>
          <w:sz w:val="20"/>
          <w:szCs w:val="20"/>
          <w:lang w:val="id-ID"/>
        </w:rPr>
        <w:t xml:space="preserve"> The significance of the research The National Health Insurance Program (NHI), which policymakers frequently utilize, illustrates the cost of </w:t>
      </w:r>
      <w:r w:rsidRPr="002D7048">
        <w:rPr>
          <w:rFonts w:ascii="Garamond" w:hAnsi="Garamond"/>
          <w:bCs/>
          <w:iCs/>
          <w:sz w:val="20"/>
          <w:szCs w:val="20"/>
          <w:lang w:val="id-ID"/>
        </w:rPr>
        <w:t>illness. Because they demonstrate the extent to which disease affects society, the majority of this research has contributed to the discussion of public health policies.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{"citationItems":[{"id":"ITEM-1","itemData":{"author":[{"dropping-particle":"","family":"Permenkes","given":"","non-dropping-particle":"","parse-names":false,"suffix":""}],"id":"ITEM-1","issued":{"date-parts":[["2016","9"]]},"title":"PERMENKES Nomor 76 Tahun 2016 Tentang Pedoman INACBG Dalam Pelaksanaan JKN","type":"article"},"uris":["http://www.mendeley.com/documents/?uuid=35286fc7-bfe9-4c34-9a46-848626f48e05","http://www.mendeley.com/documents/?uuid=36399aab-580b-4ce7-b61e-8f120dfdf044","http://www.mendeley.com/documents/?uuid=c420b3b3-8a87-400f-acbf-c954519aa069"]}],"mendeley":{"formattedCitation":"&lt;sup&gt;8&lt;/sup&gt;","plainTextFormattedCitation":"8","previouslyFormattedCitation":"&lt;sup&gt;8&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8</w:t>
      </w:r>
      <w:r w:rsidRPr="002D7048">
        <w:rPr>
          <w:rFonts w:ascii="Garamond" w:hAnsi="Garamond"/>
          <w:bCs/>
          <w:iCs/>
          <w:sz w:val="20"/>
          <w:szCs w:val="20"/>
        </w:rPr>
        <w:fldChar w:fldCharType="end"/>
      </w:r>
      <w:r w:rsidRPr="002D7048">
        <w:rPr>
          <w:rFonts w:ascii="Garamond" w:hAnsi="Garamond"/>
          <w:bCs/>
          <w:iCs/>
          <w:sz w:val="20"/>
          <w:szCs w:val="20"/>
          <w:lang w:val="id-ID"/>
        </w:rPr>
        <w:t xml:space="preserve"> NHI Healthcare in Indonesia is a component of the National Social Security System, which attempts to safeguard all Indonesians by providing insurance coverage so they can cover their basic medical requirements through their contributions or government-funded contributions.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{"citationItems":[{"id":"ITEM-1","itemData":{"DOI":"10.1161/STROKEAHA.108.540054","ISSN":"1524-4628","abstract":"BACKGROUND AND PURPOSE: Stroke is a major health burden in China, but there are limited data on its economic effects on households. We aimed to examine the economic impact of stroke and to assess the influence of health insurance. METHODS: In a nationwide, prospective, 62-hospital registry study of acute stroke in China, we recorded information on patient demographics, clinical features, socioeconomic factors, management, and costs of medical care. Information on out-of-pocket health expenses was obtained in surviving patients at 3- and 12-month follow-up. Catastrophic healthcare payments, defined as &gt;or=30% of total household annual income, were estimated from reported household annual income. RESULTS: Among 4739 3-month survivors of stroke with outcome data, average hospital and medication costs were 16,525 Chinese Yuan Renminbi (US $2361) and out-of-pocket costs were 14,478 Chinese Yuan Renminbi (US $2068). Overall, 3384 (71%) patients had experienced catastrophic out-of-pocket expenditure. Workers without health insurance were 7 times (OR, 6.9; 95% CI, 4.6 to 10.3) more likely to experience catastrophic payments than workers with insurance. Health insurance also protected against catastrophic payments in patients who were either retired or not working (no insurance: OR, 4.7; 95% CI, 3.1 to 7.2; OR, 1.82; 95% CI, 1.3 to 2.6, respectively). CONCLUSIONS: Because healthcare costs are high relative to income in China, families face considerable economic hardship after stroke. Health insurance protects families against catastrophic healthcare payments, thus highlighting the need to accelerate the ongoing process of building a comprehensive healthcare system in both urban and rural settings in China.","author":[{"dropping-particle":"","family":"Heeley","given":"Emma","non-dropping-particle":"","parse-names":false,"suffix":""},{"dropping-particle":"","family":"Anderson","given":"Craig S","non-dropping-particle":"","parse-names":false,"suffix":""},{"dropping-particle":"","family":"Huang","given":"Yining","non-dropping-particle":"","parse-names":false,"suffix":""},{"dropping-particle":"","family":"Jan","given":"Stephen","non-dropping-particle":"","parse-names":false,"suffix":""},{"dropping-particle":"","family":"Li","given":"Yan","non-dropping-particle":"","parse-names":false,"suffix":""},{"dropping-particle":"","family":"Liu","given":"Ming","non-dropping-particle":"","parse-names":false,"suffix":""},{"dropping-particle":"","family":"Sun","given":"Jian","non-dropping-particle":"","parse-names":false,"suffix":""},{"dropping-particle":"","family":"Xu","given":"En","non-dropping-particle":"","parse-names":false,"suffix":""},{"dropping-particle":"","family":"Wu","given":"Yangfeng","non-dropping-particle":"","parse-names":false,"suffix":""},{"dropping-particle":"","family":"Yang","given":"Qidong","non-dropping-particle":"","parse-names":false,"suffix":""},{"dropping-particle":"","family":"Zhang","given":"Jingfen","non-dropping-particle":"","parse-names":false,"suffix":""},{"dropping-particle":"","family":"Zhang","given":"Shihong","non-dropping-particle":"","parse-names":false,"suffix":""},{"dropping-particle":"","family":"Wang","given":"Jiguang","non-dropping-particle":"","parse-names":false,"suffix":""},{"dropping-particle":"","family":"Investigators","given":"ChinaQUEST","non-dropping-particle":"","parse-names":false,"suffix":""}],"container-title":"Stroke","id":"ITEM-1","issue":"6","issued":{"date-parts":[["2009"]]},"language":"eng","page":"2149-2156","title":"Role of health insurance in averting economic hardship in families after acute stroke in China","type":"article-journal","volume":"40"},"uris":["http://www.mendeley.com/documents/?uuid=bb0d8cdc-7e75-4c1e-bc12-c0d7627a8dc3","http://www.mendeley.com/documents/?uuid=8d93246f-934f-4476-8f32-2411f600918b","http://www.mendeley.com/documents/?uuid=5a32313c-a9d8-411f-87b3-b529b8003bff"]}],"mendeley":{"formattedCitation":"&lt;sup&gt;9&lt;/sup&gt;","plainTextFormattedCitation":"9","previouslyFormattedCitation":"&lt;sup&gt;9&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9</w:t>
      </w:r>
      <w:r w:rsidRPr="002D7048">
        <w:rPr>
          <w:rFonts w:ascii="Garamond" w:hAnsi="Garamond"/>
          <w:bCs/>
          <w:iCs/>
          <w:sz w:val="20"/>
          <w:szCs w:val="20"/>
        </w:rPr>
        <w:fldChar w:fldCharType="end"/>
      </w:r>
      <w:r w:rsidRPr="002D7048">
        <w:rPr>
          <w:rFonts w:ascii="Garamond" w:hAnsi="Garamond"/>
          <w:bCs/>
          <w:iCs/>
          <w:sz w:val="20"/>
          <w:szCs w:val="20"/>
          <w:lang w:val="id-ID"/>
        </w:rPr>
        <w:t xml:space="preserve"> NHI financing for hospital payments uses prospective payment methods.  </w:t>
      </w:r>
    </w:p>
    <w:p w14:paraId="24819978"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zh-CN"/>
        </w:rPr>
        <w:t>This study aimed to identify the variables associated with actual hospital expenditures for stroke patients.</w:t>
      </w:r>
      <w:r w:rsidRPr="002D7048">
        <w:rPr>
          <w:rFonts w:ascii="Garamond" w:hAnsi="Garamond"/>
          <w:bCs/>
          <w:iCs/>
          <w:sz w:val="20"/>
          <w:szCs w:val="20"/>
        </w:rPr>
        <w:t xml:space="preserve"> </w:t>
      </w:r>
      <w:r w:rsidRPr="002D7048">
        <w:rPr>
          <w:rFonts w:ascii="Garamond" w:hAnsi="Garamond"/>
          <w:bCs/>
          <w:iCs/>
          <w:sz w:val="20"/>
          <w:szCs w:val="20"/>
          <w:lang w:val="id-ID"/>
        </w:rPr>
        <w:t>The hospitals analysed are ten hospitals representing government hospitals and private hospitals and are spread throughout the districts and municipalities in DI-Yogyakarta City, Indonesia. Information on factors related to the real cost for stroke patients can be used as valuable information to prevent high costs for stroke patients in hospitals.</w:t>
      </w:r>
    </w:p>
    <w:p w14:paraId="297EE687" w14:textId="77777777" w:rsidR="00AD612E" w:rsidRDefault="00AD612E" w:rsidP="002D7048">
      <w:pPr>
        <w:spacing w:line="259" w:lineRule="auto"/>
        <w:jc w:val="both"/>
        <w:rPr>
          <w:rFonts w:ascii="Garamond" w:hAnsi="Garamond"/>
          <w:b/>
          <w:bCs/>
          <w:iCs/>
          <w:sz w:val="22"/>
          <w:szCs w:val="22"/>
        </w:rPr>
      </w:pPr>
    </w:p>
    <w:p w14:paraId="1AE94412" w14:textId="4BC8B292" w:rsidR="002D7048" w:rsidRPr="002D7048" w:rsidRDefault="00F03324" w:rsidP="002D7048">
      <w:pPr>
        <w:spacing w:line="259" w:lineRule="auto"/>
        <w:jc w:val="both"/>
        <w:rPr>
          <w:rFonts w:ascii="Garamond" w:hAnsi="Garamond"/>
          <w:bCs/>
          <w:iCs/>
          <w:sz w:val="22"/>
          <w:szCs w:val="22"/>
        </w:rPr>
      </w:pPr>
      <w:r w:rsidRPr="002D7048">
        <w:rPr>
          <w:rFonts w:ascii="Garamond" w:hAnsi="Garamond"/>
          <w:b/>
          <w:bCs/>
          <w:iCs/>
          <w:sz w:val="22"/>
          <w:szCs w:val="22"/>
        </w:rPr>
        <w:t>METHODS</w:t>
      </w:r>
    </w:p>
    <w:p w14:paraId="46D973A5" w14:textId="2086FD2E" w:rsidR="00AD612E" w:rsidRPr="007265BD" w:rsidRDefault="002D7048" w:rsidP="002D7048">
      <w:pPr>
        <w:spacing w:line="259" w:lineRule="auto"/>
        <w:jc w:val="both"/>
        <w:rPr>
          <w:rFonts w:ascii="Garamond" w:hAnsi="Garamond"/>
          <w:bCs/>
          <w:iCs/>
          <w:sz w:val="20"/>
          <w:szCs w:val="20"/>
        </w:rPr>
      </w:pPr>
      <w:r w:rsidRPr="00F03324">
        <w:rPr>
          <w:rFonts w:ascii="Garamond" w:hAnsi="Garamond"/>
          <w:b/>
          <w:bCs/>
          <w:i/>
          <w:sz w:val="20"/>
          <w:szCs w:val="20"/>
          <w:lang w:val="id-ID"/>
        </w:rPr>
        <w:t>Design</w:t>
      </w:r>
      <w:r w:rsidR="00F03324" w:rsidRPr="00F03324">
        <w:rPr>
          <w:rFonts w:ascii="Garamond" w:hAnsi="Garamond"/>
          <w:bCs/>
          <w:i/>
          <w:sz w:val="20"/>
          <w:szCs w:val="20"/>
        </w:rPr>
        <w:t>:</w:t>
      </w:r>
      <w:r w:rsidR="00F03324">
        <w:rPr>
          <w:rFonts w:ascii="Garamond" w:hAnsi="Garamond"/>
          <w:bCs/>
          <w:iCs/>
          <w:sz w:val="20"/>
          <w:szCs w:val="20"/>
        </w:rPr>
        <w:t xml:space="preserve"> </w:t>
      </w:r>
      <w:proofErr w:type="spellStart"/>
      <w:r w:rsidRPr="002D7048">
        <w:rPr>
          <w:rFonts w:ascii="Garamond" w:hAnsi="Garamond"/>
          <w:bCs/>
          <w:iCs/>
          <w:sz w:val="20"/>
          <w:szCs w:val="20"/>
          <w:lang w:val="id-ID"/>
        </w:rPr>
        <w:t>This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is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an</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analytical</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approach</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using</w:t>
      </w:r>
      <w:proofErr w:type="spellEnd"/>
      <w:r w:rsidRPr="002D7048">
        <w:rPr>
          <w:rFonts w:ascii="Garamond" w:hAnsi="Garamond"/>
          <w:bCs/>
          <w:iCs/>
          <w:sz w:val="20"/>
          <w:szCs w:val="20"/>
          <w:lang w:val="id-ID"/>
        </w:rPr>
        <w:t xml:space="preserve"> </w:t>
      </w:r>
      <w:proofErr w:type="spellStart"/>
      <w:r w:rsidR="00B71A3D" w:rsidRPr="002D7048">
        <w:rPr>
          <w:rFonts w:ascii="Garamond" w:hAnsi="Garamond"/>
          <w:bCs/>
          <w:iCs/>
          <w:sz w:val="20"/>
          <w:szCs w:val="20"/>
          <w:lang w:val="id-ID"/>
        </w:rPr>
        <w:t>Cross-sectional</w:t>
      </w:r>
      <w:proofErr w:type="spellEnd"/>
      <w:r w:rsidR="00B71A3D"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design</w:t>
      </w:r>
      <w:proofErr w:type="spellEnd"/>
      <w:r w:rsidRPr="002D7048">
        <w:rPr>
          <w:rFonts w:ascii="Garamond" w:hAnsi="Garamond"/>
          <w:bCs/>
          <w:iCs/>
          <w:sz w:val="20"/>
          <w:szCs w:val="20"/>
          <w:lang w:val="id-ID"/>
        </w:rPr>
        <w:t xml:space="preserve"> </w:t>
      </w:r>
    </w:p>
    <w:p w14:paraId="008DDBA1" w14:textId="75ABA214" w:rsidR="00AD612E" w:rsidRPr="007265BD" w:rsidRDefault="002D7048" w:rsidP="002D7048">
      <w:pPr>
        <w:spacing w:line="259" w:lineRule="auto"/>
        <w:jc w:val="both"/>
        <w:rPr>
          <w:rFonts w:ascii="Garamond" w:hAnsi="Garamond"/>
          <w:bCs/>
          <w:iCs/>
          <w:sz w:val="20"/>
          <w:szCs w:val="20"/>
        </w:rPr>
      </w:pPr>
      <w:proofErr w:type="spellStart"/>
      <w:r w:rsidRPr="00F03324">
        <w:rPr>
          <w:rFonts w:ascii="Garamond" w:hAnsi="Garamond"/>
          <w:b/>
          <w:bCs/>
          <w:i/>
          <w:sz w:val="20"/>
          <w:szCs w:val="20"/>
          <w:lang w:val="id-ID"/>
        </w:rPr>
        <w:t>Samples</w:t>
      </w:r>
      <w:proofErr w:type="spellEnd"/>
      <w:r w:rsidRPr="00F03324">
        <w:rPr>
          <w:rFonts w:ascii="Garamond" w:hAnsi="Garamond"/>
          <w:b/>
          <w:bCs/>
          <w:i/>
          <w:sz w:val="20"/>
          <w:szCs w:val="20"/>
          <w:lang w:val="id-ID"/>
        </w:rPr>
        <w:t xml:space="preserve"> </w:t>
      </w:r>
      <w:proofErr w:type="spellStart"/>
      <w:r w:rsidRPr="00F03324">
        <w:rPr>
          <w:rFonts w:ascii="Garamond" w:hAnsi="Garamond"/>
          <w:b/>
          <w:bCs/>
          <w:i/>
          <w:sz w:val="20"/>
          <w:szCs w:val="20"/>
          <w:lang w:val="id-ID"/>
        </w:rPr>
        <w:t>and</w:t>
      </w:r>
      <w:proofErr w:type="spellEnd"/>
      <w:r w:rsidRPr="00F03324">
        <w:rPr>
          <w:rFonts w:ascii="Garamond" w:hAnsi="Garamond"/>
          <w:b/>
          <w:bCs/>
          <w:i/>
          <w:sz w:val="20"/>
          <w:szCs w:val="20"/>
          <w:lang w:val="id-ID"/>
        </w:rPr>
        <w:t xml:space="preserve"> </w:t>
      </w:r>
      <w:proofErr w:type="spellStart"/>
      <w:r w:rsidRPr="00F03324">
        <w:rPr>
          <w:rFonts w:ascii="Garamond" w:hAnsi="Garamond"/>
          <w:b/>
          <w:bCs/>
          <w:i/>
          <w:sz w:val="20"/>
          <w:szCs w:val="20"/>
          <w:lang w:val="id-ID"/>
        </w:rPr>
        <w:t>locations</w:t>
      </w:r>
      <w:proofErr w:type="spellEnd"/>
      <w:r w:rsidR="00F03324" w:rsidRPr="00F03324">
        <w:rPr>
          <w:rFonts w:ascii="Garamond" w:hAnsi="Garamond"/>
          <w:bCs/>
          <w:i/>
          <w:sz w:val="20"/>
          <w:szCs w:val="20"/>
        </w:rPr>
        <w:t xml:space="preserve">: </w:t>
      </w:r>
      <w:proofErr w:type="spellStart"/>
      <w:r w:rsidRPr="002D7048">
        <w:rPr>
          <w:rFonts w:ascii="Garamond" w:hAnsi="Garamond"/>
          <w:bCs/>
          <w:iCs/>
          <w:sz w:val="20"/>
          <w:szCs w:val="20"/>
          <w:lang w:val="id-ID"/>
        </w:rPr>
        <w:t>Analysis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of</w:t>
      </w:r>
      <w:proofErr w:type="spellEnd"/>
      <w:r w:rsidRPr="002D7048">
        <w:rPr>
          <w:rFonts w:ascii="Garamond" w:hAnsi="Garamond"/>
          <w:bCs/>
          <w:iCs/>
          <w:sz w:val="20"/>
          <w:szCs w:val="20"/>
          <w:lang w:val="id-ID"/>
        </w:rPr>
        <w:t xml:space="preserve"> hospital data </w:t>
      </w:r>
      <w:proofErr w:type="spellStart"/>
      <w:r w:rsidRPr="002D7048">
        <w:rPr>
          <w:rFonts w:ascii="Garamond" w:hAnsi="Garamond"/>
          <w:bCs/>
          <w:iCs/>
          <w:sz w:val="20"/>
          <w:szCs w:val="20"/>
          <w:lang w:val="id-ID"/>
        </w:rPr>
        <w:t>used</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includes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medical</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records</w:t>
      </w:r>
      <w:proofErr w:type="spellEnd"/>
      <w:r w:rsidRPr="002D7048">
        <w:rPr>
          <w:rFonts w:ascii="Garamond" w:hAnsi="Garamond"/>
          <w:bCs/>
          <w:iCs/>
          <w:sz w:val="20"/>
          <w:szCs w:val="20"/>
          <w:lang w:val="id-ID"/>
        </w:rPr>
        <w:t xml:space="preserve"> and International Financial Reporting Standard (IFRS) in the hospitals in Yogyakarta during the six months from October 1, 2021, to March 31, 2022, the beginning hospitalization date of the patient.</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uthor":[{"dropping-particle":"","family":"Eeden","given":"Mitchel","non-dropping-particle":"van","parse-names":false,"suffix":""},{"dropping-particle":"","family":"Heugten","given":"Caroline","non-dropping-particle":"van","parse-names":false,"suffix":""},{"dropping-particle":"","family":"Mastrigt","given":"GAPG","non-dropping-particle":"van","parse-names":false,"suffix":""},{"dropping-particle":"","family":"Mierlo","given":"M","non-dropping-particle":"van","parse-names":false,"suffix":""},{"dropping-particle":"","family":"Visser-Meily","given":"J M A","non-dropping-particle":"","parse-names":false,"suffix":""},{"dropping-particle":"","family":"Evers","given":"SMAA","non-dropping-particle":"","parse-names":false,"suffix":""}],"container-title":"BMJ open","id":"ITEM-1","issue":"11","issued":{"date-parts":[["2015","3"]]},"page":"e008220","title":"The burden of stroke in the Netherlands: estimating quality of life and costs for 1 year poststroke","type":"article-journal","volume":"5"},"uris":["http://www.mendeley.com/documents/?uuid=ccd13571-5a9c-44bd-a922-bbb35a6822d7","http://www.mendeley.com/documents/?uuid=aa6411fb-7899-41d2-aa43-5e31d2dd7b7e","http://www.mendeley.com/documents/?uuid=36413c9b-5c0d-43ee-abd3-cbabfc00ac7f"]}],"mendeley":{"formattedCitation":"&lt;sup&gt;10&lt;/sup&gt;","plainTextFormattedCitation":"10","previouslyFormattedCitation":"&lt;sup&gt;10&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10</w:t>
      </w:r>
      <w:r w:rsidRPr="002D7048">
        <w:rPr>
          <w:rFonts w:ascii="Garamond" w:hAnsi="Garamond"/>
          <w:bCs/>
          <w:iCs/>
          <w:sz w:val="20"/>
          <w:szCs w:val="20"/>
        </w:rPr>
        <w:fldChar w:fldCharType="end"/>
      </w:r>
      <w:r w:rsidRPr="002D7048">
        <w:rPr>
          <w:rFonts w:ascii="Garamond" w:hAnsi="Garamond"/>
          <w:bCs/>
          <w:iCs/>
          <w:sz w:val="20"/>
          <w:szCs w:val="20"/>
          <w:lang w:val="id-ID"/>
        </w:rPr>
        <w:t xml:space="preserve"> The inclusion criteria of the study subjects were patients who were supported by NHI, first-attack ischemic stroke patients, 24-hour ≤ onset and non-referral. Exclusion criteria if the patient's direct medical cost data is incomplete. The research subjects used were patients with stroke in hospitals in the DI-Yogyakarta Region (including 5 government hospitals and 5 private hospitals representing all regencies and municipalities). The total samples are 416 samples were recruited from the total sampling method. The data of patients were taken from the stroke register for INA-CBG's data. </w:t>
      </w:r>
    </w:p>
    <w:p w14:paraId="47B44A70" w14:textId="15C9DFED" w:rsidR="002D7048" w:rsidRPr="002D7048" w:rsidRDefault="002D7048" w:rsidP="002D7048">
      <w:pPr>
        <w:spacing w:line="259" w:lineRule="auto"/>
        <w:jc w:val="both"/>
        <w:rPr>
          <w:rFonts w:ascii="Garamond" w:hAnsi="Garamond"/>
          <w:bCs/>
          <w:iCs/>
          <w:sz w:val="20"/>
          <w:szCs w:val="20"/>
        </w:rPr>
      </w:pPr>
      <w:r w:rsidRPr="00F03324">
        <w:rPr>
          <w:rFonts w:ascii="Garamond" w:hAnsi="Garamond"/>
          <w:b/>
          <w:bCs/>
          <w:i/>
          <w:sz w:val="20"/>
          <w:szCs w:val="20"/>
          <w:lang w:val="zh-CN"/>
        </w:rPr>
        <w:t>Data collection</w:t>
      </w:r>
      <w:r w:rsidRPr="00F03324">
        <w:rPr>
          <w:rFonts w:ascii="Garamond" w:hAnsi="Garamond"/>
          <w:b/>
          <w:bCs/>
          <w:i/>
          <w:sz w:val="20"/>
          <w:szCs w:val="20"/>
        </w:rPr>
        <w:t xml:space="preserve"> and analysis</w:t>
      </w:r>
      <w:r w:rsidR="00F03324" w:rsidRPr="00F03324">
        <w:rPr>
          <w:rFonts w:ascii="Garamond" w:hAnsi="Garamond"/>
          <w:bCs/>
          <w:i/>
          <w:sz w:val="20"/>
          <w:szCs w:val="20"/>
        </w:rPr>
        <w:t>:</w:t>
      </w:r>
      <w:r w:rsidR="00F03324">
        <w:rPr>
          <w:rFonts w:ascii="Garamond" w:hAnsi="Garamond"/>
          <w:bCs/>
          <w:iCs/>
          <w:sz w:val="20"/>
          <w:szCs w:val="20"/>
        </w:rPr>
        <w:t xml:space="preserve"> </w:t>
      </w:r>
      <w:r w:rsidRPr="002D7048">
        <w:rPr>
          <w:rFonts w:ascii="Garamond" w:hAnsi="Garamond"/>
          <w:bCs/>
          <w:iCs/>
          <w:sz w:val="20"/>
          <w:szCs w:val="20"/>
        </w:rPr>
        <w:t>Depending on the type of treatment needed and the severity of the stroke, hospital stroke treatment costs can vary. The average cost of treating a minor stroke is between IDR 5,000,000 and IDR 20,000,000 for the first few months of treatment and rehabilitation. Treating a more serious stroke can cost up to IDR 450,000,000. Stroke patients can receive completely paid treatment services if they need inpatient care at a hospital that partners with government health insurance.</w:t>
      </w:r>
    </w:p>
    <w:p w14:paraId="77520A06" w14:textId="71DC13DD" w:rsidR="002D7048" w:rsidRPr="00F03324"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rPr>
        <w:lastRenderedPageBreak/>
        <w:t xml:space="preserve">The data source in this research uses secondary data sources, namely analyzing patient medical record data. Researchers collected data in the period 1 October 2021 to 31 March 2022 at 10 hospitals by looking at the medical records of 619 stroke patients and the actual costs incurred by the hospitals for each patient.  </w:t>
      </w:r>
      <w:r w:rsidRPr="002D7048">
        <w:rPr>
          <w:rFonts w:ascii="Garamond" w:hAnsi="Garamond"/>
          <w:bCs/>
          <w:iCs/>
          <w:sz w:val="20"/>
          <w:szCs w:val="20"/>
          <w:lang w:val="id-ID"/>
        </w:rPr>
        <w:t xml:space="preserve">Calculation of the number of samples for this study for each location of health facilities. The total sampling </w:t>
      </w:r>
      <w:r w:rsidRPr="002D7048">
        <w:rPr>
          <w:rFonts w:ascii="Garamond" w:hAnsi="Garamond"/>
          <w:bCs/>
          <w:iCs/>
          <w:sz w:val="20"/>
          <w:szCs w:val="20"/>
          <w:lang w:val="id-ID"/>
        </w:rPr>
        <w:t xml:space="preserve">method is used to collect data on direct medical costs.  from 10 hospitals with medical record data for 619 stroke patients, researchers recorded and analyzed starting from data completeness, patient age, gender, </w:t>
      </w:r>
      <w:proofErr w:type="spellStart"/>
      <w:r w:rsidRPr="002D7048">
        <w:rPr>
          <w:rFonts w:ascii="Garamond" w:hAnsi="Garamond"/>
          <w:bCs/>
          <w:iCs/>
          <w:sz w:val="20"/>
          <w:szCs w:val="20"/>
          <w:lang w:val="id-ID"/>
        </w:rPr>
        <w:t>length</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of</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stay</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inpatient</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classes</w:t>
      </w:r>
      <w:proofErr w:type="spellEnd"/>
      <w:r w:rsidRPr="002D7048">
        <w:rPr>
          <w:rFonts w:ascii="Garamond" w:hAnsi="Garamond"/>
          <w:bCs/>
          <w:iCs/>
          <w:sz w:val="20"/>
          <w:szCs w:val="20"/>
          <w:lang w:val="id-ID"/>
        </w:rPr>
        <w:t xml:space="preserve">, hospital </w:t>
      </w:r>
      <w:proofErr w:type="spellStart"/>
      <w:r w:rsidRPr="002D7048">
        <w:rPr>
          <w:rFonts w:ascii="Garamond" w:hAnsi="Garamond"/>
          <w:bCs/>
          <w:iCs/>
          <w:sz w:val="20"/>
          <w:szCs w:val="20"/>
          <w:lang w:val="id-ID"/>
        </w:rPr>
        <w:t>types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and</w:t>
      </w:r>
      <w:proofErr w:type="spellEnd"/>
      <w:r w:rsidRPr="002D7048">
        <w:rPr>
          <w:rFonts w:ascii="Garamond" w:hAnsi="Garamond"/>
          <w:bCs/>
          <w:iCs/>
          <w:sz w:val="20"/>
          <w:szCs w:val="20"/>
          <w:lang w:val="id-ID"/>
        </w:rPr>
        <w:t xml:space="preserve"> real </w:t>
      </w:r>
      <w:proofErr w:type="spellStart"/>
      <w:r w:rsidRPr="002D7048">
        <w:rPr>
          <w:rFonts w:ascii="Garamond" w:hAnsi="Garamond"/>
          <w:bCs/>
          <w:iCs/>
          <w:sz w:val="20"/>
          <w:szCs w:val="20"/>
          <w:lang w:val="id-ID"/>
        </w:rPr>
        <w:t>costs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for</w:t>
      </w:r>
      <w:proofErr w:type="spellEnd"/>
      <w:r w:rsidRPr="002D7048">
        <w:rPr>
          <w:rFonts w:ascii="Garamond" w:hAnsi="Garamond"/>
          <w:bCs/>
          <w:iCs/>
          <w:sz w:val="20"/>
          <w:szCs w:val="20"/>
          <w:lang w:val="id-ID"/>
        </w:rPr>
        <w:t xml:space="preserve"> stroke </w:t>
      </w:r>
      <w:proofErr w:type="spellStart"/>
      <w:r w:rsidRPr="002D7048">
        <w:rPr>
          <w:rFonts w:ascii="Garamond" w:hAnsi="Garamond"/>
          <w:bCs/>
          <w:iCs/>
          <w:sz w:val="20"/>
          <w:szCs w:val="20"/>
          <w:lang w:val="id-ID"/>
        </w:rPr>
        <w:t>patients</w:t>
      </w:r>
      <w:proofErr w:type="spellEnd"/>
      <w:r w:rsidR="00F03324">
        <w:rPr>
          <w:rFonts w:ascii="Garamond" w:hAnsi="Garamond"/>
          <w:bCs/>
          <w:iCs/>
          <w:sz w:val="20"/>
          <w:szCs w:val="20"/>
          <w:lang w:val="id-ID"/>
        </w:rPr>
        <w:t xml:space="preserve">. </w:t>
      </w:r>
      <w:proofErr w:type="spellStart"/>
      <w:r w:rsidRPr="002D7048">
        <w:rPr>
          <w:rFonts w:ascii="Garamond" w:hAnsi="Garamond"/>
          <w:b/>
          <w:bCs/>
          <w:iCs/>
          <w:sz w:val="20"/>
          <w:szCs w:val="20"/>
          <w:lang w:val="id-ID"/>
        </w:rPr>
        <w:t>Table</w:t>
      </w:r>
      <w:proofErr w:type="spellEnd"/>
      <w:r w:rsidRPr="002D7048">
        <w:rPr>
          <w:rFonts w:ascii="Garamond" w:hAnsi="Garamond"/>
          <w:b/>
          <w:bCs/>
          <w:iCs/>
          <w:sz w:val="20"/>
          <w:szCs w:val="20"/>
          <w:lang w:val="id-ID"/>
        </w:rPr>
        <w:t xml:space="preserve"> 1</w:t>
      </w:r>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presents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the</w:t>
      </w:r>
      <w:proofErr w:type="spellEnd"/>
      <w:r w:rsidRPr="002D7048">
        <w:rPr>
          <w:rFonts w:ascii="Garamond" w:hAnsi="Garamond"/>
          <w:bCs/>
          <w:iCs/>
          <w:sz w:val="20"/>
          <w:szCs w:val="20"/>
          <w:lang w:val="id-ID"/>
        </w:rPr>
        <w:t xml:space="preserve"> data for reading. </w:t>
      </w:r>
    </w:p>
    <w:p w14:paraId="73905A3E" w14:textId="77777777" w:rsidR="00057CF5" w:rsidRDefault="00057CF5" w:rsidP="007A1526">
      <w:pPr>
        <w:spacing w:line="259" w:lineRule="auto"/>
        <w:jc w:val="both"/>
        <w:rPr>
          <w:rFonts w:ascii="Garamond" w:hAnsi="Garamond"/>
          <w:bCs/>
          <w:iCs/>
          <w:sz w:val="20"/>
          <w:szCs w:val="20"/>
        </w:rPr>
      </w:pPr>
    </w:p>
    <w:p w14:paraId="0721CBE9" w14:textId="77777777" w:rsidR="002D7048" w:rsidRDefault="002D7048" w:rsidP="007A1526">
      <w:pPr>
        <w:spacing w:line="259" w:lineRule="auto"/>
        <w:jc w:val="both"/>
        <w:rPr>
          <w:rFonts w:ascii="Garamond" w:hAnsi="Garamond"/>
          <w:bCs/>
          <w:iCs/>
          <w:sz w:val="20"/>
          <w:szCs w:val="20"/>
        </w:rPr>
        <w:sectPr w:rsidR="002D7048" w:rsidSect="003D02D5">
          <w:type w:val="continuous"/>
          <w:pgSz w:w="12240" w:h="15840"/>
          <w:pgMar w:top="1440" w:right="1440" w:bottom="1440" w:left="1440" w:header="720" w:footer="720" w:gutter="0"/>
          <w:cols w:num="2" w:space="720"/>
          <w:titlePg/>
          <w:docGrid w:linePitch="360"/>
        </w:sectPr>
      </w:pPr>
    </w:p>
    <w:p w14:paraId="4525D616" w14:textId="77777777" w:rsidR="002D7048" w:rsidRDefault="002D7048" w:rsidP="007A1526">
      <w:pPr>
        <w:spacing w:line="259" w:lineRule="auto"/>
        <w:jc w:val="both"/>
        <w:rPr>
          <w:rFonts w:ascii="Garamond" w:hAnsi="Garamond"/>
          <w:bCs/>
          <w:iCs/>
          <w:sz w:val="20"/>
          <w:szCs w:val="20"/>
        </w:rPr>
      </w:pPr>
    </w:p>
    <w:p w14:paraId="63834173" w14:textId="77777777" w:rsidR="002D7048" w:rsidRPr="007265BD" w:rsidRDefault="002D7048" w:rsidP="002D7048">
      <w:pPr>
        <w:spacing w:line="259" w:lineRule="auto"/>
        <w:jc w:val="both"/>
        <w:rPr>
          <w:rFonts w:ascii="Garamond" w:hAnsi="Garamond"/>
          <w:iCs/>
          <w:sz w:val="20"/>
          <w:szCs w:val="20"/>
        </w:rPr>
      </w:pPr>
      <w:bookmarkStart w:id="10" w:name="_Toc39265742"/>
      <w:bookmarkStart w:id="11" w:name="_Toc62430075"/>
      <w:r w:rsidRPr="002D7048">
        <w:rPr>
          <w:rFonts w:ascii="Garamond" w:hAnsi="Garamond"/>
          <w:b/>
          <w:bCs/>
          <w:iCs/>
          <w:sz w:val="20"/>
          <w:szCs w:val="20"/>
          <w:lang w:val="id-ID"/>
        </w:rPr>
        <w:t xml:space="preserve">Table 1. </w:t>
      </w:r>
      <w:r w:rsidRPr="007265BD">
        <w:rPr>
          <w:rFonts w:ascii="Garamond" w:hAnsi="Garamond"/>
          <w:iCs/>
          <w:sz w:val="20"/>
          <w:szCs w:val="20"/>
          <w:lang w:val="id-ID"/>
        </w:rPr>
        <w:t>Calculation of the minimum sample count</w:t>
      </w:r>
      <w:bookmarkEnd w:id="10"/>
      <w:bookmarkEnd w:id="11"/>
    </w:p>
    <w:tbl>
      <w:tblPr>
        <w:tblStyle w:val="TableGrid2"/>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3"/>
        <w:gridCol w:w="977"/>
        <w:gridCol w:w="15"/>
        <w:gridCol w:w="694"/>
        <w:gridCol w:w="15"/>
        <w:gridCol w:w="977"/>
        <w:gridCol w:w="15"/>
        <w:gridCol w:w="694"/>
        <w:gridCol w:w="15"/>
        <w:gridCol w:w="945"/>
        <w:gridCol w:w="32"/>
        <w:gridCol w:w="677"/>
        <w:gridCol w:w="32"/>
        <w:gridCol w:w="1134"/>
        <w:gridCol w:w="32"/>
        <w:gridCol w:w="933"/>
        <w:gridCol w:w="27"/>
        <w:gridCol w:w="930"/>
        <w:gridCol w:w="62"/>
        <w:gridCol w:w="931"/>
        <w:gridCol w:w="61"/>
      </w:tblGrid>
      <w:tr w:rsidR="002D7048" w:rsidRPr="002D7048" w14:paraId="0CAF7679" w14:textId="77777777" w:rsidTr="007265BD">
        <w:trPr>
          <w:gridAfter w:val="1"/>
          <w:wAfter w:w="61" w:type="dxa"/>
          <w:trHeight w:val="20"/>
        </w:trPr>
        <w:tc>
          <w:tcPr>
            <w:tcW w:w="1003" w:type="dxa"/>
            <w:tcBorders>
              <w:top w:val="single" w:sz="4" w:space="0" w:color="auto"/>
              <w:bottom w:val="single" w:sz="4" w:space="0" w:color="auto"/>
            </w:tcBorders>
            <w:hideMark/>
          </w:tcPr>
          <w:p w14:paraId="76EFE9E6" w14:textId="77777777" w:rsidR="002D7048" w:rsidRPr="00F03324" w:rsidRDefault="002D7048" w:rsidP="007265BD">
            <w:pPr>
              <w:spacing w:line="259" w:lineRule="auto"/>
              <w:ind w:left="0"/>
              <w:rPr>
                <w:rFonts w:ascii="Garamond" w:hAnsi="Garamond"/>
                <w:b/>
                <w:iCs/>
                <w:sz w:val="19"/>
                <w:szCs w:val="19"/>
                <w:lang w:val="id-ID"/>
              </w:rPr>
            </w:pPr>
            <w:bookmarkStart w:id="12" w:name="_Hlk150284844"/>
            <w:r w:rsidRPr="00F03324">
              <w:rPr>
                <w:rFonts w:ascii="Garamond" w:hAnsi="Garamond"/>
                <w:b/>
                <w:iCs/>
                <w:sz w:val="19"/>
                <w:szCs w:val="19"/>
                <w:lang w:val="id-ID"/>
              </w:rPr>
              <w:t xml:space="preserve">Hospital  </w:t>
            </w:r>
            <w:proofErr w:type="spellStart"/>
            <w:r w:rsidRPr="00F03324">
              <w:rPr>
                <w:rFonts w:ascii="Garamond" w:hAnsi="Garamond"/>
                <w:b/>
                <w:iCs/>
                <w:sz w:val="19"/>
                <w:szCs w:val="19"/>
                <w:lang w:val="id-ID"/>
              </w:rPr>
              <w:t>Name</w:t>
            </w:r>
            <w:proofErr w:type="spellEnd"/>
          </w:p>
        </w:tc>
        <w:tc>
          <w:tcPr>
            <w:tcW w:w="992" w:type="dxa"/>
            <w:gridSpan w:val="2"/>
            <w:tcBorders>
              <w:top w:val="single" w:sz="4" w:space="0" w:color="auto"/>
              <w:bottom w:val="single" w:sz="4" w:space="0" w:color="auto"/>
            </w:tcBorders>
            <w:hideMark/>
          </w:tcPr>
          <w:p w14:paraId="6CED2093"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Bethesda Hospital</w:t>
            </w:r>
          </w:p>
        </w:tc>
        <w:tc>
          <w:tcPr>
            <w:tcW w:w="709" w:type="dxa"/>
            <w:gridSpan w:val="2"/>
            <w:tcBorders>
              <w:top w:val="single" w:sz="4" w:space="0" w:color="auto"/>
              <w:bottom w:val="single" w:sz="4" w:space="0" w:color="auto"/>
            </w:tcBorders>
            <w:hideMark/>
          </w:tcPr>
          <w:p w14:paraId="6007A9B3"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Yogya Hospital</w:t>
            </w:r>
          </w:p>
        </w:tc>
        <w:tc>
          <w:tcPr>
            <w:tcW w:w="992" w:type="dxa"/>
            <w:gridSpan w:val="2"/>
            <w:tcBorders>
              <w:top w:val="single" w:sz="4" w:space="0" w:color="auto"/>
              <w:bottom w:val="single" w:sz="4" w:space="0" w:color="auto"/>
            </w:tcBorders>
            <w:hideMark/>
          </w:tcPr>
          <w:p w14:paraId="21063370"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Panti Rapih Hospital</w:t>
            </w:r>
          </w:p>
        </w:tc>
        <w:tc>
          <w:tcPr>
            <w:tcW w:w="709" w:type="dxa"/>
            <w:gridSpan w:val="2"/>
            <w:tcBorders>
              <w:top w:val="single" w:sz="4" w:space="0" w:color="auto"/>
              <w:bottom w:val="single" w:sz="4" w:space="0" w:color="auto"/>
            </w:tcBorders>
            <w:hideMark/>
          </w:tcPr>
          <w:p w14:paraId="05F00963"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Sleman Hospital</w:t>
            </w:r>
          </w:p>
        </w:tc>
        <w:tc>
          <w:tcPr>
            <w:tcW w:w="945" w:type="dxa"/>
            <w:tcBorders>
              <w:top w:val="single" w:sz="4" w:space="0" w:color="auto"/>
              <w:bottom w:val="single" w:sz="4" w:space="0" w:color="auto"/>
            </w:tcBorders>
            <w:hideMark/>
          </w:tcPr>
          <w:p w14:paraId="64A4C932" w14:textId="77777777" w:rsidR="002D7048" w:rsidRPr="00F03324" w:rsidRDefault="002D7048" w:rsidP="007265BD">
            <w:pPr>
              <w:spacing w:line="259" w:lineRule="auto"/>
              <w:ind w:left="0" w:firstLine="128"/>
              <w:rPr>
                <w:rFonts w:ascii="Garamond" w:hAnsi="Garamond"/>
                <w:b/>
                <w:iCs/>
                <w:sz w:val="19"/>
                <w:szCs w:val="19"/>
                <w:lang w:val="id-ID"/>
              </w:rPr>
            </w:pPr>
            <w:r w:rsidRPr="00F03324">
              <w:rPr>
                <w:rFonts w:ascii="Garamond" w:hAnsi="Garamond"/>
                <w:b/>
                <w:iCs/>
                <w:sz w:val="19"/>
                <w:szCs w:val="19"/>
                <w:lang w:val="id-ID"/>
              </w:rPr>
              <w:t>Rizki Amalia Medika Hospital</w:t>
            </w:r>
          </w:p>
        </w:tc>
        <w:tc>
          <w:tcPr>
            <w:tcW w:w="709" w:type="dxa"/>
            <w:gridSpan w:val="2"/>
            <w:tcBorders>
              <w:top w:val="single" w:sz="4" w:space="0" w:color="auto"/>
              <w:bottom w:val="single" w:sz="4" w:space="0" w:color="auto"/>
            </w:tcBorders>
            <w:hideMark/>
          </w:tcPr>
          <w:p w14:paraId="20C75FC7"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Wates Hospital</w:t>
            </w:r>
          </w:p>
        </w:tc>
        <w:tc>
          <w:tcPr>
            <w:tcW w:w="1198" w:type="dxa"/>
            <w:gridSpan w:val="3"/>
            <w:tcBorders>
              <w:top w:val="single" w:sz="4" w:space="0" w:color="auto"/>
              <w:bottom w:val="single" w:sz="4" w:space="0" w:color="auto"/>
            </w:tcBorders>
            <w:hideMark/>
          </w:tcPr>
          <w:p w14:paraId="1BB21C41"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PKU Bantul Hospital</w:t>
            </w:r>
          </w:p>
        </w:tc>
        <w:tc>
          <w:tcPr>
            <w:tcW w:w="933" w:type="dxa"/>
            <w:tcBorders>
              <w:top w:val="single" w:sz="4" w:space="0" w:color="auto"/>
              <w:bottom w:val="single" w:sz="4" w:space="0" w:color="auto"/>
            </w:tcBorders>
            <w:hideMark/>
          </w:tcPr>
          <w:p w14:paraId="1AF29D9E"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Panembahan Senopati Hospital</w:t>
            </w:r>
          </w:p>
        </w:tc>
        <w:tc>
          <w:tcPr>
            <w:tcW w:w="957" w:type="dxa"/>
            <w:gridSpan w:val="2"/>
            <w:tcBorders>
              <w:top w:val="single" w:sz="4" w:space="0" w:color="auto"/>
              <w:bottom w:val="single" w:sz="4" w:space="0" w:color="auto"/>
            </w:tcBorders>
            <w:hideMark/>
          </w:tcPr>
          <w:p w14:paraId="68956C1F"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Nur Rohmah Hospital</w:t>
            </w:r>
          </w:p>
        </w:tc>
        <w:tc>
          <w:tcPr>
            <w:tcW w:w="993" w:type="dxa"/>
            <w:gridSpan w:val="2"/>
            <w:tcBorders>
              <w:top w:val="single" w:sz="4" w:space="0" w:color="auto"/>
              <w:bottom w:val="single" w:sz="4" w:space="0" w:color="auto"/>
            </w:tcBorders>
            <w:hideMark/>
          </w:tcPr>
          <w:p w14:paraId="4761C42B" w14:textId="77777777" w:rsidR="002D7048" w:rsidRPr="00F03324" w:rsidRDefault="002D7048" w:rsidP="007265BD">
            <w:pPr>
              <w:spacing w:line="259" w:lineRule="auto"/>
              <w:ind w:left="0"/>
              <w:rPr>
                <w:rFonts w:ascii="Garamond" w:hAnsi="Garamond"/>
                <w:b/>
                <w:iCs/>
                <w:sz w:val="19"/>
                <w:szCs w:val="19"/>
                <w:lang w:val="id-ID"/>
              </w:rPr>
            </w:pPr>
            <w:r w:rsidRPr="00F03324">
              <w:rPr>
                <w:rFonts w:ascii="Garamond" w:hAnsi="Garamond"/>
                <w:b/>
                <w:iCs/>
                <w:sz w:val="19"/>
                <w:szCs w:val="19"/>
                <w:lang w:val="id-ID"/>
              </w:rPr>
              <w:t>Wonosari Hospital</w:t>
            </w:r>
          </w:p>
        </w:tc>
      </w:tr>
      <w:tr w:rsidR="002D7048" w:rsidRPr="002D7048" w14:paraId="69B58902" w14:textId="77777777" w:rsidTr="007265BD">
        <w:trPr>
          <w:trHeight w:val="20"/>
        </w:trPr>
        <w:tc>
          <w:tcPr>
            <w:tcW w:w="1003" w:type="dxa"/>
            <w:hideMark/>
          </w:tcPr>
          <w:p w14:paraId="4260B30F" w14:textId="77777777" w:rsidR="002D7048" w:rsidRPr="002D7048" w:rsidRDefault="002D7048" w:rsidP="007265BD">
            <w:pPr>
              <w:spacing w:line="259" w:lineRule="auto"/>
              <w:ind w:left="0" w:firstLine="0"/>
              <w:jc w:val="both"/>
              <w:rPr>
                <w:rFonts w:ascii="Garamond" w:hAnsi="Garamond"/>
                <w:bCs/>
                <w:iCs/>
                <w:sz w:val="20"/>
                <w:szCs w:val="20"/>
                <w:lang w:val="id-ID"/>
              </w:rPr>
            </w:pPr>
            <w:proofErr w:type="spellStart"/>
            <w:r w:rsidRPr="002D7048">
              <w:rPr>
                <w:rFonts w:ascii="Garamond" w:hAnsi="Garamond"/>
                <w:bCs/>
                <w:iCs/>
                <w:sz w:val="20"/>
                <w:szCs w:val="20"/>
                <w:lang w:val="id-ID"/>
              </w:rPr>
              <w:t>Precision</w:t>
            </w:r>
            <w:proofErr w:type="spellEnd"/>
          </w:p>
        </w:tc>
        <w:tc>
          <w:tcPr>
            <w:tcW w:w="977" w:type="dxa"/>
            <w:noWrap/>
            <w:hideMark/>
          </w:tcPr>
          <w:p w14:paraId="12C21BA5"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709" w:type="dxa"/>
            <w:gridSpan w:val="2"/>
            <w:noWrap/>
            <w:hideMark/>
          </w:tcPr>
          <w:p w14:paraId="3BAB5093"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992" w:type="dxa"/>
            <w:gridSpan w:val="2"/>
            <w:noWrap/>
            <w:hideMark/>
          </w:tcPr>
          <w:p w14:paraId="363EE3C1"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709" w:type="dxa"/>
            <w:gridSpan w:val="2"/>
            <w:noWrap/>
            <w:hideMark/>
          </w:tcPr>
          <w:p w14:paraId="25B4407A"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992" w:type="dxa"/>
            <w:gridSpan w:val="3"/>
            <w:noWrap/>
            <w:hideMark/>
          </w:tcPr>
          <w:p w14:paraId="0F1A483D"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709" w:type="dxa"/>
            <w:gridSpan w:val="2"/>
            <w:noWrap/>
            <w:hideMark/>
          </w:tcPr>
          <w:p w14:paraId="7E51FD4F"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1134" w:type="dxa"/>
            <w:noWrap/>
            <w:hideMark/>
          </w:tcPr>
          <w:p w14:paraId="2A6FC5E6"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992" w:type="dxa"/>
            <w:gridSpan w:val="3"/>
            <w:noWrap/>
            <w:hideMark/>
          </w:tcPr>
          <w:p w14:paraId="1D07C852"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992" w:type="dxa"/>
            <w:gridSpan w:val="2"/>
            <w:noWrap/>
            <w:hideMark/>
          </w:tcPr>
          <w:p w14:paraId="4E9CBB5E"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c>
          <w:tcPr>
            <w:tcW w:w="992" w:type="dxa"/>
            <w:gridSpan w:val="2"/>
            <w:noWrap/>
            <w:hideMark/>
          </w:tcPr>
          <w:p w14:paraId="6DCCED39"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0,1</w:t>
            </w:r>
          </w:p>
        </w:tc>
      </w:tr>
      <w:tr w:rsidR="002D7048" w:rsidRPr="002D7048" w14:paraId="113F2E6F" w14:textId="77777777" w:rsidTr="007265BD">
        <w:trPr>
          <w:trHeight w:val="20"/>
        </w:trPr>
        <w:tc>
          <w:tcPr>
            <w:tcW w:w="1003" w:type="dxa"/>
            <w:hideMark/>
          </w:tcPr>
          <w:p w14:paraId="745601BE"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CV</w:t>
            </w:r>
          </w:p>
        </w:tc>
        <w:tc>
          <w:tcPr>
            <w:tcW w:w="977" w:type="dxa"/>
            <w:noWrap/>
            <w:hideMark/>
          </w:tcPr>
          <w:p w14:paraId="228DC512"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709" w:type="dxa"/>
            <w:gridSpan w:val="2"/>
            <w:noWrap/>
            <w:hideMark/>
          </w:tcPr>
          <w:p w14:paraId="33CDFE82"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0,648</w:t>
            </w:r>
          </w:p>
        </w:tc>
        <w:tc>
          <w:tcPr>
            <w:tcW w:w="992" w:type="dxa"/>
            <w:gridSpan w:val="2"/>
            <w:noWrap/>
            <w:hideMark/>
          </w:tcPr>
          <w:p w14:paraId="00A99932"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709" w:type="dxa"/>
            <w:gridSpan w:val="2"/>
            <w:noWrap/>
            <w:hideMark/>
          </w:tcPr>
          <w:p w14:paraId="0566D016"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0,648</w:t>
            </w:r>
          </w:p>
        </w:tc>
        <w:tc>
          <w:tcPr>
            <w:tcW w:w="992" w:type="dxa"/>
            <w:gridSpan w:val="3"/>
            <w:noWrap/>
            <w:hideMark/>
          </w:tcPr>
          <w:p w14:paraId="544982F5"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709" w:type="dxa"/>
            <w:gridSpan w:val="2"/>
            <w:noWrap/>
            <w:hideMark/>
          </w:tcPr>
          <w:p w14:paraId="2331C15D"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0,648</w:t>
            </w:r>
          </w:p>
        </w:tc>
        <w:tc>
          <w:tcPr>
            <w:tcW w:w="1134" w:type="dxa"/>
            <w:noWrap/>
            <w:hideMark/>
          </w:tcPr>
          <w:p w14:paraId="46D3C488"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992" w:type="dxa"/>
            <w:gridSpan w:val="3"/>
            <w:noWrap/>
            <w:hideMark/>
          </w:tcPr>
          <w:p w14:paraId="452774A4"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992" w:type="dxa"/>
            <w:gridSpan w:val="2"/>
            <w:noWrap/>
            <w:hideMark/>
          </w:tcPr>
          <w:p w14:paraId="15B28C40"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c>
          <w:tcPr>
            <w:tcW w:w="992" w:type="dxa"/>
            <w:gridSpan w:val="2"/>
            <w:noWrap/>
            <w:hideMark/>
          </w:tcPr>
          <w:p w14:paraId="7DBB3077"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0,648</w:t>
            </w:r>
          </w:p>
        </w:tc>
      </w:tr>
      <w:tr w:rsidR="002D7048" w:rsidRPr="002D7048" w14:paraId="27AB7E88" w14:textId="77777777" w:rsidTr="007265BD">
        <w:trPr>
          <w:trHeight w:val="20"/>
        </w:trPr>
        <w:tc>
          <w:tcPr>
            <w:tcW w:w="1003" w:type="dxa"/>
            <w:hideMark/>
          </w:tcPr>
          <w:p w14:paraId="3FE50CB3"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Z_(1-</w:t>
            </w:r>
            <w:r w:rsidRPr="002D7048">
              <w:rPr>
                <w:rFonts w:ascii="Garamond" w:hAnsi="Garamond" w:hint="eastAsia"/>
                <w:bCs/>
                <w:iCs/>
                <w:sz w:val="20"/>
                <w:szCs w:val="20"/>
                <w:lang w:val="id-ID"/>
              </w:rPr>
              <w:t>α</w:t>
            </w:r>
            <w:r w:rsidRPr="002D7048">
              <w:rPr>
                <w:rFonts w:ascii="Garamond" w:hAnsi="Garamond"/>
                <w:bCs/>
                <w:iCs/>
                <w:sz w:val="20"/>
                <w:szCs w:val="20"/>
                <w:lang w:val="id-ID"/>
              </w:rPr>
              <w:t>/2)^2</w:t>
            </w:r>
          </w:p>
        </w:tc>
        <w:tc>
          <w:tcPr>
            <w:tcW w:w="977" w:type="dxa"/>
            <w:noWrap/>
            <w:hideMark/>
          </w:tcPr>
          <w:p w14:paraId="51250798"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1,96</w:t>
            </w:r>
          </w:p>
        </w:tc>
        <w:tc>
          <w:tcPr>
            <w:tcW w:w="709" w:type="dxa"/>
            <w:gridSpan w:val="2"/>
            <w:noWrap/>
            <w:hideMark/>
          </w:tcPr>
          <w:p w14:paraId="14A12086"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1,96</w:t>
            </w:r>
          </w:p>
        </w:tc>
        <w:tc>
          <w:tcPr>
            <w:tcW w:w="992" w:type="dxa"/>
            <w:gridSpan w:val="2"/>
            <w:noWrap/>
            <w:hideMark/>
          </w:tcPr>
          <w:p w14:paraId="0469610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c>
          <w:tcPr>
            <w:tcW w:w="709" w:type="dxa"/>
            <w:gridSpan w:val="2"/>
            <w:noWrap/>
            <w:hideMark/>
          </w:tcPr>
          <w:p w14:paraId="59BC847D"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1,96</w:t>
            </w:r>
          </w:p>
        </w:tc>
        <w:tc>
          <w:tcPr>
            <w:tcW w:w="992" w:type="dxa"/>
            <w:gridSpan w:val="3"/>
            <w:noWrap/>
            <w:hideMark/>
          </w:tcPr>
          <w:p w14:paraId="303390A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c>
          <w:tcPr>
            <w:tcW w:w="709" w:type="dxa"/>
            <w:gridSpan w:val="2"/>
            <w:noWrap/>
            <w:hideMark/>
          </w:tcPr>
          <w:p w14:paraId="4541C11E"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1,96</w:t>
            </w:r>
          </w:p>
        </w:tc>
        <w:tc>
          <w:tcPr>
            <w:tcW w:w="1134" w:type="dxa"/>
            <w:noWrap/>
            <w:hideMark/>
          </w:tcPr>
          <w:p w14:paraId="069A834E"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c>
          <w:tcPr>
            <w:tcW w:w="992" w:type="dxa"/>
            <w:gridSpan w:val="3"/>
            <w:noWrap/>
            <w:hideMark/>
          </w:tcPr>
          <w:p w14:paraId="70ABEDEC"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c>
          <w:tcPr>
            <w:tcW w:w="992" w:type="dxa"/>
            <w:gridSpan w:val="2"/>
            <w:noWrap/>
            <w:hideMark/>
          </w:tcPr>
          <w:p w14:paraId="0ED3657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c>
          <w:tcPr>
            <w:tcW w:w="992" w:type="dxa"/>
            <w:gridSpan w:val="2"/>
            <w:noWrap/>
            <w:hideMark/>
          </w:tcPr>
          <w:p w14:paraId="5EE8E524"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1,96</w:t>
            </w:r>
          </w:p>
        </w:tc>
      </w:tr>
      <w:tr w:rsidR="002D7048" w:rsidRPr="002D7048" w14:paraId="7F54D877" w14:textId="77777777" w:rsidTr="007265BD">
        <w:trPr>
          <w:trHeight w:val="20"/>
        </w:trPr>
        <w:tc>
          <w:tcPr>
            <w:tcW w:w="1003" w:type="dxa"/>
            <w:hideMark/>
          </w:tcPr>
          <w:p w14:paraId="7921E2D2"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N0</w:t>
            </w:r>
          </w:p>
        </w:tc>
        <w:tc>
          <w:tcPr>
            <w:tcW w:w="977" w:type="dxa"/>
            <w:noWrap/>
            <w:hideMark/>
          </w:tcPr>
          <w:p w14:paraId="24079411"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284</w:t>
            </w:r>
          </w:p>
        </w:tc>
        <w:tc>
          <w:tcPr>
            <w:tcW w:w="709" w:type="dxa"/>
            <w:gridSpan w:val="2"/>
            <w:noWrap/>
            <w:hideMark/>
          </w:tcPr>
          <w:p w14:paraId="51C81AB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214</w:t>
            </w:r>
          </w:p>
        </w:tc>
        <w:tc>
          <w:tcPr>
            <w:tcW w:w="992" w:type="dxa"/>
            <w:gridSpan w:val="2"/>
            <w:noWrap/>
            <w:hideMark/>
          </w:tcPr>
          <w:p w14:paraId="04B64783"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210</w:t>
            </w:r>
          </w:p>
        </w:tc>
        <w:tc>
          <w:tcPr>
            <w:tcW w:w="709" w:type="dxa"/>
            <w:gridSpan w:val="2"/>
            <w:noWrap/>
            <w:hideMark/>
          </w:tcPr>
          <w:p w14:paraId="5FE21C51"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143</w:t>
            </w:r>
          </w:p>
        </w:tc>
        <w:tc>
          <w:tcPr>
            <w:tcW w:w="992" w:type="dxa"/>
            <w:gridSpan w:val="3"/>
            <w:noWrap/>
            <w:hideMark/>
          </w:tcPr>
          <w:p w14:paraId="00654451"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93</w:t>
            </w:r>
          </w:p>
        </w:tc>
        <w:tc>
          <w:tcPr>
            <w:tcW w:w="709" w:type="dxa"/>
            <w:gridSpan w:val="2"/>
            <w:noWrap/>
            <w:hideMark/>
          </w:tcPr>
          <w:p w14:paraId="47FA98B0"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93</w:t>
            </w:r>
          </w:p>
        </w:tc>
        <w:tc>
          <w:tcPr>
            <w:tcW w:w="1134" w:type="dxa"/>
            <w:noWrap/>
            <w:hideMark/>
          </w:tcPr>
          <w:p w14:paraId="73C079C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93</w:t>
            </w:r>
          </w:p>
        </w:tc>
        <w:tc>
          <w:tcPr>
            <w:tcW w:w="992" w:type="dxa"/>
            <w:gridSpan w:val="3"/>
            <w:noWrap/>
            <w:hideMark/>
          </w:tcPr>
          <w:p w14:paraId="3A0D5184"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93</w:t>
            </w:r>
          </w:p>
        </w:tc>
        <w:tc>
          <w:tcPr>
            <w:tcW w:w="992" w:type="dxa"/>
            <w:gridSpan w:val="2"/>
            <w:noWrap/>
            <w:hideMark/>
          </w:tcPr>
          <w:p w14:paraId="2BFCF6A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4</w:t>
            </w:r>
          </w:p>
        </w:tc>
        <w:tc>
          <w:tcPr>
            <w:tcW w:w="992" w:type="dxa"/>
            <w:gridSpan w:val="2"/>
            <w:noWrap/>
            <w:hideMark/>
          </w:tcPr>
          <w:p w14:paraId="228FBD10"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4</w:t>
            </w:r>
          </w:p>
        </w:tc>
      </w:tr>
      <w:tr w:rsidR="002D7048" w:rsidRPr="002D7048" w14:paraId="6A10E387" w14:textId="77777777" w:rsidTr="007265BD">
        <w:trPr>
          <w:trHeight w:val="20"/>
        </w:trPr>
        <w:tc>
          <w:tcPr>
            <w:tcW w:w="1003" w:type="dxa"/>
            <w:vMerge w:val="restart"/>
            <w:hideMark/>
          </w:tcPr>
          <w:p w14:paraId="75013C45"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N</w:t>
            </w:r>
          </w:p>
        </w:tc>
        <w:tc>
          <w:tcPr>
            <w:tcW w:w="977" w:type="dxa"/>
            <w:noWrap/>
            <w:hideMark/>
          </w:tcPr>
          <w:p w14:paraId="4B722AC3"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102,88</w:t>
            </w:r>
          </w:p>
        </w:tc>
        <w:tc>
          <w:tcPr>
            <w:tcW w:w="709" w:type="dxa"/>
            <w:gridSpan w:val="2"/>
            <w:noWrap/>
            <w:hideMark/>
          </w:tcPr>
          <w:p w14:paraId="75DF52E1"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91,98</w:t>
            </w:r>
          </w:p>
        </w:tc>
        <w:tc>
          <w:tcPr>
            <w:tcW w:w="992" w:type="dxa"/>
            <w:gridSpan w:val="2"/>
            <w:noWrap/>
            <w:hideMark/>
          </w:tcPr>
          <w:p w14:paraId="137B6BFD"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91,23</w:t>
            </w:r>
          </w:p>
        </w:tc>
        <w:tc>
          <w:tcPr>
            <w:tcW w:w="709" w:type="dxa"/>
            <w:gridSpan w:val="2"/>
            <w:noWrap/>
            <w:hideMark/>
          </w:tcPr>
          <w:p w14:paraId="00EA9245"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75,8</w:t>
            </w:r>
          </w:p>
        </w:tc>
        <w:tc>
          <w:tcPr>
            <w:tcW w:w="992" w:type="dxa"/>
            <w:gridSpan w:val="3"/>
            <w:noWrap/>
            <w:hideMark/>
          </w:tcPr>
          <w:p w14:paraId="41FA0DE0"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58,99</w:t>
            </w:r>
          </w:p>
        </w:tc>
        <w:tc>
          <w:tcPr>
            <w:tcW w:w="709" w:type="dxa"/>
            <w:gridSpan w:val="2"/>
            <w:noWrap/>
            <w:hideMark/>
          </w:tcPr>
          <w:p w14:paraId="30F315AE" w14:textId="77777777" w:rsidR="002D7048" w:rsidRPr="002D7048" w:rsidRDefault="002D7048" w:rsidP="007265BD">
            <w:pPr>
              <w:spacing w:line="259" w:lineRule="auto"/>
              <w:ind w:left="0" w:firstLine="0"/>
              <w:jc w:val="both"/>
              <w:rPr>
                <w:rFonts w:ascii="Garamond" w:hAnsi="Garamond"/>
                <w:bCs/>
                <w:iCs/>
                <w:sz w:val="20"/>
                <w:szCs w:val="20"/>
                <w:lang w:val="id-ID"/>
              </w:rPr>
            </w:pPr>
            <w:r w:rsidRPr="002D7048">
              <w:rPr>
                <w:rFonts w:ascii="Garamond" w:hAnsi="Garamond"/>
                <w:bCs/>
                <w:iCs/>
                <w:sz w:val="20"/>
                <w:szCs w:val="20"/>
                <w:lang w:val="id-ID"/>
              </w:rPr>
              <w:t>58,99</w:t>
            </w:r>
          </w:p>
        </w:tc>
        <w:tc>
          <w:tcPr>
            <w:tcW w:w="1134" w:type="dxa"/>
            <w:noWrap/>
            <w:hideMark/>
          </w:tcPr>
          <w:p w14:paraId="78938834"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58,99</w:t>
            </w:r>
          </w:p>
        </w:tc>
        <w:tc>
          <w:tcPr>
            <w:tcW w:w="992" w:type="dxa"/>
            <w:gridSpan w:val="3"/>
            <w:noWrap/>
            <w:hideMark/>
          </w:tcPr>
          <w:p w14:paraId="4EDD247B"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58,99</w:t>
            </w:r>
          </w:p>
        </w:tc>
        <w:tc>
          <w:tcPr>
            <w:tcW w:w="992" w:type="dxa"/>
            <w:gridSpan w:val="2"/>
            <w:noWrap/>
            <w:hideMark/>
          </w:tcPr>
          <w:p w14:paraId="14CD6A9D"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3,9</w:t>
            </w:r>
          </w:p>
        </w:tc>
        <w:tc>
          <w:tcPr>
            <w:tcW w:w="992" w:type="dxa"/>
            <w:gridSpan w:val="2"/>
            <w:noWrap/>
            <w:hideMark/>
          </w:tcPr>
          <w:p w14:paraId="277FBA0A"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3,9</w:t>
            </w:r>
          </w:p>
        </w:tc>
      </w:tr>
      <w:tr w:rsidR="002D7048" w:rsidRPr="002D7048" w14:paraId="3FC1743A" w14:textId="77777777" w:rsidTr="007265BD">
        <w:trPr>
          <w:trHeight w:val="20"/>
        </w:trPr>
        <w:tc>
          <w:tcPr>
            <w:tcW w:w="1003" w:type="dxa"/>
            <w:vMerge/>
            <w:hideMark/>
          </w:tcPr>
          <w:p w14:paraId="24F5A057" w14:textId="77777777" w:rsidR="002D7048" w:rsidRPr="002D7048" w:rsidRDefault="002D7048" w:rsidP="007265BD">
            <w:pPr>
              <w:spacing w:line="259" w:lineRule="auto"/>
              <w:ind w:left="0"/>
              <w:jc w:val="both"/>
              <w:rPr>
                <w:rFonts w:ascii="Garamond" w:hAnsi="Garamond"/>
                <w:bCs/>
                <w:iCs/>
                <w:sz w:val="20"/>
                <w:szCs w:val="20"/>
                <w:lang w:val="id-ID"/>
              </w:rPr>
            </w:pPr>
          </w:p>
        </w:tc>
        <w:tc>
          <w:tcPr>
            <w:tcW w:w="977" w:type="dxa"/>
            <w:noWrap/>
            <w:hideMark/>
          </w:tcPr>
          <w:p w14:paraId="7E14EB77"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103</w:t>
            </w:r>
          </w:p>
        </w:tc>
        <w:tc>
          <w:tcPr>
            <w:tcW w:w="709" w:type="dxa"/>
            <w:gridSpan w:val="2"/>
            <w:noWrap/>
            <w:hideMark/>
          </w:tcPr>
          <w:p w14:paraId="039A2779"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92</w:t>
            </w:r>
          </w:p>
        </w:tc>
        <w:tc>
          <w:tcPr>
            <w:tcW w:w="992" w:type="dxa"/>
            <w:gridSpan w:val="2"/>
            <w:noWrap/>
            <w:hideMark/>
          </w:tcPr>
          <w:p w14:paraId="4BE90E85"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91</w:t>
            </w:r>
          </w:p>
        </w:tc>
        <w:tc>
          <w:tcPr>
            <w:tcW w:w="709" w:type="dxa"/>
            <w:gridSpan w:val="2"/>
            <w:noWrap/>
            <w:hideMark/>
          </w:tcPr>
          <w:p w14:paraId="46DEDBAF"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76</w:t>
            </w:r>
          </w:p>
        </w:tc>
        <w:tc>
          <w:tcPr>
            <w:tcW w:w="992" w:type="dxa"/>
            <w:gridSpan w:val="3"/>
            <w:noWrap/>
            <w:hideMark/>
          </w:tcPr>
          <w:p w14:paraId="6E9E9A78"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59</w:t>
            </w:r>
          </w:p>
        </w:tc>
        <w:tc>
          <w:tcPr>
            <w:tcW w:w="709" w:type="dxa"/>
            <w:gridSpan w:val="2"/>
            <w:noWrap/>
            <w:hideMark/>
          </w:tcPr>
          <w:p w14:paraId="5598DBE3"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59</w:t>
            </w:r>
          </w:p>
        </w:tc>
        <w:tc>
          <w:tcPr>
            <w:tcW w:w="1134" w:type="dxa"/>
            <w:noWrap/>
            <w:hideMark/>
          </w:tcPr>
          <w:p w14:paraId="64387BB0"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59</w:t>
            </w:r>
          </w:p>
        </w:tc>
        <w:tc>
          <w:tcPr>
            <w:tcW w:w="992" w:type="dxa"/>
            <w:gridSpan w:val="3"/>
            <w:noWrap/>
            <w:hideMark/>
          </w:tcPr>
          <w:p w14:paraId="65EE022D"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59</w:t>
            </w:r>
          </w:p>
        </w:tc>
        <w:tc>
          <w:tcPr>
            <w:tcW w:w="992" w:type="dxa"/>
            <w:gridSpan w:val="2"/>
            <w:noWrap/>
            <w:hideMark/>
          </w:tcPr>
          <w:p w14:paraId="76D6601F"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4</w:t>
            </w:r>
          </w:p>
        </w:tc>
        <w:tc>
          <w:tcPr>
            <w:tcW w:w="992" w:type="dxa"/>
            <w:gridSpan w:val="2"/>
            <w:noWrap/>
            <w:hideMark/>
          </w:tcPr>
          <w:p w14:paraId="1932750F" w14:textId="77777777" w:rsidR="002D7048" w:rsidRPr="002D7048" w:rsidRDefault="002D7048"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4</w:t>
            </w:r>
          </w:p>
        </w:tc>
      </w:tr>
      <w:tr w:rsidR="007265BD" w:rsidRPr="002D7048" w14:paraId="6D0DE81D" w14:textId="77777777" w:rsidTr="007265BD">
        <w:trPr>
          <w:trHeight w:val="20"/>
        </w:trPr>
        <w:tc>
          <w:tcPr>
            <w:tcW w:w="2689" w:type="dxa"/>
            <w:gridSpan w:val="4"/>
            <w:tcBorders>
              <w:bottom w:val="single" w:sz="4" w:space="0" w:color="auto"/>
            </w:tcBorders>
            <w:hideMark/>
          </w:tcPr>
          <w:p w14:paraId="07943371" w14:textId="244CCF10" w:rsidR="007265BD" w:rsidRPr="002D7048" w:rsidRDefault="007265BD" w:rsidP="007265BD">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Minimal Total </w:t>
            </w:r>
            <w:proofErr w:type="spellStart"/>
            <w:r w:rsidRPr="002D7048">
              <w:rPr>
                <w:rFonts w:ascii="Garamond" w:hAnsi="Garamond"/>
                <w:bCs/>
                <w:iCs/>
                <w:sz w:val="20"/>
                <w:szCs w:val="20"/>
                <w:lang w:val="id-ID"/>
              </w:rPr>
              <w:t>Sample</w:t>
            </w:r>
            <w:proofErr w:type="spellEnd"/>
          </w:p>
        </w:tc>
        <w:tc>
          <w:tcPr>
            <w:tcW w:w="7512" w:type="dxa"/>
            <w:gridSpan w:val="17"/>
            <w:tcBorders>
              <w:bottom w:val="single" w:sz="4" w:space="0" w:color="auto"/>
            </w:tcBorders>
          </w:tcPr>
          <w:p w14:paraId="0F3B3286" w14:textId="0300EA23" w:rsidR="007265BD" w:rsidRPr="002D7048" w:rsidRDefault="007265BD" w:rsidP="007265BD">
            <w:pPr>
              <w:spacing w:line="259" w:lineRule="auto"/>
              <w:ind w:left="0"/>
              <w:jc w:val="both"/>
              <w:rPr>
                <w:rFonts w:ascii="Garamond" w:hAnsi="Garamond"/>
                <w:bCs/>
                <w:iCs/>
                <w:sz w:val="20"/>
                <w:szCs w:val="20"/>
                <w:lang w:val="id-ID"/>
              </w:rPr>
            </w:pPr>
            <w:r w:rsidRPr="002D7048">
              <w:rPr>
                <w:rFonts w:ascii="Garamond" w:hAnsi="Garamond"/>
                <w:bCs/>
                <w:iCs/>
                <w:sz w:val="20"/>
                <w:szCs w:val="20"/>
                <w:lang w:val="id-ID"/>
              </w:rPr>
              <w:t>606</w:t>
            </w:r>
          </w:p>
        </w:tc>
      </w:tr>
    </w:tbl>
    <w:bookmarkEnd w:id="12"/>
    <w:p w14:paraId="498E8B88"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ab/>
      </w:r>
      <w:r w:rsidRPr="002D7048">
        <w:rPr>
          <w:rFonts w:ascii="Garamond" w:hAnsi="Garamond"/>
          <w:b/>
          <w:bCs/>
          <w:iCs/>
          <w:sz w:val="20"/>
          <w:szCs w:val="20"/>
          <w:lang w:val="id-ID"/>
        </w:rPr>
        <w:tab/>
      </w:r>
    </w:p>
    <w:p w14:paraId="7C8BC8EE"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Cs/>
          <w:iCs/>
          <w:sz w:val="20"/>
          <w:szCs w:val="20"/>
          <w:lang w:val="id-ID"/>
        </w:rPr>
        <w:t xml:space="preserve">To characterize the overall cost of a stroke, descriptive analysis was used then correlation variables were analysed by chi-square tests. From 606 samples, only 416 samples with complete data and included in the study. </w:t>
      </w:r>
    </w:p>
    <w:p w14:paraId="19A83B37" w14:textId="77777777" w:rsidR="002D7048" w:rsidRPr="002D7048" w:rsidRDefault="002D7048" w:rsidP="002D7048">
      <w:pPr>
        <w:spacing w:line="259" w:lineRule="auto"/>
        <w:jc w:val="both"/>
        <w:rPr>
          <w:rFonts w:ascii="Garamond" w:hAnsi="Garamond"/>
          <w:bCs/>
          <w:iCs/>
          <w:sz w:val="20"/>
          <w:szCs w:val="20"/>
        </w:rPr>
      </w:pPr>
    </w:p>
    <w:p w14:paraId="65F45E0E" w14:textId="2E0A3C00" w:rsidR="002D7048" w:rsidRPr="002D7048" w:rsidRDefault="00F03324" w:rsidP="002D7048">
      <w:pPr>
        <w:spacing w:line="259" w:lineRule="auto"/>
        <w:jc w:val="both"/>
        <w:rPr>
          <w:rFonts w:ascii="Garamond" w:hAnsi="Garamond"/>
          <w:b/>
          <w:bCs/>
          <w:iCs/>
          <w:sz w:val="22"/>
          <w:szCs w:val="22"/>
        </w:rPr>
      </w:pPr>
      <w:r w:rsidRPr="002D7048">
        <w:rPr>
          <w:rFonts w:ascii="Garamond" w:hAnsi="Garamond"/>
          <w:b/>
          <w:bCs/>
          <w:iCs/>
          <w:sz w:val="22"/>
          <w:szCs w:val="22"/>
        </w:rPr>
        <w:t>RESULTS</w:t>
      </w:r>
    </w:p>
    <w:p w14:paraId="45686D3C" w14:textId="6B86788A" w:rsidR="002D7048" w:rsidRPr="002D7048" w:rsidRDefault="002D7048" w:rsidP="002D7048">
      <w:pPr>
        <w:spacing w:line="259" w:lineRule="auto"/>
        <w:jc w:val="both"/>
        <w:rPr>
          <w:rFonts w:ascii="Garamond" w:hAnsi="Garamond"/>
          <w:b/>
          <w:bCs/>
          <w:iCs/>
          <w:sz w:val="20"/>
          <w:szCs w:val="20"/>
        </w:rPr>
      </w:pPr>
      <w:proofErr w:type="spellStart"/>
      <w:r w:rsidRPr="007265BD">
        <w:rPr>
          <w:rFonts w:ascii="Garamond" w:hAnsi="Garamond"/>
          <w:b/>
          <w:bCs/>
          <w:i/>
          <w:sz w:val="20"/>
          <w:szCs w:val="20"/>
          <w:lang w:val="id-ID"/>
        </w:rPr>
        <w:t>Patient</w:t>
      </w:r>
      <w:proofErr w:type="spellEnd"/>
      <w:r w:rsidRPr="007265BD">
        <w:rPr>
          <w:rFonts w:ascii="Garamond" w:hAnsi="Garamond"/>
          <w:b/>
          <w:bCs/>
          <w:i/>
          <w:sz w:val="20"/>
          <w:szCs w:val="20"/>
          <w:lang w:val="id-ID"/>
        </w:rPr>
        <w:t xml:space="preserve"> </w:t>
      </w:r>
      <w:proofErr w:type="spellStart"/>
      <w:r w:rsidRPr="007265BD">
        <w:rPr>
          <w:rFonts w:ascii="Garamond" w:hAnsi="Garamond"/>
          <w:b/>
          <w:bCs/>
          <w:i/>
          <w:sz w:val="20"/>
          <w:szCs w:val="20"/>
          <w:lang w:val="id-ID"/>
        </w:rPr>
        <w:t>characteristics</w:t>
      </w:r>
      <w:proofErr w:type="spellEnd"/>
      <w:r w:rsidR="007265BD" w:rsidRPr="007265BD">
        <w:rPr>
          <w:rFonts w:ascii="Garamond" w:hAnsi="Garamond"/>
          <w:b/>
          <w:bCs/>
          <w:i/>
          <w:sz w:val="20"/>
          <w:szCs w:val="20"/>
          <w:lang w:val="id-ID"/>
        </w:rPr>
        <w:t>:</w:t>
      </w:r>
      <w:r w:rsidR="007265BD">
        <w:rPr>
          <w:rFonts w:ascii="Garamond" w:hAnsi="Garamond"/>
          <w:b/>
          <w:bCs/>
          <w:iCs/>
          <w:sz w:val="20"/>
          <w:szCs w:val="20"/>
          <w:lang w:val="id-ID"/>
        </w:rPr>
        <w:t xml:space="preserve"> </w:t>
      </w:r>
      <w:proofErr w:type="spellStart"/>
      <w:r w:rsidRPr="002D7048">
        <w:rPr>
          <w:rFonts w:ascii="Garamond" w:hAnsi="Garamond"/>
          <w:bCs/>
          <w:iCs/>
          <w:sz w:val="20"/>
          <w:szCs w:val="20"/>
          <w:lang w:val="id-ID"/>
        </w:rPr>
        <w:t>Characteristics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of</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patients</w:t>
      </w:r>
      <w:proofErr w:type="spellEnd"/>
      <w:r w:rsidRPr="002D7048">
        <w:rPr>
          <w:rFonts w:ascii="Garamond" w:hAnsi="Garamond"/>
          <w:bCs/>
          <w:iCs/>
          <w:sz w:val="20"/>
          <w:szCs w:val="20"/>
          <w:lang w:val="id-ID"/>
        </w:rPr>
        <w:t xml:space="preserve"> include age and gender, length of treatment, class of treatment, location of study, and average frequency of visits. </w:t>
      </w:r>
      <w:bookmarkStart w:id="13" w:name="_Toc39265747"/>
      <w:bookmarkStart w:id="14" w:name="_Toc62430078"/>
    </w:p>
    <w:p w14:paraId="52337F79" w14:textId="77777777" w:rsidR="002D7048" w:rsidRPr="002D7048" w:rsidRDefault="002D7048" w:rsidP="002D7048">
      <w:pPr>
        <w:spacing w:line="259" w:lineRule="auto"/>
        <w:jc w:val="both"/>
        <w:rPr>
          <w:rFonts w:ascii="Garamond" w:hAnsi="Garamond"/>
          <w:b/>
          <w:bCs/>
          <w:iCs/>
          <w:sz w:val="20"/>
          <w:szCs w:val="20"/>
        </w:rPr>
      </w:pPr>
      <w:r w:rsidRPr="002D7048">
        <w:rPr>
          <w:rFonts w:ascii="Garamond" w:hAnsi="Garamond"/>
          <w:b/>
          <w:bCs/>
          <w:iCs/>
          <w:sz w:val="20"/>
          <w:szCs w:val="20"/>
          <w:lang w:val="id-ID"/>
        </w:rPr>
        <w:t xml:space="preserve">Table 2. </w:t>
      </w:r>
      <w:r w:rsidRPr="002D7048">
        <w:rPr>
          <w:rFonts w:ascii="Garamond" w:hAnsi="Garamond"/>
          <w:bCs/>
          <w:iCs/>
          <w:sz w:val="20"/>
          <w:szCs w:val="20"/>
          <w:lang w:val="id-ID"/>
        </w:rPr>
        <w:t>Characteristics of ischemic stroke patients in 10 hospitals in DI-Yogyakarta</w:t>
      </w:r>
      <w:r w:rsidRPr="002D7048">
        <w:rPr>
          <w:rFonts w:ascii="Garamond" w:hAnsi="Garamond"/>
          <w:bCs/>
          <w:iCs/>
          <w:sz w:val="20"/>
          <w:szCs w:val="20"/>
        </w:rPr>
        <w:t>, Indonesia</w:t>
      </w:r>
      <w:r w:rsidRPr="002D7048">
        <w:rPr>
          <w:rFonts w:ascii="Garamond" w:hAnsi="Garamond"/>
          <w:bCs/>
          <w:iCs/>
          <w:sz w:val="20"/>
          <w:szCs w:val="20"/>
          <w:lang w:val="id-ID"/>
        </w:rPr>
        <w:t xml:space="preserve"> (n = 619)</w:t>
      </w:r>
      <w:bookmarkEnd w:id="13"/>
      <w:bookmarkEnd w:id="14"/>
    </w:p>
    <w:tbl>
      <w:tblPr>
        <w:tblStyle w:val="TableGrid2"/>
        <w:tblW w:w="8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1"/>
        <w:gridCol w:w="2202"/>
        <w:gridCol w:w="1890"/>
        <w:gridCol w:w="2073"/>
      </w:tblGrid>
      <w:tr w:rsidR="002D7048" w:rsidRPr="002D7048" w14:paraId="2E94AF62" w14:textId="77777777" w:rsidTr="007265BD">
        <w:trPr>
          <w:trHeight w:val="20"/>
          <w:tblHeader/>
        </w:trPr>
        <w:tc>
          <w:tcPr>
            <w:tcW w:w="2471" w:type="dxa"/>
            <w:tcBorders>
              <w:top w:val="single" w:sz="4" w:space="0" w:color="auto"/>
              <w:bottom w:val="single" w:sz="4" w:space="0" w:color="auto"/>
            </w:tcBorders>
            <w:hideMark/>
          </w:tcPr>
          <w:p w14:paraId="1CAE1548" w14:textId="77777777" w:rsidR="002D7048" w:rsidRPr="00F03324" w:rsidRDefault="002D7048" w:rsidP="007265BD">
            <w:pPr>
              <w:spacing w:line="259" w:lineRule="auto"/>
              <w:rPr>
                <w:rFonts w:ascii="Garamond" w:hAnsi="Garamond"/>
                <w:b/>
                <w:iCs/>
                <w:sz w:val="20"/>
                <w:szCs w:val="20"/>
                <w:lang w:val="id-ID"/>
              </w:rPr>
            </w:pPr>
            <w:proofErr w:type="spellStart"/>
            <w:r w:rsidRPr="00F03324">
              <w:rPr>
                <w:rFonts w:ascii="Garamond" w:hAnsi="Garamond"/>
                <w:b/>
                <w:iCs/>
                <w:sz w:val="20"/>
                <w:szCs w:val="20"/>
                <w:lang w:val="id-ID"/>
              </w:rPr>
              <w:t>Patient</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characteristics</w:t>
            </w:r>
            <w:proofErr w:type="spellEnd"/>
          </w:p>
        </w:tc>
        <w:tc>
          <w:tcPr>
            <w:tcW w:w="2202" w:type="dxa"/>
            <w:tcBorders>
              <w:top w:val="single" w:sz="4" w:space="0" w:color="auto"/>
              <w:bottom w:val="single" w:sz="4" w:space="0" w:color="auto"/>
            </w:tcBorders>
            <w:hideMark/>
          </w:tcPr>
          <w:p w14:paraId="5D733A34" w14:textId="77777777" w:rsidR="002D7048" w:rsidRPr="00F03324" w:rsidRDefault="002D7048" w:rsidP="007265BD">
            <w:pPr>
              <w:spacing w:line="259" w:lineRule="auto"/>
              <w:rPr>
                <w:rFonts w:ascii="Garamond" w:hAnsi="Garamond"/>
                <w:b/>
                <w:iCs/>
                <w:sz w:val="20"/>
                <w:szCs w:val="20"/>
                <w:lang w:val="id-ID"/>
              </w:rPr>
            </w:pPr>
            <w:r w:rsidRPr="00F03324">
              <w:rPr>
                <w:rFonts w:ascii="Garamond" w:hAnsi="Garamond"/>
                <w:b/>
                <w:iCs/>
                <w:sz w:val="20"/>
                <w:szCs w:val="20"/>
                <w:lang w:val="id-ID"/>
              </w:rPr>
              <w:t>Group Variations</w:t>
            </w:r>
          </w:p>
        </w:tc>
        <w:tc>
          <w:tcPr>
            <w:tcW w:w="1890" w:type="dxa"/>
            <w:tcBorders>
              <w:top w:val="single" w:sz="4" w:space="0" w:color="auto"/>
              <w:bottom w:val="single" w:sz="4" w:space="0" w:color="auto"/>
            </w:tcBorders>
            <w:hideMark/>
          </w:tcPr>
          <w:p w14:paraId="288CCEEF" w14:textId="77777777" w:rsidR="002D7048" w:rsidRPr="00F03324" w:rsidRDefault="002D7048" w:rsidP="007265BD">
            <w:pPr>
              <w:spacing w:line="259" w:lineRule="auto"/>
              <w:rPr>
                <w:rFonts w:ascii="Garamond" w:hAnsi="Garamond"/>
                <w:b/>
                <w:iCs/>
                <w:sz w:val="20"/>
                <w:szCs w:val="20"/>
                <w:lang w:val="id-ID"/>
              </w:rPr>
            </w:pPr>
            <w:r w:rsidRPr="00F03324">
              <w:rPr>
                <w:rFonts w:ascii="Garamond" w:hAnsi="Garamond"/>
                <w:b/>
                <w:iCs/>
                <w:sz w:val="20"/>
                <w:szCs w:val="20"/>
                <w:lang w:val="id-ID"/>
              </w:rPr>
              <w:t>Number of Patients</w:t>
            </w:r>
          </w:p>
        </w:tc>
        <w:tc>
          <w:tcPr>
            <w:tcW w:w="2073" w:type="dxa"/>
            <w:tcBorders>
              <w:top w:val="single" w:sz="4" w:space="0" w:color="auto"/>
              <w:bottom w:val="single" w:sz="4" w:space="0" w:color="auto"/>
            </w:tcBorders>
            <w:hideMark/>
          </w:tcPr>
          <w:p w14:paraId="3CEB6BD5" w14:textId="77777777" w:rsidR="002D7048" w:rsidRPr="00F03324" w:rsidRDefault="002D7048" w:rsidP="007265BD">
            <w:pPr>
              <w:spacing w:line="259" w:lineRule="auto"/>
              <w:rPr>
                <w:rFonts w:ascii="Garamond" w:hAnsi="Garamond"/>
                <w:b/>
                <w:iCs/>
                <w:sz w:val="20"/>
                <w:szCs w:val="20"/>
                <w:lang w:val="id-ID"/>
              </w:rPr>
            </w:pPr>
            <w:r w:rsidRPr="00F03324">
              <w:rPr>
                <w:rFonts w:ascii="Garamond" w:hAnsi="Garamond"/>
                <w:b/>
                <w:iCs/>
                <w:sz w:val="20"/>
                <w:szCs w:val="20"/>
                <w:lang w:val="id-ID"/>
              </w:rPr>
              <w:t>Percentage (%)</w:t>
            </w:r>
          </w:p>
        </w:tc>
      </w:tr>
      <w:tr w:rsidR="002D7048" w:rsidRPr="002D7048" w14:paraId="1F28EDC8" w14:textId="77777777" w:rsidTr="007265BD">
        <w:trPr>
          <w:trHeight w:val="20"/>
        </w:trPr>
        <w:tc>
          <w:tcPr>
            <w:tcW w:w="2471" w:type="dxa"/>
            <w:vMerge w:val="restart"/>
            <w:tcBorders>
              <w:top w:val="single" w:sz="4" w:space="0" w:color="auto"/>
            </w:tcBorders>
            <w:noWrap/>
            <w:hideMark/>
          </w:tcPr>
          <w:p w14:paraId="191916C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Age (years)</w:t>
            </w:r>
          </w:p>
        </w:tc>
        <w:tc>
          <w:tcPr>
            <w:tcW w:w="2202" w:type="dxa"/>
            <w:tcBorders>
              <w:top w:val="single" w:sz="4" w:space="0" w:color="auto"/>
            </w:tcBorders>
            <w:noWrap/>
            <w:hideMark/>
          </w:tcPr>
          <w:p w14:paraId="728A768C"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 xml:space="preserve">&lt; 41 </w:t>
            </w:r>
          </w:p>
        </w:tc>
        <w:tc>
          <w:tcPr>
            <w:tcW w:w="1890" w:type="dxa"/>
            <w:tcBorders>
              <w:top w:val="single" w:sz="4" w:space="0" w:color="auto"/>
            </w:tcBorders>
            <w:noWrap/>
            <w:hideMark/>
          </w:tcPr>
          <w:p w14:paraId="44F2DEE8"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8</w:t>
            </w:r>
          </w:p>
        </w:tc>
        <w:tc>
          <w:tcPr>
            <w:tcW w:w="2073" w:type="dxa"/>
            <w:tcBorders>
              <w:top w:val="single" w:sz="4" w:space="0" w:color="auto"/>
            </w:tcBorders>
            <w:noWrap/>
            <w:hideMark/>
          </w:tcPr>
          <w:p w14:paraId="345E4279"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1.92</w:t>
            </w:r>
          </w:p>
        </w:tc>
      </w:tr>
      <w:tr w:rsidR="002D7048" w:rsidRPr="002D7048" w14:paraId="66DB430B" w14:textId="77777777" w:rsidTr="007265BD">
        <w:trPr>
          <w:trHeight w:val="20"/>
        </w:trPr>
        <w:tc>
          <w:tcPr>
            <w:tcW w:w="0" w:type="auto"/>
            <w:vMerge/>
            <w:hideMark/>
          </w:tcPr>
          <w:p w14:paraId="0036D2A0"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523AE3BE"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41-70</w:t>
            </w:r>
          </w:p>
        </w:tc>
        <w:tc>
          <w:tcPr>
            <w:tcW w:w="1890" w:type="dxa"/>
            <w:noWrap/>
            <w:hideMark/>
          </w:tcPr>
          <w:p w14:paraId="383FE2E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327</w:t>
            </w:r>
          </w:p>
        </w:tc>
        <w:tc>
          <w:tcPr>
            <w:tcW w:w="2073" w:type="dxa"/>
            <w:noWrap/>
            <w:hideMark/>
          </w:tcPr>
          <w:p w14:paraId="05F01827"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78.61</w:t>
            </w:r>
          </w:p>
        </w:tc>
      </w:tr>
      <w:tr w:rsidR="002D7048" w:rsidRPr="002D7048" w14:paraId="37FAA982" w14:textId="77777777" w:rsidTr="007265BD">
        <w:trPr>
          <w:trHeight w:val="20"/>
        </w:trPr>
        <w:tc>
          <w:tcPr>
            <w:tcW w:w="0" w:type="auto"/>
            <w:vMerge/>
            <w:hideMark/>
          </w:tcPr>
          <w:p w14:paraId="04A7E3A7"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37D52B4D"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&gt; 70</w:t>
            </w:r>
          </w:p>
        </w:tc>
        <w:tc>
          <w:tcPr>
            <w:tcW w:w="1890" w:type="dxa"/>
            <w:noWrap/>
            <w:hideMark/>
          </w:tcPr>
          <w:p w14:paraId="07EAF43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81</w:t>
            </w:r>
          </w:p>
        </w:tc>
        <w:tc>
          <w:tcPr>
            <w:tcW w:w="2073" w:type="dxa"/>
            <w:noWrap/>
            <w:hideMark/>
          </w:tcPr>
          <w:p w14:paraId="5BA7307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19.47</w:t>
            </w:r>
          </w:p>
        </w:tc>
      </w:tr>
      <w:tr w:rsidR="002D7048" w:rsidRPr="002D7048" w14:paraId="1124E077" w14:textId="77777777" w:rsidTr="007265BD">
        <w:trPr>
          <w:trHeight w:val="20"/>
        </w:trPr>
        <w:tc>
          <w:tcPr>
            <w:tcW w:w="2471" w:type="dxa"/>
            <w:vMerge w:val="restart"/>
            <w:hideMark/>
          </w:tcPr>
          <w:p w14:paraId="2645B22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Gender</w:t>
            </w:r>
          </w:p>
        </w:tc>
        <w:tc>
          <w:tcPr>
            <w:tcW w:w="2202" w:type="dxa"/>
            <w:noWrap/>
            <w:hideMark/>
          </w:tcPr>
          <w:p w14:paraId="5ACF3D8E"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Male</w:t>
            </w:r>
          </w:p>
        </w:tc>
        <w:tc>
          <w:tcPr>
            <w:tcW w:w="1890" w:type="dxa"/>
            <w:noWrap/>
            <w:hideMark/>
          </w:tcPr>
          <w:p w14:paraId="5B7958CF"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227</w:t>
            </w:r>
          </w:p>
        </w:tc>
        <w:tc>
          <w:tcPr>
            <w:tcW w:w="2073" w:type="dxa"/>
            <w:noWrap/>
            <w:hideMark/>
          </w:tcPr>
          <w:p w14:paraId="5950F07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54.57</w:t>
            </w:r>
          </w:p>
        </w:tc>
      </w:tr>
      <w:tr w:rsidR="002D7048" w:rsidRPr="002D7048" w14:paraId="401C9C95" w14:textId="77777777" w:rsidTr="007265BD">
        <w:trPr>
          <w:trHeight w:val="20"/>
        </w:trPr>
        <w:tc>
          <w:tcPr>
            <w:tcW w:w="0" w:type="auto"/>
            <w:vMerge/>
            <w:hideMark/>
          </w:tcPr>
          <w:p w14:paraId="4EC3FEA9"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500D7388"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Female</w:t>
            </w:r>
          </w:p>
        </w:tc>
        <w:tc>
          <w:tcPr>
            <w:tcW w:w="1890" w:type="dxa"/>
            <w:noWrap/>
            <w:hideMark/>
          </w:tcPr>
          <w:p w14:paraId="2F1615F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189</w:t>
            </w:r>
          </w:p>
        </w:tc>
        <w:tc>
          <w:tcPr>
            <w:tcW w:w="2073" w:type="dxa"/>
            <w:noWrap/>
            <w:hideMark/>
          </w:tcPr>
          <w:p w14:paraId="7D54FA8B"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45.43</w:t>
            </w:r>
          </w:p>
        </w:tc>
      </w:tr>
      <w:tr w:rsidR="002D7048" w:rsidRPr="002D7048" w14:paraId="550A7459" w14:textId="77777777" w:rsidTr="007265BD">
        <w:trPr>
          <w:trHeight w:val="20"/>
        </w:trPr>
        <w:tc>
          <w:tcPr>
            <w:tcW w:w="2471" w:type="dxa"/>
            <w:vMerge w:val="restart"/>
            <w:hideMark/>
          </w:tcPr>
          <w:p w14:paraId="24AFE429"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Length of Stay (days)</w:t>
            </w:r>
          </w:p>
        </w:tc>
        <w:tc>
          <w:tcPr>
            <w:tcW w:w="2202" w:type="dxa"/>
            <w:noWrap/>
            <w:hideMark/>
          </w:tcPr>
          <w:p w14:paraId="0AD0BF2E"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&lt; 5 days</w:t>
            </w:r>
          </w:p>
        </w:tc>
        <w:tc>
          <w:tcPr>
            <w:tcW w:w="1890" w:type="dxa"/>
            <w:noWrap/>
            <w:hideMark/>
          </w:tcPr>
          <w:p w14:paraId="054309BA"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71</w:t>
            </w:r>
          </w:p>
        </w:tc>
        <w:tc>
          <w:tcPr>
            <w:tcW w:w="2073" w:type="dxa"/>
            <w:noWrap/>
            <w:hideMark/>
          </w:tcPr>
          <w:p w14:paraId="77D8D90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17.07</w:t>
            </w:r>
          </w:p>
        </w:tc>
      </w:tr>
      <w:tr w:rsidR="002D7048" w:rsidRPr="002D7048" w14:paraId="24747ACC" w14:textId="77777777" w:rsidTr="007265BD">
        <w:trPr>
          <w:trHeight w:val="20"/>
        </w:trPr>
        <w:tc>
          <w:tcPr>
            <w:tcW w:w="0" w:type="auto"/>
            <w:vMerge/>
            <w:hideMark/>
          </w:tcPr>
          <w:p w14:paraId="0D1E6AF4"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62F9C657"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5 – 10 days</w:t>
            </w:r>
          </w:p>
        </w:tc>
        <w:tc>
          <w:tcPr>
            <w:tcW w:w="1890" w:type="dxa"/>
            <w:noWrap/>
            <w:hideMark/>
          </w:tcPr>
          <w:p w14:paraId="233ADE2F"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330</w:t>
            </w:r>
          </w:p>
        </w:tc>
        <w:tc>
          <w:tcPr>
            <w:tcW w:w="2073" w:type="dxa"/>
            <w:noWrap/>
            <w:hideMark/>
          </w:tcPr>
          <w:p w14:paraId="246A7E1A"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79.33</w:t>
            </w:r>
          </w:p>
        </w:tc>
      </w:tr>
      <w:tr w:rsidR="002D7048" w:rsidRPr="002D7048" w14:paraId="37CE5EB0" w14:textId="77777777" w:rsidTr="007265BD">
        <w:trPr>
          <w:trHeight w:val="20"/>
        </w:trPr>
        <w:tc>
          <w:tcPr>
            <w:tcW w:w="0" w:type="auto"/>
            <w:vMerge/>
            <w:hideMark/>
          </w:tcPr>
          <w:p w14:paraId="2397A54D"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0BAD2F8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11 – 15 days</w:t>
            </w:r>
          </w:p>
        </w:tc>
        <w:tc>
          <w:tcPr>
            <w:tcW w:w="1890" w:type="dxa"/>
            <w:noWrap/>
            <w:hideMark/>
          </w:tcPr>
          <w:p w14:paraId="0E0401A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11</w:t>
            </w:r>
          </w:p>
        </w:tc>
        <w:tc>
          <w:tcPr>
            <w:tcW w:w="2073" w:type="dxa"/>
            <w:noWrap/>
            <w:hideMark/>
          </w:tcPr>
          <w:p w14:paraId="4ABFB6A3"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2.64</w:t>
            </w:r>
          </w:p>
        </w:tc>
      </w:tr>
      <w:tr w:rsidR="002D7048" w:rsidRPr="002D7048" w14:paraId="50A80C37" w14:textId="77777777" w:rsidTr="007265BD">
        <w:trPr>
          <w:trHeight w:val="20"/>
        </w:trPr>
        <w:tc>
          <w:tcPr>
            <w:tcW w:w="0" w:type="auto"/>
            <w:vMerge/>
            <w:hideMark/>
          </w:tcPr>
          <w:p w14:paraId="031346C1"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158E122A"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&gt; 15 days</w:t>
            </w:r>
          </w:p>
        </w:tc>
        <w:tc>
          <w:tcPr>
            <w:tcW w:w="1890" w:type="dxa"/>
            <w:noWrap/>
            <w:hideMark/>
          </w:tcPr>
          <w:p w14:paraId="065B83A5"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4</w:t>
            </w:r>
          </w:p>
        </w:tc>
        <w:tc>
          <w:tcPr>
            <w:tcW w:w="2073" w:type="dxa"/>
            <w:noWrap/>
            <w:hideMark/>
          </w:tcPr>
          <w:p w14:paraId="7FD605C3"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0.96</w:t>
            </w:r>
          </w:p>
        </w:tc>
      </w:tr>
      <w:tr w:rsidR="002D7048" w:rsidRPr="002D7048" w14:paraId="425FC959" w14:textId="77777777" w:rsidTr="007265BD">
        <w:trPr>
          <w:trHeight w:val="20"/>
        </w:trPr>
        <w:tc>
          <w:tcPr>
            <w:tcW w:w="2471" w:type="dxa"/>
            <w:vMerge w:val="restart"/>
            <w:hideMark/>
          </w:tcPr>
          <w:p w14:paraId="59E975EB"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Inpatient Classes</w:t>
            </w:r>
          </w:p>
        </w:tc>
        <w:tc>
          <w:tcPr>
            <w:tcW w:w="2202" w:type="dxa"/>
            <w:noWrap/>
            <w:hideMark/>
          </w:tcPr>
          <w:p w14:paraId="6C5D8D56"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Class I</w:t>
            </w:r>
          </w:p>
        </w:tc>
        <w:tc>
          <w:tcPr>
            <w:tcW w:w="1890" w:type="dxa"/>
            <w:noWrap/>
            <w:hideMark/>
          </w:tcPr>
          <w:p w14:paraId="5C041BB2"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149</w:t>
            </w:r>
          </w:p>
        </w:tc>
        <w:tc>
          <w:tcPr>
            <w:tcW w:w="2073" w:type="dxa"/>
            <w:noWrap/>
            <w:hideMark/>
          </w:tcPr>
          <w:p w14:paraId="24A75475"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35.82</w:t>
            </w:r>
          </w:p>
        </w:tc>
      </w:tr>
      <w:tr w:rsidR="002D7048" w:rsidRPr="002D7048" w14:paraId="0F128377" w14:textId="77777777" w:rsidTr="007265BD">
        <w:trPr>
          <w:trHeight w:val="20"/>
        </w:trPr>
        <w:tc>
          <w:tcPr>
            <w:tcW w:w="0" w:type="auto"/>
            <w:vMerge/>
            <w:hideMark/>
          </w:tcPr>
          <w:p w14:paraId="6FBC21B0"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1F654C49"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Class II</w:t>
            </w:r>
          </w:p>
        </w:tc>
        <w:tc>
          <w:tcPr>
            <w:tcW w:w="1890" w:type="dxa"/>
            <w:noWrap/>
            <w:hideMark/>
          </w:tcPr>
          <w:p w14:paraId="0C2C3D0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79</w:t>
            </w:r>
          </w:p>
        </w:tc>
        <w:tc>
          <w:tcPr>
            <w:tcW w:w="2073" w:type="dxa"/>
            <w:noWrap/>
            <w:hideMark/>
          </w:tcPr>
          <w:p w14:paraId="182CF07C"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18.99</w:t>
            </w:r>
          </w:p>
        </w:tc>
      </w:tr>
      <w:tr w:rsidR="002D7048" w:rsidRPr="002D7048" w14:paraId="1D5E1967" w14:textId="77777777" w:rsidTr="007265BD">
        <w:trPr>
          <w:trHeight w:val="20"/>
        </w:trPr>
        <w:tc>
          <w:tcPr>
            <w:tcW w:w="0" w:type="auto"/>
            <w:vMerge/>
            <w:hideMark/>
          </w:tcPr>
          <w:p w14:paraId="544A2B78"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3C72801F"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Class III</w:t>
            </w:r>
          </w:p>
        </w:tc>
        <w:tc>
          <w:tcPr>
            <w:tcW w:w="1890" w:type="dxa"/>
            <w:noWrap/>
            <w:hideMark/>
          </w:tcPr>
          <w:p w14:paraId="0FAA03D3"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188</w:t>
            </w:r>
          </w:p>
        </w:tc>
        <w:tc>
          <w:tcPr>
            <w:tcW w:w="2073" w:type="dxa"/>
            <w:noWrap/>
            <w:hideMark/>
          </w:tcPr>
          <w:p w14:paraId="086171F9"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45.19</w:t>
            </w:r>
          </w:p>
        </w:tc>
      </w:tr>
      <w:tr w:rsidR="002D7048" w:rsidRPr="002D7048" w14:paraId="4876AEB2" w14:textId="77777777" w:rsidTr="007265BD">
        <w:trPr>
          <w:trHeight w:val="20"/>
        </w:trPr>
        <w:tc>
          <w:tcPr>
            <w:tcW w:w="2471" w:type="dxa"/>
            <w:vMerge w:val="restart"/>
            <w:hideMark/>
          </w:tcPr>
          <w:p w14:paraId="3E0143E2"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 xml:space="preserve">Hospital types </w:t>
            </w:r>
          </w:p>
        </w:tc>
        <w:tc>
          <w:tcPr>
            <w:tcW w:w="2202" w:type="dxa"/>
            <w:noWrap/>
            <w:hideMark/>
          </w:tcPr>
          <w:p w14:paraId="5196092C"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Government Hospital B</w:t>
            </w:r>
          </w:p>
        </w:tc>
        <w:tc>
          <w:tcPr>
            <w:tcW w:w="1890" w:type="dxa"/>
            <w:noWrap/>
            <w:hideMark/>
          </w:tcPr>
          <w:p w14:paraId="03EAAF2F"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255</w:t>
            </w:r>
          </w:p>
        </w:tc>
        <w:tc>
          <w:tcPr>
            <w:tcW w:w="2073" w:type="dxa"/>
            <w:noWrap/>
            <w:hideMark/>
          </w:tcPr>
          <w:p w14:paraId="5D4F5B8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61.30</w:t>
            </w:r>
          </w:p>
        </w:tc>
      </w:tr>
      <w:tr w:rsidR="002D7048" w:rsidRPr="002D7048" w14:paraId="66DD638E" w14:textId="77777777" w:rsidTr="007265BD">
        <w:trPr>
          <w:trHeight w:val="20"/>
        </w:trPr>
        <w:tc>
          <w:tcPr>
            <w:tcW w:w="0" w:type="auto"/>
            <w:vMerge/>
            <w:hideMark/>
          </w:tcPr>
          <w:p w14:paraId="0C18B10B"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2A4CA653"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 xml:space="preserve">Government Hospital C </w:t>
            </w:r>
          </w:p>
        </w:tc>
        <w:tc>
          <w:tcPr>
            <w:tcW w:w="1890" w:type="dxa"/>
            <w:noWrap/>
            <w:hideMark/>
          </w:tcPr>
          <w:p w14:paraId="599581E3"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16</w:t>
            </w:r>
          </w:p>
        </w:tc>
        <w:tc>
          <w:tcPr>
            <w:tcW w:w="2073" w:type="dxa"/>
            <w:noWrap/>
            <w:hideMark/>
          </w:tcPr>
          <w:p w14:paraId="57A4C318"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3.85</w:t>
            </w:r>
          </w:p>
        </w:tc>
      </w:tr>
      <w:tr w:rsidR="002D7048" w:rsidRPr="002D7048" w14:paraId="0B0CC2EE" w14:textId="77777777" w:rsidTr="007265BD">
        <w:trPr>
          <w:trHeight w:val="20"/>
        </w:trPr>
        <w:tc>
          <w:tcPr>
            <w:tcW w:w="0" w:type="auto"/>
            <w:vMerge/>
            <w:hideMark/>
          </w:tcPr>
          <w:p w14:paraId="564137BE"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1F046937"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Private Hospital B</w:t>
            </w:r>
          </w:p>
        </w:tc>
        <w:tc>
          <w:tcPr>
            <w:tcW w:w="1890" w:type="dxa"/>
            <w:noWrap/>
            <w:hideMark/>
          </w:tcPr>
          <w:p w14:paraId="074519C2"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89</w:t>
            </w:r>
          </w:p>
        </w:tc>
        <w:tc>
          <w:tcPr>
            <w:tcW w:w="2073" w:type="dxa"/>
            <w:noWrap/>
            <w:hideMark/>
          </w:tcPr>
          <w:p w14:paraId="00F9D27D"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21.39</w:t>
            </w:r>
          </w:p>
        </w:tc>
      </w:tr>
      <w:tr w:rsidR="002D7048" w:rsidRPr="002D7048" w14:paraId="5CFCFB3F" w14:textId="77777777" w:rsidTr="007265BD">
        <w:trPr>
          <w:trHeight w:val="20"/>
        </w:trPr>
        <w:tc>
          <w:tcPr>
            <w:tcW w:w="0" w:type="auto"/>
            <w:vMerge/>
            <w:hideMark/>
          </w:tcPr>
          <w:p w14:paraId="039EDCD0" w14:textId="77777777" w:rsidR="002D7048" w:rsidRPr="002D7048" w:rsidRDefault="002D7048" w:rsidP="007265BD">
            <w:pPr>
              <w:spacing w:line="259" w:lineRule="auto"/>
              <w:rPr>
                <w:rFonts w:ascii="Garamond" w:hAnsi="Garamond"/>
                <w:bCs/>
                <w:iCs/>
                <w:sz w:val="20"/>
                <w:szCs w:val="20"/>
                <w:lang w:val="id-ID"/>
              </w:rPr>
            </w:pPr>
          </w:p>
        </w:tc>
        <w:tc>
          <w:tcPr>
            <w:tcW w:w="2202" w:type="dxa"/>
            <w:noWrap/>
            <w:hideMark/>
          </w:tcPr>
          <w:p w14:paraId="0089C6F5"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Private Hospital C</w:t>
            </w:r>
          </w:p>
        </w:tc>
        <w:tc>
          <w:tcPr>
            <w:tcW w:w="1890" w:type="dxa"/>
            <w:noWrap/>
            <w:hideMark/>
          </w:tcPr>
          <w:p w14:paraId="40A2675A"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50</w:t>
            </w:r>
          </w:p>
        </w:tc>
        <w:tc>
          <w:tcPr>
            <w:tcW w:w="2073" w:type="dxa"/>
            <w:noWrap/>
            <w:hideMark/>
          </w:tcPr>
          <w:p w14:paraId="3163CEB0"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12.02</w:t>
            </w:r>
          </w:p>
        </w:tc>
      </w:tr>
      <w:tr w:rsidR="002D7048" w:rsidRPr="002D7048" w14:paraId="7C4E81C2" w14:textId="77777777" w:rsidTr="007265BD">
        <w:trPr>
          <w:trHeight w:val="20"/>
        </w:trPr>
        <w:tc>
          <w:tcPr>
            <w:tcW w:w="0" w:type="auto"/>
            <w:vMerge/>
            <w:tcBorders>
              <w:bottom w:val="single" w:sz="4" w:space="0" w:color="auto"/>
            </w:tcBorders>
            <w:hideMark/>
          </w:tcPr>
          <w:p w14:paraId="703F7A66" w14:textId="77777777" w:rsidR="002D7048" w:rsidRPr="002D7048" w:rsidRDefault="002D7048" w:rsidP="007265BD">
            <w:pPr>
              <w:spacing w:line="259" w:lineRule="auto"/>
              <w:rPr>
                <w:rFonts w:ascii="Garamond" w:hAnsi="Garamond"/>
                <w:bCs/>
                <w:iCs/>
                <w:sz w:val="20"/>
                <w:szCs w:val="20"/>
                <w:lang w:val="id-ID"/>
              </w:rPr>
            </w:pPr>
          </w:p>
        </w:tc>
        <w:tc>
          <w:tcPr>
            <w:tcW w:w="2202" w:type="dxa"/>
            <w:tcBorders>
              <w:bottom w:val="single" w:sz="4" w:space="0" w:color="auto"/>
            </w:tcBorders>
            <w:noWrap/>
            <w:hideMark/>
          </w:tcPr>
          <w:p w14:paraId="4E478514"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Private Hospital D</w:t>
            </w:r>
          </w:p>
        </w:tc>
        <w:tc>
          <w:tcPr>
            <w:tcW w:w="1890" w:type="dxa"/>
            <w:tcBorders>
              <w:bottom w:val="single" w:sz="4" w:space="0" w:color="auto"/>
            </w:tcBorders>
            <w:noWrap/>
            <w:hideMark/>
          </w:tcPr>
          <w:p w14:paraId="28C92B01"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6</w:t>
            </w:r>
          </w:p>
        </w:tc>
        <w:tc>
          <w:tcPr>
            <w:tcW w:w="2073" w:type="dxa"/>
            <w:tcBorders>
              <w:bottom w:val="single" w:sz="4" w:space="0" w:color="auto"/>
            </w:tcBorders>
            <w:noWrap/>
            <w:hideMark/>
          </w:tcPr>
          <w:p w14:paraId="48839DEE" w14:textId="77777777" w:rsidR="002D7048" w:rsidRPr="002D7048" w:rsidRDefault="002D7048" w:rsidP="007265BD">
            <w:pPr>
              <w:spacing w:line="259" w:lineRule="auto"/>
              <w:rPr>
                <w:rFonts w:ascii="Garamond" w:hAnsi="Garamond"/>
                <w:bCs/>
                <w:iCs/>
                <w:sz w:val="20"/>
                <w:szCs w:val="20"/>
                <w:lang w:val="id-ID"/>
              </w:rPr>
            </w:pPr>
            <w:r w:rsidRPr="002D7048">
              <w:rPr>
                <w:rFonts w:ascii="Garamond" w:hAnsi="Garamond"/>
                <w:bCs/>
                <w:iCs/>
                <w:sz w:val="20"/>
                <w:szCs w:val="20"/>
                <w:lang w:val="id-ID"/>
              </w:rPr>
              <w:t>1.44</w:t>
            </w:r>
          </w:p>
        </w:tc>
      </w:tr>
    </w:tbl>
    <w:p w14:paraId="601F1D2E" w14:textId="77777777" w:rsidR="002D7048" w:rsidRPr="002D7048" w:rsidRDefault="002D7048" w:rsidP="002D7048">
      <w:pPr>
        <w:spacing w:line="259" w:lineRule="auto"/>
        <w:jc w:val="both"/>
        <w:rPr>
          <w:rFonts w:ascii="Garamond" w:hAnsi="Garamond"/>
          <w:bCs/>
          <w:iCs/>
          <w:sz w:val="20"/>
          <w:szCs w:val="20"/>
        </w:rPr>
      </w:pPr>
    </w:p>
    <w:p w14:paraId="24AF58EF" w14:textId="77777777" w:rsidR="002D7048" w:rsidRPr="002D7048" w:rsidRDefault="002D7048" w:rsidP="002D7048">
      <w:pPr>
        <w:spacing w:line="259" w:lineRule="auto"/>
        <w:jc w:val="both"/>
        <w:rPr>
          <w:rFonts w:ascii="Garamond" w:hAnsi="Garamond"/>
          <w:bCs/>
          <w:iCs/>
          <w:sz w:val="20"/>
          <w:szCs w:val="20"/>
        </w:rPr>
      </w:pPr>
      <w:r w:rsidRPr="002D7048">
        <w:rPr>
          <w:rFonts w:ascii="Garamond" w:hAnsi="Garamond"/>
          <w:b/>
          <w:bCs/>
          <w:iCs/>
          <w:sz w:val="20"/>
          <w:szCs w:val="20"/>
          <w:lang w:val="id-ID"/>
        </w:rPr>
        <w:lastRenderedPageBreak/>
        <w:t>Table 2</w:t>
      </w:r>
      <w:r w:rsidRPr="002D7048">
        <w:rPr>
          <w:rFonts w:ascii="Garamond" w:hAnsi="Garamond"/>
          <w:bCs/>
          <w:iCs/>
          <w:sz w:val="20"/>
          <w:szCs w:val="20"/>
          <w:lang w:val="id-ID"/>
        </w:rPr>
        <w:t xml:space="preserve"> displays the features of the biggest population of ischemic stroke victims, aged 41 to 70 (78.61%). The proportion of males (54.57%) is greater than females. </w:t>
      </w:r>
      <w:r w:rsidRPr="002D7048">
        <w:rPr>
          <w:rFonts w:ascii="Garamond" w:hAnsi="Garamond"/>
          <w:bCs/>
          <w:iCs/>
          <w:sz w:val="20"/>
          <w:szCs w:val="20"/>
        </w:rPr>
        <w:t>The length of treatment for ischemic stroke patients in hospitals in the DI-Yogyakarta area has the largest range at 5-10 (79.33%).  Most ischemic stroke patients were treated in class III 188 patients (45.19%). The location of the most ischemic stroke treatment research in Type B Government hospitals was 89 patients (21.39%).</w:t>
      </w:r>
    </w:p>
    <w:p w14:paraId="75F39FE3" w14:textId="77777777" w:rsidR="002D7048" w:rsidRPr="002D7048" w:rsidRDefault="002D7048" w:rsidP="002D7048">
      <w:pPr>
        <w:spacing w:line="259" w:lineRule="auto"/>
        <w:jc w:val="both"/>
        <w:rPr>
          <w:rFonts w:ascii="Garamond" w:hAnsi="Garamond"/>
          <w:b/>
          <w:bCs/>
          <w:iCs/>
          <w:sz w:val="20"/>
          <w:szCs w:val="20"/>
        </w:rPr>
      </w:pPr>
    </w:p>
    <w:p w14:paraId="1E49CA38" w14:textId="77777777" w:rsidR="002D7048" w:rsidRPr="002D7048" w:rsidRDefault="002D7048" w:rsidP="002D7048">
      <w:pPr>
        <w:spacing w:line="259" w:lineRule="auto"/>
        <w:jc w:val="both"/>
        <w:rPr>
          <w:rFonts w:ascii="Garamond" w:hAnsi="Garamond"/>
          <w:bCs/>
          <w:iCs/>
          <w:sz w:val="20"/>
          <w:szCs w:val="20"/>
        </w:rPr>
      </w:pPr>
      <w:r w:rsidRPr="002D7048">
        <w:rPr>
          <w:rFonts w:ascii="Garamond" w:hAnsi="Garamond"/>
          <w:b/>
          <w:bCs/>
          <w:iCs/>
          <w:sz w:val="20"/>
          <w:szCs w:val="20"/>
          <w:lang w:val="id-ID"/>
        </w:rPr>
        <w:t xml:space="preserve">Table 3. </w:t>
      </w:r>
      <w:r w:rsidRPr="002D7048">
        <w:rPr>
          <w:rFonts w:ascii="Garamond" w:hAnsi="Garamond"/>
          <w:bCs/>
          <w:iCs/>
          <w:sz w:val="20"/>
          <w:szCs w:val="20"/>
          <w:lang w:val="id-ID"/>
        </w:rPr>
        <w:t>The real cost of outpatient ischemic stroke patients in hospitals in Yogyakarta (n= 416)</w:t>
      </w:r>
    </w:p>
    <w:tbl>
      <w:tblPr>
        <w:tblW w:w="5098" w:type="dxa"/>
        <w:jc w:val="center"/>
        <w:tblLook w:val="04A0" w:firstRow="1" w:lastRow="0" w:firstColumn="1" w:lastColumn="0" w:noHBand="0" w:noVBand="1"/>
      </w:tblPr>
      <w:tblGrid>
        <w:gridCol w:w="1442"/>
        <w:gridCol w:w="1416"/>
        <w:gridCol w:w="1532"/>
        <w:gridCol w:w="708"/>
      </w:tblGrid>
      <w:tr w:rsidR="002D7048" w:rsidRPr="002D7048" w14:paraId="416F090D" w14:textId="77777777" w:rsidTr="007265BD">
        <w:trPr>
          <w:trHeight w:val="315"/>
          <w:jc w:val="center"/>
        </w:trPr>
        <w:tc>
          <w:tcPr>
            <w:tcW w:w="1442" w:type="dxa"/>
            <w:vMerge w:val="restart"/>
            <w:tcBorders>
              <w:top w:val="single" w:sz="4" w:space="0" w:color="auto"/>
            </w:tcBorders>
            <w:vAlign w:val="center"/>
            <w:hideMark/>
          </w:tcPr>
          <w:p w14:paraId="0FDF7879" w14:textId="5524A26E" w:rsidR="002D7048" w:rsidRPr="00F03324" w:rsidRDefault="00F03324" w:rsidP="002D7048">
            <w:pPr>
              <w:spacing w:line="259" w:lineRule="auto"/>
              <w:jc w:val="both"/>
              <w:rPr>
                <w:rFonts w:ascii="Garamond" w:hAnsi="Garamond"/>
                <w:b/>
                <w:iCs/>
                <w:sz w:val="20"/>
                <w:szCs w:val="20"/>
                <w:lang w:val="id-ID"/>
              </w:rPr>
            </w:pPr>
            <w:proofErr w:type="spellStart"/>
            <w:r>
              <w:rPr>
                <w:rFonts w:ascii="Garamond" w:hAnsi="Garamond"/>
                <w:b/>
                <w:iCs/>
                <w:sz w:val="20"/>
                <w:szCs w:val="20"/>
                <w:lang w:val="id-ID"/>
              </w:rPr>
              <w:t>Cost</w:t>
            </w:r>
            <w:proofErr w:type="spellEnd"/>
          </w:p>
        </w:tc>
        <w:tc>
          <w:tcPr>
            <w:tcW w:w="2948" w:type="dxa"/>
            <w:gridSpan w:val="2"/>
            <w:tcBorders>
              <w:top w:val="single" w:sz="4" w:space="0" w:color="auto"/>
              <w:bottom w:val="single" w:sz="4" w:space="0" w:color="auto"/>
            </w:tcBorders>
            <w:noWrap/>
            <w:vAlign w:val="center"/>
            <w:hideMark/>
          </w:tcPr>
          <w:p w14:paraId="0B1D814B" w14:textId="4A5DCED2" w:rsidR="002D7048" w:rsidRPr="00F03324" w:rsidRDefault="002D7048" w:rsidP="00F03324">
            <w:pPr>
              <w:spacing w:line="259" w:lineRule="auto"/>
              <w:jc w:val="center"/>
              <w:rPr>
                <w:rFonts w:ascii="Garamond" w:hAnsi="Garamond"/>
                <w:b/>
                <w:iCs/>
                <w:sz w:val="20"/>
                <w:szCs w:val="20"/>
                <w:lang w:val="id-ID"/>
              </w:rPr>
            </w:pPr>
            <w:r w:rsidRPr="00F03324">
              <w:rPr>
                <w:rFonts w:ascii="Garamond" w:hAnsi="Garamond"/>
                <w:b/>
                <w:iCs/>
                <w:sz w:val="20"/>
                <w:szCs w:val="20"/>
                <w:lang w:val="id-ID"/>
              </w:rPr>
              <w:t xml:space="preserve">Real </w:t>
            </w:r>
            <w:proofErr w:type="spellStart"/>
            <w:r w:rsidRPr="00F03324">
              <w:rPr>
                <w:rFonts w:ascii="Garamond" w:hAnsi="Garamond"/>
                <w:b/>
                <w:iCs/>
                <w:sz w:val="20"/>
                <w:szCs w:val="20"/>
                <w:lang w:val="id-ID"/>
              </w:rPr>
              <w:t>Cost</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of</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Patients</w:t>
            </w:r>
            <w:proofErr w:type="spellEnd"/>
          </w:p>
        </w:tc>
        <w:tc>
          <w:tcPr>
            <w:tcW w:w="708" w:type="dxa"/>
            <w:vMerge w:val="restart"/>
            <w:tcBorders>
              <w:top w:val="single" w:sz="4" w:space="0" w:color="auto"/>
            </w:tcBorders>
            <w:noWrap/>
            <w:vAlign w:val="center"/>
            <w:hideMark/>
          </w:tcPr>
          <w:p w14:paraId="05F5CAB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P</w:t>
            </w:r>
          </w:p>
        </w:tc>
      </w:tr>
      <w:tr w:rsidR="002D7048" w:rsidRPr="002D7048" w14:paraId="09D96923" w14:textId="77777777" w:rsidTr="007265BD">
        <w:trPr>
          <w:trHeight w:val="300"/>
          <w:jc w:val="center"/>
        </w:trPr>
        <w:tc>
          <w:tcPr>
            <w:tcW w:w="1442" w:type="dxa"/>
            <w:vMerge/>
            <w:tcBorders>
              <w:bottom w:val="single" w:sz="4" w:space="0" w:color="auto"/>
            </w:tcBorders>
            <w:vAlign w:val="center"/>
            <w:hideMark/>
          </w:tcPr>
          <w:p w14:paraId="5BBB1C80" w14:textId="77777777" w:rsidR="002D7048" w:rsidRPr="002D7048" w:rsidRDefault="002D7048" w:rsidP="002D7048">
            <w:pPr>
              <w:spacing w:line="259" w:lineRule="auto"/>
              <w:jc w:val="both"/>
              <w:rPr>
                <w:rFonts w:ascii="Garamond" w:hAnsi="Garamond"/>
                <w:bCs/>
                <w:iCs/>
                <w:sz w:val="20"/>
                <w:szCs w:val="20"/>
                <w:lang w:val="id-ID"/>
              </w:rPr>
            </w:pPr>
          </w:p>
        </w:tc>
        <w:tc>
          <w:tcPr>
            <w:tcW w:w="1416" w:type="dxa"/>
            <w:tcBorders>
              <w:top w:val="single" w:sz="4" w:space="0" w:color="auto"/>
              <w:bottom w:val="single" w:sz="4" w:space="0" w:color="auto"/>
            </w:tcBorders>
            <w:noWrap/>
            <w:vAlign w:val="center"/>
            <w:hideMark/>
          </w:tcPr>
          <w:p w14:paraId="3441401B" w14:textId="76F79596"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Sum </w:t>
            </w:r>
            <w:r w:rsidR="007265BD" w:rsidRPr="002D7048">
              <w:rPr>
                <w:rFonts w:ascii="Garamond" w:hAnsi="Garamond"/>
                <w:bCs/>
                <w:iCs/>
                <w:sz w:val="20"/>
                <w:szCs w:val="20"/>
                <w:lang w:val="id-ID"/>
              </w:rPr>
              <w:t>(IDR)</w:t>
            </w:r>
          </w:p>
        </w:tc>
        <w:tc>
          <w:tcPr>
            <w:tcW w:w="1532" w:type="dxa"/>
            <w:tcBorders>
              <w:top w:val="single" w:sz="4" w:space="0" w:color="auto"/>
              <w:bottom w:val="single" w:sz="4" w:space="0" w:color="auto"/>
            </w:tcBorders>
            <w:noWrap/>
            <w:vAlign w:val="center"/>
            <w:hideMark/>
          </w:tcPr>
          <w:p w14:paraId="46450AF9" w14:textId="490F9C9A" w:rsidR="002D7048" w:rsidRPr="002D7048" w:rsidRDefault="002D7048" w:rsidP="002D7048">
            <w:pPr>
              <w:spacing w:line="259" w:lineRule="auto"/>
              <w:jc w:val="both"/>
              <w:rPr>
                <w:rFonts w:ascii="Garamond" w:hAnsi="Garamond"/>
                <w:bCs/>
                <w:iCs/>
                <w:sz w:val="20"/>
                <w:szCs w:val="20"/>
                <w:lang w:val="id-ID"/>
              </w:rPr>
            </w:pPr>
            <w:proofErr w:type="spellStart"/>
            <w:r w:rsidRPr="002D7048">
              <w:rPr>
                <w:rFonts w:ascii="Garamond" w:hAnsi="Garamond"/>
                <w:bCs/>
                <w:iCs/>
                <w:sz w:val="20"/>
                <w:szCs w:val="20"/>
                <w:lang w:val="id-ID"/>
              </w:rPr>
              <w:t>Average</w:t>
            </w:r>
            <w:proofErr w:type="spellEnd"/>
            <w:r w:rsidR="007265BD">
              <w:rPr>
                <w:rFonts w:ascii="Garamond" w:hAnsi="Garamond"/>
                <w:bCs/>
                <w:iCs/>
                <w:sz w:val="20"/>
                <w:szCs w:val="20"/>
                <w:lang w:val="id-ID"/>
              </w:rPr>
              <w:t xml:space="preserve"> </w:t>
            </w:r>
            <w:r w:rsidR="007265BD" w:rsidRPr="002D7048">
              <w:rPr>
                <w:rFonts w:ascii="Garamond" w:hAnsi="Garamond"/>
                <w:bCs/>
                <w:iCs/>
                <w:sz w:val="20"/>
                <w:szCs w:val="20"/>
                <w:lang w:val="id-ID"/>
              </w:rPr>
              <w:t>(IDR)</w:t>
            </w:r>
          </w:p>
        </w:tc>
        <w:tc>
          <w:tcPr>
            <w:tcW w:w="708" w:type="dxa"/>
            <w:vMerge/>
            <w:tcBorders>
              <w:bottom w:val="single" w:sz="4" w:space="0" w:color="auto"/>
            </w:tcBorders>
            <w:vAlign w:val="center"/>
            <w:hideMark/>
          </w:tcPr>
          <w:p w14:paraId="61C2D104"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6375AE3F" w14:textId="77777777" w:rsidTr="007265BD">
        <w:trPr>
          <w:trHeight w:val="300"/>
          <w:jc w:val="center"/>
        </w:trPr>
        <w:tc>
          <w:tcPr>
            <w:tcW w:w="1442" w:type="dxa"/>
            <w:tcBorders>
              <w:top w:val="single" w:sz="4" w:space="0" w:color="auto"/>
            </w:tcBorders>
            <w:noWrap/>
            <w:vAlign w:val="center"/>
            <w:hideMark/>
          </w:tcPr>
          <w:p w14:paraId="4A1E4200" w14:textId="77777777" w:rsidR="002D7048" w:rsidRPr="002D7048" w:rsidRDefault="002D7048" w:rsidP="002D7048">
            <w:pPr>
              <w:spacing w:line="259" w:lineRule="auto"/>
              <w:jc w:val="both"/>
              <w:rPr>
                <w:rFonts w:ascii="Garamond" w:hAnsi="Garamond"/>
                <w:bCs/>
                <w:iCs/>
                <w:sz w:val="20"/>
                <w:szCs w:val="20"/>
                <w:lang w:val="id-ID"/>
              </w:rPr>
            </w:pPr>
            <w:proofErr w:type="spellStart"/>
            <w:r w:rsidRPr="002D7048">
              <w:rPr>
                <w:rFonts w:ascii="Garamond" w:hAnsi="Garamond"/>
                <w:bCs/>
                <w:iCs/>
                <w:sz w:val="20"/>
                <w:szCs w:val="20"/>
                <w:lang w:val="id-ID"/>
              </w:rPr>
              <w:t>High</w:t>
            </w:r>
            <w:proofErr w:type="spellEnd"/>
            <w:r w:rsidRPr="002D7048">
              <w:rPr>
                <w:rFonts w:ascii="Garamond" w:hAnsi="Garamond"/>
                <w:bCs/>
                <w:iCs/>
                <w:sz w:val="20"/>
                <w:szCs w:val="20"/>
                <w:lang w:val="id-ID"/>
              </w:rPr>
              <w:t xml:space="preserve"> </w:t>
            </w:r>
          </w:p>
        </w:tc>
        <w:tc>
          <w:tcPr>
            <w:tcW w:w="1416" w:type="dxa"/>
            <w:tcBorders>
              <w:top w:val="single" w:sz="4" w:space="0" w:color="auto"/>
            </w:tcBorders>
            <w:noWrap/>
            <w:vAlign w:val="center"/>
            <w:hideMark/>
          </w:tcPr>
          <w:p w14:paraId="05D6C4D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573.328.700</w:t>
            </w:r>
          </w:p>
        </w:tc>
        <w:tc>
          <w:tcPr>
            <w:tcW w:w="1532" w:type="dxa"/>
            <w:tcBorders>
              <w:top w:val="single" w:sz="4" w:space="0" w:color="auto"/>
            </w:tcBorders>
            <w:noWrap/>
            <w:vAlign w:val="center"/>
            <w:hideMark/>
          </w:tcPr>
          <w:p w14:paraId="1B4ACAA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249.599</w:t>
            </w:r>
          </w:p>
        </w:tc>
        <w:tc>
          <w:tcPr>
            <w:tcW w:w="708" w:type="dxa"/>
            <w:tcBorders>
              <w:top w:val="single" w:sz="4" w:space="0" w:color="auto"/>
            </w:tcBorders>
            <w:noWrap/>
            <w:vAlign w:val="center"/>
            <w:hideMark/>
          </w:tcPr>
          <w:p w14:paraId="1F4CE18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0,673</w:t>
            </w:r>
          </w:p>
        </w:tc>
      </w:tr>
      <w:tr w:rsidR="002D7048" w:rsidRPr="002D7048" w14:paraId="030EDF14" w14:textId="77777777" w:rsidTr="007265BD">
        <w:trPr>
          <w:trHeight w:val="300"/>
          <w:jc w:val="center"/>
        </w:trPr>
        <w:tc>
          <w:tcPr>
            <w:tcW w:w="1442" w:type="dxa"/>
            <w:noWrap/>
            <w:vAlign w:val="center"/>
            <w:hideMark/>
          </w:tcPr>
          <w:p w14:paraId="34AA806D" w14:textId="4D210F76" w:rsidR="002D7048" w:rsidRPr="002D7048" w:rsidRDefault="002D7048" w:rsidP="002D7048">
            <w:pPr>
              <w:spacing w:line="259" w:lineRule="auto"/>
              <w:jc w:val="both"/>
              <w:rPr>
                <w:rFonts w:ascii="Garamond" w:hAnsi="Garamond"/>
                <w:bCs/>
                <w:iCs/>
                <w:sz w:val="20"/>
                <w:szCs w:val="20"/>
                <w:lang w:val="id-ID"/>
              </w:rPr>
            </w:pPr>
            <w:proofErr w:type="spellStart"/>
            <w:r w:rsidRPr="002D7048">
              <w:rPr>
                <w:rFonts w:ascii="Garamond" w:hAnsi="Garamond"/>
                <w:bCs/>
                <w:iCs/>
                <w:sz w:val="20"/>
                <w:szCs w:val="20"/>
                <w:lang w:val="id-ID"/>
              </w:rPr>
              <w:t>Mid</w:t>
            </w:r>
            <w:r w:rsidR="00F03324">
              <w:rPr>
                <w:rFonts w:ascii="Garamond" w:hAnsi="Garamond"/>
                <w:bCs/>
                <w:iCs/>
                <w:sz w:val="20"/>
                <w:szCs w:val="20"/>
                <w:lang w:val="id-ID"/>
              </w:rPr>
              <w:t>d</w:t>
            </w:r>
            <w:r w:rsidRPr="002D7048">
              <w:rPr>
                <w:rFonts w:ascii="Garamond" w:hAnsi="Garamond"/>
                <w:bCs/>
                <w:iCs/>
                <w:sz w:val="20"/>
                <w:szCs w:val="20"/>
                <w:lang w:val="id-ID"/>
              </w:rPr>
              <w:t>le</w:t>
            </w:r>
            <w:proofErr w:type="spellEnd"/>
          </w:p>
        </w:tc>
        <w:tc>
          <w:tcPr>
            <w:tcW w:w="1416" w:type="dxa"/>
            <w:noWrap/>
            <w:vAlign w:val="center"/>
            <w:hideMark/>
          </w:tcPr>
          <w:p w14:paraId="0C0DB1C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43.098.307</w:t>
            </w:r>
          </w:p>
        </w:tc>
        <w:tc>
          <w:tcPr>
            <w:tcW w:w="1532" w:type="dxa"/>
            <w:noWrap/>
            <w:vAlign w:val="center"/>
            <w:hideMark/>
          </w:tcPr>
          <w:p w14:paraId="0469495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139.477</w:t>
            </w:r>
          </w:p>
        </w:tc>
        <w:tc>
          <w:tcPr>
            <w:tcW w:w="708" w:type="dxa"/>
            <w:noWrap/>
            <w:vAlign w:val="center"/>
            <w:hideMark/>
          </w:tcPr>
          <w:p w14:paraId="562FCE6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0,073</w:t>
            </w:r>
          </w:p>
        </w:tc>
      </w:tr>
      <w:tr w:rsidR="002D7048" w:rsidRPr="002D7048" w14:paraId="4E4D6A07" w14:textId="77777777" w:rsidTr="007265BD">
        <w:trPr>
          <w:trHeight w:val="300"/>
          <w:jc w:val="center"/>
        </w:trPr>
        <w:tc>
          <w:tcPr>
            <w:tcW w:w="1442" w:type="dxa"/>
            <w:tcBorders>
              <w:bottom w:val="single" w:sz="4" w:space="0" w:color="auto"/>
            </w:tcBorders>
            <w:noWrap/>
            <w:vAlign w:val="center"/>
          </w:tcPr>
          <w:p w14:paraId="6C90AD92"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Low </w:t>
            </w:r>
          </w:p>
        </w:tc>
        <w:tc>
          <w:tcPr>
            <w:tcW w:w="1416" w:type="dxa"/>
            <w:tcBorders>
              <w:bottom w:val="single" w:sz="4" w:space="0" w:color="auto"/>
            </w:tcBorders>
            <w:noWrap/>
            <w:vAlign w:val="center"/>
          </w:tcPr>
          <w:p w14:paraId="055FB9C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12.567.854</w:t>
            </w:r>
          </w:p>
        </w:tc>
        <w:tc>
          <w:tcPr>
            <w:tcW w:w="1532" w:type="dxa"/>
            <w:tcBorders>
              <w:bottom w:val="single" w:sz="4" w:space="0" w:color="auto"/>
            </w:tcBorders>
            <w:noWrap/>
            <w:vAlign w:val="center"/>
          </w:tcPr>
          <w:p w14:paraId="446785F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129.566</w:t>
            </w:r>
          </w:p>
        </w:tc>
        <w:tc>
          <w:tcPr>
            <w:tcW w:w="708" w:type="dxa"/>
            <w:tcBorders>
              <w:bottom w:val="single" w:sz="4" w:space="0" w:color="auto"/>
            </w:tcBorders>
            <w:noWrap/>
            <w:vAlign w:val="center"/>
          </w:tcPr>
          <w:p w14:paraId="528B8A81"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0,154</w:t>
            </w:r>
          </w:p>
        </w:tc>
      </w:tr>
    </w:tbl>
    <w:p w14:paraId="0AE96F5B" w14:textId="77777777" w:rsidR="002D7048" w:rsidRPr="002D7048" w:rsidRDefault="002D7048" w:rsidP="002D7048">
      <w:pPr>
        <w:spacing w:line="259" w:lineRule="auto"/>
        <w:jc w:val="both"/>
        <w:rPr>
          <w:rFonts w:ascii="Garamond" w:hAnsi="Garamond"/>
          <w:b/>
          <w:bCs/>
          <w:iCs/>
          <w:sz w:val="20"/>
          <w:szCs w:val="20"/>
          <w:lang w:val="id-ID"/>
        </w:rPr>
      </w:pPr>
    </w:p>
    <w:p w14:paraId="38619D3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
          <w:bCs/>
          <w:iCs/>
          <w:sz w:val="20"/>
          <w:szCs w:val="20"/>
          <w:lang w:val="id-ID"/>
        </w:rPr>
        <w:t>Table 3</w:t>
      </w:r>
      <w:r w:rsidRPr="002D7048">
        <w:rPr>
          <w:rFonts w:ascii="Garamond" w:hAnsi="Garamond"/>
          <w:bCs/>
          <w:iCs/>
          <w:sz w:val="20"/>
          <w:szCs w:val="20"/>
          <w:lang w:val="id-ID"/>
        </w:rPr>
        <w:t>. shows that in outpatient ischemic stroke patients with high real cost were Rp. 573.328.700, middle cost Rp. 43.098.307, and low cost Rp. 12.567.854.</w:t>
      </w:r>
    </w:p>
    <w:p w14:paraId="13DA53A7" w14:textId="77777777" w:rsidR="002D7048" w:rsidRPr="002D7048" w:rsidRDefault="002D7048" w:rsidP="002D7048">
      <w:pPr>
        <w:spacing w:line="259" w:lineRule="auto"/>
        <w:jc w:val="both"/>
        <w:rPr>
          <w:rFonts w:ascii="Garamond" w:hAnsi="Garamond"/>
          <w:bCs/>
          <w:iCs/>
          <w:sz w:val="20"/>
          <w:szCs w:val="20"/>
          <w:lang w:val="id-ID"/>
        </w:rPr>
      </w:pPr>
    </w:p>
    <w:p w14:paraId="39C7F85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
          <w:bCs/>
          <w:iCs/>
          <w:sz w:val="20"/>
          <w:szCs w:val="20"/>
          <w:lang w:val="id-ID"/>
        </w:rPr>
        <w:t>Table 4</w:t>
      </w:r>
      <w:r w:rsidRPr="002D7048">
        <w:rPr>
          <w:rFonts w:ascii="Garamond" w:hAnsi="Garamond"/>
          <w:bCs/>
          <w:iCs/>
          <w:sz w:val="20"/>
          <w:szCs w:val="20"/>
          <w:lang w:val="id-ID"/>
        </w:rPr>
        <w:t>. Relationship between factors with real cost of patient’s ischemic stroke patients in hospitals in Yogyakarta</w:t>
      </w:r>
    </w:p>
    <w:tbl>
      <w:tblPr>
        <w:tblStyle w:val="TableGrid"/>
        <w:tblW w:w="0" w:type="auto"/>
        <w:tblBorders>
          <w:top w:val="single" w:sz="4" w:space="0" w:color="000000"/>
          <w:left w:val="none" w:sz="0" w:space="0" w:color="auto"/>
          <w:bottom w:val="single" w:sz="4" w:space="0" w:color="000000"/>
          <w:right w:val="none" w:sz="0" w:space="0" w:color="auto"/>
          <w:insideH w:val="none" w:sz="0" w:space="0" w:color="auto"/>
          <w:insideV w:val="none" w:sz="0" w:space="0" w:color="auto"/>
        </w:tblBorders>
        <w:tblLook w:val="04A0" w:firstRow="1" w:lastRow="0" w:firstColumn="1" w:lastColumn="0" w:noHBand="0" w:noVBand="1"/>
      </w:tblPr>
      <w:tblGrid>
        <w:gridCol w:w="1560"/>
        <w:gridCol w:w="1583"/>
        <w:gridCol w:w="1530"/>
        <w:gridCol w:w="1559"/>
        <w:gridCol w:w="1560"/>
        <w:gridCol w:w="1134"/>
      </w:tblGrid>
      <w:tr w:rsidR="002D7048" w:rsidRPr="002D7048" w14:paraId="3CB9AC42" w14:textId="77777777" w:rsidTr="00F03324">
        <w:trPr>
          <w:tblHeader/>
        </w:trPr>
        <w:tc>
          <w:tcPr>
            <w:tcW w:w="1560" w:type="dxa"/>
            <w:vMerge w:val="restart"/>
            <w:tcBorders>
              <w:top w:val="single" w:sz="4" w:space="0" w:color="000000"/>
              <w:bottom w:val="single" w:sz="4" w:space="0" w:color="auto"/>
            </w:tcBorders>
          </w:tcPr>
          <w:p w14:paraId="47903206"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 xml:space="preserve">Variables  </w:t>
            </w:r>
          </w:p>
        </w:tc>
        <w:tc>
          <w:tcPr>
            <w:tcW w:w="4672" w:type="dxa"/>
            <w:gridSpan w:val="3"/>
            <w:tcBorders>
              <w:top w:val="single" w:sz="4" w:space="0" w:color="000000"/>
              <w:bottom w:val="single" w:sz="4" w:space="0" w:color="auto"/>
            </w:tcBorders>
          </w:tcPr>
          <w:p w14:paraId="01DBDE09" w14:textId="77777777" w:rsidR="002D7048" w:rsidRPr="002D7048" w:rsidRDefault="002D7048" w:rsidP="00F03324">
            <w:pPr>
              <w:spacing w:line="259" w:lineRule="auto"/>
              <w:jc w:val="center"/>
              <w:rPr>
                <w:rFonts w:ascii="Garamond" w:hAnsi="Garamond"/>
                <w:b/>
                <w:bCs/>
                <w:iCs/>
                <w:sz w:val="20"/>
                <w:szCs w:val="20"/>
                <w:lang w:val="id-ID"/>
              </w:rPr>
            </w:pPr>
            <w:r w:rsidRPr="002D7048">
              <w:rPr>
                <w:rFonts w:ascii="Garamond" w:hAnsi="Garamond"/>
                <w:b/>
                <w:bCs/>
                <w:iCs/>
                <w:sz w:val="20"/>
                <w:szCs w:val="20"/>
                <w:lang w:val="id-ID"/>
              </w:rPr>
              <w:t>Real cost</w:t>
            </w:r>
          </w:p>
        </w:tc>
        <w:tc>
          <w:tcPr>
            <w:tcW w:w="1560" w:type="dxa"/>
            <w:vMerge w:val="restart"/>
            <w:tcBorders>
              <w:top w:val="single" w:sz="4" w:space="0" w:color="000000"/>
              <w:bottom w:val="single" w:sz="4" w:space="0" w:color="auto"/>
            </w:tcBorders>
          </w:tcPr>
          <w:p w14:paraId="6AE1A82E"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Total (%)</w:t>
            </w:r>
          </w:p>
        </w:tc>
        <w:tc>
          <w:tcPr>
            <w:tcW w:w="1134" w:type="dxa"/>
            <w:vMerge w:val="restart"/>
            <w:tcBorders>
              <w:top w:val="single" w:sz="4" w:space="0" w:color="000000"/>
              <w:bottom w:val="single" w:sz="4" w:space="0" w:color="auto"/>
            </w:tcBorders>
          </w:tcPr>
          <w:p w14:paraId="6DFDCD4B"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p-value</w:t>
            </w:r>
          </w:p>
        </w:tc>
      </w:tr>
      <w:tr w:rsidR="002D7048" w:rsidRPr="002D7048" w14:paraId="63BA8473" w14:textId="77777777" w:rsidTr="00F03324">
        <w:trPr>
          <w:tblHeader/>
        </w:trPr>
        <w:tc>
          <w:tcPr>
            <w:tcW w:w="1560" w:type="dxa"/>
            <w:vMerge/>
            <w:tcBorders>
              <w:top w:val="single" w:sz="4" w:space="0" w:color="auto"/>
              <w:bottom w:val="single" w:sz="4" w:space="0" w:color="auto"/>
            </w:tcBorders>
          </w:tcPr>
          <w:p w14:paraId="3A123D1D" w14:textId="77777777" w:rsidR="002D7048" w:rsidRPr="002D7048" w:rsidRDefault="002D7048" w:rsidP="002D7048">
            <w:pPr>
              <w:spacing w:line="259" w:lineRule="auto"/>
              <w:jc w:val="both"/>
              <w:rPr>
                <w:rFonts w:ascii="Garamond" w:hAnsi="Garamond"/>
                <w:bCs/>
                <w:iCs/>
                <w:sz w:val="20"/>
                <w:szCs w:val="20"/>
                <w:lang w:val="id-ID"/>
              </w:rPr>
            </w:pPr>
          </w:p>
        </w:tc>
        <w:tc>
          <w:tcPr>
            <w:tcW w:w="1583" w:type="dxa"/>
            <w:tcBorders>
              <w:top w:val="single" w:sz="4" w:space="0" w:color="auto"/>
              <w:bottom w:val="single" w:sz="4" w:space="0" w:color="auto"/>
            </w:tcBorders>
          </w:tcPr>
          <w:p w14:paraId="68BF52E8" w14:textId="77777777" w:rsidR="002D7048" w:rsidRPr="00F03324" w:rsidRDefault="002D7048" w:rsidP="002D7048">
            <w:pPr>
              <w:spacing w:line="259" w:lineRule="auto"/>
              <w:jc w:val="both"/>
              <w:rPr>
                <w:rFonts w:ascii="Garamond" w:hAnsi="Garamond"/>
                <w:b/>
                <w:iCs/>
                <w:sz w:val="20"/>
                <w:szCs w:val="20"/>
                <w:lang w:val="id-ID"/>
              </w:rPr>
            </w:pPr>
            <w:r w:rsidRPr="00F03324">
              <w:rPr>
                <w:rFonts w:ascii="Garamond" w:hAnsi="Garamond"/>
                <w:b/>
                <w:iCs/>
                <w:sz w:val="20"/>
                <w:szCs w:val="20"/>
                <w:lang w:val="id-ID"/>
              </w:rPr>
              <w:t xml:space="preserve">High (%) </w:t>
            </w:r>
          </w:p>
        </w:tc>
        <w:tc>
          <w:tcPr>
            <w:tcW w:w="1530" w:type="dxa"/>
            <w:tcBorders>
              <w:top w:val="single" w:sz="4" w:space="0" w:color="auto"/>
              <w:bottom w:val="single" w:sz="4" w:space="0" w:color="auto"/>
            </w:tcBorders>
          </w:tcPr>
          <w:p w14:paraId="0EDC722A" w14:textId="77777777" w:rsidR="002D7048" w:rsidRPr="00F03324" w:rsidRDefault="002D7048" w:rsidP="002D7048">
            <w:pPr>
              <w:spacing w:line="259" w:lineRule="auto"/>
              <w:jc w:val="both"/>
              <w:rPr>
                <w:rFonts w:ascii="Garamond" w:hAnsi="Garamond"/>
                <w:b/>
                <w:iCs/>
                <w:sz w:val="20"/>
                <w:szCs w:val="20"/>
                <w:lang w:val="id-ID"/>
              </w:rPr>
            </w:pPr>
            <w:r w:rsidRPr="00F03324">
              <w:rPr>
                <w:rFonts w:ascii="Garamond" w:hAnsi="Garamond"/>
                <w:b/>
                <w:iCs/>
                <w:sz w:val="20"/>
                <w:szCs w:val="20"/>
                <w:lang w:val="id-ID"/>
              </w:rPr>
              <w:t xml:space="preserve">Middle (%) </w:t>
            </w:r>
          </w:p>
        </w:tc>
        <w:tc>
          <w:tcPr>
            <w:tcW w:w="1559" w:type="dxa"/>
            <w:tcBorders>
              <w:top w:val="single" w:sz="4" w:space="0" w:color="auto"/>
              <w:bottom w:val="single" w:sz="4" w:space="0" w:color="auto"/>
            </w:tcBorders>
          </w:tcPr>
          <w:p w14:paraId="3A146D9B" w14:textId="77777777" w:rsidR="002D7048" w:rsidRPr="00F03324" w:rsidRDefault="002D7048" w:rsidP="002D7048">
            <w:pPr>
              <w:spacing w:line="259" w:lineRule="auto"/>
              <w:jc w:val="both"/>
              <w:rPr>
                <w:rFonts w:ascii="Garamond" w:hAnsi="Garamond"/>
                <w:b/>
                <w:iCs/>
                <w:sz w:val="20"/>
                <w:szCs w:val="20"/>
                <w:lang w:val="id-ID"/>
              </w:rPr>
            </w:pPr>
            <w:r w:rsidRPr="00F03324">
              <w:rPr>
                <w:rFonts w:ascii="Garamond" w:hAnsi="Garamond"/>
                <w:b/>
                <w:iCs/>
                <w:sz w:val="20"/>
                <w:szCs w:val="20"/>
                <w:lang w:val="id-ID"/>
              </w:rPr>
              <w:t xml:space="preserve">Low (%) </w:t>
            </w:r>
          </w:p>
        </w:tc>
        <w:tc>
          <w:tcPr>
            <w:tcW w:w="1560" w:type="dxa"/>
            <w:vMerge/>
            <w:tcBorders>
              <w:top w:val="single" w:sz="4" w:space="0" w:color="auto"/>
              <w:bottom w:val="single" w:sz="4" w:space="0" w:color="auto"/>
            </w:tcBorders>
          </w:tcPr>
          <w:p w14:paraId="3CBD9D90" w14:textId="77777777" w:rsidR="002D7048" w:rsidRPr="002D7048" w:rsidRDefault="002D7048" w:rsidP="002D7048">
            <w:pPr>
              <w:spacing w:line="259" w:lineRule="auto"/>
              <w:jc w:val="both"/>
              <w:rPr>
                <w:rFonts w:ascii="Garamond" w:hAnsi="Garamond"/>
                <w:bCs/>
                <w:iCs/>
                <w:sz w:val="20"/>
                <w:szCs w:val="20"/>
                <w:lang w:val="id-ID"/>
              </w:rPr>
            </w:pPr>
          </w:p>
        </w:tc>
        <w:tc>
          <w:tcPr>
            <w:tcW w:w="1134" w:type="dxa"/>
            <w:vMerge/>
            <w:tcBorders>
              <w:top w:val="single" w:sz="4" w:space="0" w:color="auto"/>
              <w:bottom w:val="single" w:sz="4" w:space="0" w:color="auto"/>
            </w:tcBorders>
          </w:tcPr>
          <w:p w14:paraId="51527760"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1CB4AD7F" w14:textId="77777777" w:rsidTr="00826404">
        <w:tc>
          <w:tcPr>
            <w:tcW w:w="1560" w:type="dxa"/>
            <w:tcBorders>
              <w:top w:val="single" w:sz="4" w:space="0" w:color="auto"/>
            </w:tcBorders>
          </w:tcPr>
          <w:p w14:paraId="0578232C"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Age (years)</w:t>
            </w:r>
          </w:p>
        </w:tc>
        <w:tc>
          <w:tcPr>
            <w:tcW w:w="1583" w:type="dxa"/>
            <w:tcBorders>
              <w:top w:val="single" w:sz="4" w:space="0" w:color="auto"/>
            </w:tcBorders>
          </w:tcPr>
          <w:p w14:paraId="6CE9F7F8" w14:textId="77777777" w:rsidR="002D7048" w:rsidRPr="002D7048" w:rsidRDefault="002D7048" w:rsidP="002D7048">
            <w:pPr>
              <w:spacing w:line="259" w:lineRule="auto"/>
              <w:jc w:val="both"/>
              <w:rPr>
                <w:rFonts w:ascii="Garamond" w:hAnsi="Garamond"/>
                <w:bCs/>
                <w:iCs/>
                <w:sz w:val="20"/>
                <w:szCs w:val="20"/>
                <w:lang w:val="id-ID"/>
              </w:rPr>
            </w:pPr>
          </w:p>
        </w:tc>
        <w:tc>
          <w:tcPr>
            <w:tcW w:w="1530" w:type="dxa"/>
            <w:tcBorders>
              <w:top w:val="single" w:sz="4" w:space="0" w:color="auto"/>
            </w:tcBorders>
          </w:tcPr>
          <w:p w14:paraId="66DACCA5" w14:textId="77777777" w:rsidR="002D7048" w:rsidRPr="002D7048" w:rsidRDefault="002D7048" w:rsidP="002D7048">
            <w:pPr>
              <w:spacing w:line="259" w:lineRule="auto"/>
              <w:jc w:val="both"/>
              <w:rPr>
                <w:rFonts w:ascii="Garamond" w:hAnsi="Garamond"/>
                <w:bCs/>
                <w:iCs/>
                <w:sz w:val="20"/>
                <w:szCs w:val="20"/>
                <w:lang w:val="id-ID"/>
              </w:rPr>
            </w:pPr>
          </w:p>
        </w:tc>
        <w:tc>
          <w:tcPr>
            <w:tcW w:w="1559" w:type="dxa"/>
            <w:tcBorders>
              <w:top w:val="single" w:sz="4" w:space="0" w:color="auto"/>
            </w:tcBorders>
          </w:tcPr>
          <w:p w14:paraId="72E9B0FA" w14:textId="77777777" w:rsidR="002D7048" w:rsidRPr="002D7048" w:rsidRDefault="002D7048" w:rsidP="002D7048">
            <w:pPr>
              <w:spacing w:line="259" w:lineRule="auto"/>
              <w:jc w:val="both"/>
              <w:rPr>
                <w:rFonts w:ascii="Garamond" w:hAnsi="Garamond"/>
                <w:bCs/>
                <w:iCs/>
                <w:sz w:val="20"/>
                <w:szCs w:val="20"/>
                <w:lang w:val="id-ID"/>
              </w:rPr>
            </w:pPr>
          </w:p>
        </w:tc>
        <w:tc>
          <w:tcPr>
            <w:tcW w:w="1560" w:type="dxa"/>
            <w:tcBorders>
              <w:top w:val="single" w:sz="4" w:space="0" w:color="auto"/>
            </w:tcBorders>
          </w:tcPr>
          <w:p w14:paraId="0A375B43" w14:textId="77777777" w:rsidR="002D7048" w:rsidRPr="002D7048" w:rsidRDefault="002D7048" w:rsidP="002D7048">
            <w:pPr>
              <w:spacing w:line="259" w:lineRule="auto"/>
              <w:jc w:val="both"/>
              <w:rPr>
                <w:rFonts w:ascii="Garamond" w:hAnsi="Garamond"/>
                <w:bCs/>
                <w:iCs/>
                <w:sz w:val="20"/>
                <w:szCs w:val="20"/>
                <w:lang w:val="id-ID"/>
              </w:rPr>
            </w:pPr>
          </w:p>
        </w:tc>
        <w:tc>
          <w:tcPr>
            <w:tcW w:w="1134" w:type="dxa"/>
            <w:vMerge w:val="restart"/>
            <w:tcBorders>
              <w:top w:val="single" w:sz="4" w:space="0" w:color="auto"/>
            </w:tcBorders>
          </w:tcPr>
          <w:p w14:paraId="08B4D74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0.025*</w:t>
            </w:r>
          </w:p>
        </w:tc>
      </w:tr>
      <w:tr w:rsidR="002D7048" w:rsidRPr="002D7048" w14:paraId="4B069790" w14:textId="77777777" w:rsidTr="00826404">
        <w:tc>
          <w:tcPr>
            <w:tcW w:w="1560" w:type="dxa"/>
          </w:tcPr>
          <w:p w14:paraId="5A7092AA"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&lt;41</w:t>
            </w:r>
          </w:p>
        </w:tc>
        <w:tc>
          <w:tcPr>
            <w:tcW w:w="1583" w:type="dxa"/>
          </w:tcPr>
          <w:p w14:paraId="2BB76012"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 (37.5%)</w:t>
            </w:r>
          </w:p>
        </w:tc>
        <w:tc>
          <w:tcPr>
            <w:tcW w:w="1530" w:type="dxa"/>
          </w:tcPr>
          <w:p w14:paraId="34ED63F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 (25%)</w:t>
            </w:r>
          </w:p>
        </w:tc>
        <w:tc>
          <w:tcPr>
            <w:tcW w:w="1559" w:type="dxa"/>
          </w:tcPr>
          <w:p w14:paraId="1221A56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 (37.5%)</w:t>
            </w:r>
          </w:p>
        </w:tc>
        <w:tc>
          <w:tcPr>
            <w:tcW w:w="1560" w:type="dxa"/>
          </w:tcPr>
          <w:p w14:paraId="2FD2EE48"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8 (100%)</w:t>
            </w:r>
          </w:p>
        </w:tc>
        <w:tc>
          <w:tcPr>
            <w:tcW w:w="1134" w:type="dxa"/>
            <w:vMerge/>
          </w:tcPr>
          <w:p w14:paraId="4A0C0AC9"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036277D9" w14:textId="77777777" w:rsidTr="00826404">
        <w:tc>
          <w:tcPr>
            <w:tcW w:w="1560" w:type="dxa"/>
          </w:tcPr>
          <w:p w14:paraId="56F14148"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41-70</w:t>
            </w:r>
          </w:p>
        </w:tc>
        <w:tc>
          <w:tcPr>
            <w:tcW w:w="1583" w:type="dxa"/>
          </w:tcPr>
          <w:p w14:paraId="00625C6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169 (39.58%)</w:t>
            </w:r>
          </w:p>
        </w:tc>
        <w:tc>
          <w:tcPr>
            <w:tcW w:w="1530" w:type="dxa"/>
          </w:tcPr>
          <w:p w14:paraId="588058F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142 (33.26%)</w:t>
            </w:r>
          </w:p>
        </w:tc>
        <w:tc>
          <w:tcPr>
            <w:tcW w:w="1559" w:type="dxa"/>
          </w:tcPr>
          <w:p w14:paraId="4EE23C12"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116 (27.17%)</w:t>
            </w:r>
          </w:p>
        </w:tc>
        <w:tc>
          <w:tcPr>
            <w:tcW w:w="1560" w:type="dxa"/>
          </w:tcPr>
          <w:p w14:paraId="5827712E"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427 (100%)</w:t>
            </w:r>
          </w:p>
        </w:tc>
        <w:tc>
          <w:tcPr>
            <w:tcW w:w="1134" w:type="dxa"/>
            <w:vMerge/>
          </w:tcPr>
          <w:p w14:paraId="7C2DC81A"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2E2C2424" w14:textId="77777777" w:rsidTr="00826404">
        <w:tc>
          <w:tcPr>
            <w:tcW w:w="1560" w:type="dxa"/>
          </w:tcPr>
          <w:p w14:paraId="739C709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&gt;70</w:t>
            </w:r>
          </w:p>
        </w:tc>
        <w:tc>
          <w:tcPr>
            <w:tcW w:w="1583" w:type="dxa"/>
          </w:tcPr>
          <w:p w14:paraId="5398F40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31 (51.67%)</w:t>
            </w:r>
          </w:p>
        </w:tc>
        <w:tc>
          <w:tcPr>
            <w:tcW w:w="1530" w:type="dxa"/>
          </w:tcPr>
          <w:p w14:paraId="2DD684F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27 (45%)</w:t>
            </w:r>
          </w:p>
        </w:tc>
        <w:tc>
          <w:tcPr>
            <w:tcW w:w="1559" w:type="dxa"/>
          </w:tcPr>
          <w:p w14:paraId="19B8AC9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 (3.33%)</w:t>
            </w:r>
          </w:p>
        </w:tc>
        <w:tc>
          <w:tcPr>
            <w:tcW w:w="1560" w:type="dxa"/>
          </w:tcPr>
          <w:p w14:paraId="5CC1C5B1"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60(100%)</w:t>
            </w:r>
          </w:p>
        </w:tc>
        <w:tc>
          <w:tcPr>
            <w:tcW w:w="1134" w:type="dxa"/>
            <w:vMerge/>
          </w:tcPr>
          <w:p w14:paraId="10C9F0EB"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4F8FF20A" w14:textId="77777777" w:rsidTr="00826404">
        <w:tc>
          <w:tcPr>
            <w:tcW w:w="1560" w:type="dxa"/>
          </w:tcPr>
          <w:p w14:paraId="6E733877"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 xml:space="preserve">Gender </w:t>
            </w:r>
          </w:p>
        </w:tc>
        <w:tc>
          <w:tcPr>
            <w:tcW w:w="1583" w:type="dxa"/>
          </w:tcPr>
          <w:p w14:paraId="554A20B2" w14:textId="77777777" w:rsidR="002D7048" w:rsidRPr="002D7048" w:rsidRDefault="002D7048" w:rsidP="002D7048">
            <w:pPr>
              <w:spacing w:line="259" w:lineRule="auto"/>
              <w:jc w:val="both"/>
              <w:rPr>
                <w:rFonts w:ascii="Garamond" w:hAnsi="Garamond"/>
                <w:bCs/>
                <w:iCs/>
                <w:sz w:val="20"/>
                <w:szCs w:val="20"/>
                <w:lang w:val="id-ID"/>
              </w:rPr>
            </w:pPr>
          </w:p>
        </w:tc>
        <w:tc>
          <w:tcPr>
            <w:tcW w:w="1530" w:type="dxa"/>
          </w:tcPr>
          <w:p w14:paraId="17D5230F" w14:textId="77777777" w:rsidR="002D7048" w:rsidRPr="002D7048" w:rsidRDefault="002D7048" w:rsidP="002D7048">
            <w:pPr>
              <w:spacing w:line="259" w:lineRule="auto"/>
              <w:jc w:val="both"/>
              <w:rPr>
                <w:rFonts w:ascii="Garamond" w:hAnsi="Garamond"/>
                <w:bCs/>
                <w:iCs/>
                <w:sz w:val="20"/>
                <w:szCs w:val="20"/>
                <w:lang w:val="id-ID"/>
              </w:rPr>
            </w:pPr>
          </w:p>
        </w:tc>
        <w:tc>
          <w:tcPr>
            <w:tcW w:w="1559" w:type="dxa"/>
          </w:tcPr>
          <w:p w14:paraId="66AEBA7B" w14:textId="77777777" w:rsidR="002D7048" w:rsidRPr="002D7048" w:rsidRDefault="002D7048" w:rsidP="002D7048">
            <w:pPr>
              <w:spacing w:line="259" w:lineRule="auto"/>
              <w:jc w:val="both"/>
              <w:rPr>
                <w:rFonts w:ascii="Garamond" w:hAnsi="Garamond"/>
                <w:bCs/>
                <w:iCs/>
                <w:sz w:val="20"/>
                <w:szCs w:val="20"/>
                <w:lang w:val="id-ID"/>
              </w:rPr>
            </w:pPr>
          </w:p>
        </w:tc>
        <w:tc>
          <w:tcPr>
            <w:tcW w:w="1560" w:type="dxa"/>
          </w:tcPr>
          <w:p w14:paraId="5834FE30" w14:textId="77777777" w:rsidR="002D7048" w:rsidRPr="002D7048" w:rsidRDefault="002D7048" w:rsidP="002D7048">
            <w:pPr>
              <w:spacing w:line="259" w:lineRule="auto"/>
              <w:jc w:val="both"/>
              <w:rPr>
                <w:rFonts w:ascii="Garamond" w:hAnsi="Garamond"/>
                <w:bCs/>
                <w:iCs/>
                <w:sz w:val="20"/>
                <w:szCs w:val="20"/>
                <w:lang w:val="id-ID"/>
              </w:rPr>
            </w:pPr>
          </w:p>
        </w:tc>
        <w:tc>
          <w:tcPr>
            <w:tcW w:w="1134" w:type="dxa"/>
          </w:tcPr>
          <w:p w14:paraId="04085ACC"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701142B2" w14:textId="77777777" w:rsidTr="00826404">
        <w:tc>
          <w:tcPr>
            <w:tcW w:w="1560" w:type="dxa"/>
          </w:tcPr>
          <w:p w14:paraId="604550B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Male </w:t>
            </w:r>
          </w:p>
        </w:tc>
        <w:tc>
          <w:tcPr>
            <w:tcW w:w="1583" w:type="dxa"/>
          </w:tcPr>
          <w:p w14:paraId="5E3713B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126 (55.51%)</w:t>
            </w:r>
          </w:p>
        </w:tc>
        <w:tc>
          <w:tcPr>
            <w:tcW w:w="1530" w:type="dxa"/>
          </w:tcPr>
          <w:p w14:paraId="01FD128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75 (33.04%)</w:t>
            </w:r>
          </w:p>
        </w:tc>
        <w:tc>
          <w:tcPr>
            <w:tcW w:w="1559" w:type="dxa"/>
          </w:tcPr>
          <w:p w14:paraId="64BC88DA"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26 (11.45%)</w:t>
            </w:r>
          </w:p>
        </w:tc>
        <w:tc>
          <w:tcPr>
            <w:tcW w:w="1560" w:type="dxa"/>
          </w:tcPr>
          <w:p w14:paraId="2FDAFBC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227 (100%)</w:t>
            </w:r>
          </w:p>
        </w:tc>
        <w:tc>
          <w:tcPr>
            <w:tcW w:w="1134" w:type="dxa"/>
            <w:vMerge w:val="restart"/>
          </w:tcPr>
          <w:p w14:paraId="7EFAA17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0.031*</w:t>
            </w:r>
          </w:p>
        </w:tc>
      </w:tr>
      <w:tr w:rsidR="002D7048" w:rsidRPr="002D7048" w14:paraId="0131C49E" w14:textId="77777777" w:rsidTr="00826404">
        <w:tc>
          <w:tcPr>
            <w:tcW w:w="1560" w:type="dxa"/>
          </w:tcPr>
          <w:p w14:paraId="6138993A"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Female </w:t>
            </w:r>
          </w:p>
        </w:tc>
        <w:tc>
          <w:tcPr>
            <w:tcW w:w="1583" w:type="dxa"/>
          </w:tcPr>
          <w:p w14:paraId="535B3BE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83 (43.92%)</w:t>
            </w:r>
          </w:p>
        </w:tc>
        <w:tc>
          <w:tcPr>
            <w:tcW w:w="1530" w:type="dxa"/>
          </w:tcPr>
          <w:p w14:paraId="6E170EF2"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43 (22.75%)</w:t>
            </w:r>
          </w:p>
        </w:tc>
        <w:tc>
          <w:tcPr>
            <w:tcW w:w="1559" w:type="dxa"/>
          </w:tcPr>
          <w:p w14:paraId="05A552E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63 (33.33%)</w:t>
            </w:r>
          </w:p>
        </w:tc>
        <w:tc>
          <w:tcPr>
            <w:tcW w:w="1560" w:type="dxa"/>
          </w:tcPr>
          <w:p w14:paraId="326B0F10"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189 (100%)</w:t>
            </w:r>
          </w:p>
        </w:tc>
        <w:tc>
          <w:tcPr>
            <w:tcW w:w="1134" w:type="dxa"/>
            <w:vMerge/>
          </w:tcPr>
          <w:p w14:paraId="502D9ECB" w14:textId="77777777" w:rsidR="002D7048" w:rsidRPr="002D7048" w:rsidRDefault="002D7048" w:rsidP="002D7048">
            <w:pPr>
              <w:spacing w:line="259" w:lineRule="auto"/>
              <w:jc w:val="both"/>
              <w:rPr>
                <w:rFonts w:ascii="Garamond" w:hAnsi="Garamond"/>
                <w:bCs/>
                <w:iCs/>
                <w:sz w:val="20"/>
                <w:szCs w:val="20"/>
                <w:lang w:val="id-ID"/>
              </w:rPr>
            </w:pPr>
          </w:p>
        </w:tc>
      </w:tr>
      <w:tr w:rsidR="007265BD" w:rsidRPr="002D7048" w14:paraId="09CC8D3A" w14:textId="77777777" w:rsidTr="00B638C6">
        <w:tc>
          <w:tcPr>
            <w:tcW w:w="3143" w:type="dxa"/>
            <w:gridSpan w:val="2"/>
          </w:tcPr>
          <w:p w14:paraId="444A2B21" w14:textId="349A4A84" w:rsidR="007265BD" w:rsidRPr="002D7048" w:rsidRDefault="007265BD" w:rsidP="002D7048">
            <w:pPr>
              <w:spacing w:line="259" w:lineRule="auto"/>
              <w:jc w:val="both"/>
              <w:rPr>
                <w:rFonts w:ascii="Garamond" w:hAnsi="Garamond"/>
                <w:bCs/>
                <w:iCs/>
                <w:sz w:val="20"/>
                <w:szCs w:val="20"/>
                <w:lang w:val="id-ID"/>
              </w:rPr>
            </w:pPr>
            <w:proofErr w:type="spellStart"/>
            <w:r w:rsidRPr="002D7048">
              <w:rPr>
                <w:rFonts w:ascii="Garamond" w:hAnsi="Garamond"/>
                <w:b/>
                <w:bCs/>
                <w:iCs/>
                <w:sz w:val="20"/>
                <w:szCs w:val="20"/>
                <w:lang w:val="id-ID"/>
              </w:rPr>
              <w:t>Length</w:t>
            </w:r>
            <w:proofErr w:type="spellEnd"/>
            <w:r w:rsidRPr="002D7048">
              <w:rPr>
                <w:rFonts w:ascii="Garamond" w:hAnsi="Garamond"/>
                <w:b/>
                <w:bCs/>
                <w:iCs/>
                <w:sz w:val="20"/>
                <w:szCs w:val="20"/>
                <w:lang w:val="id-ID"/>
              </w:rPr>
              <w:t xml:space="preserve"> </w:t>
            </w:r>
            <w:proofErr w:type="spellStart"/>
            <w:r w:rsidRPr="002D7048">
              <w:rPr>
                <w:rFonts w:ascii="Garamond" w:hAnsi="Garamond"/>
                <w:b/>
                <w:bCs/>
                <w:iCs/>
                <w:sz w:val="20"/>
                <w:szCs w:val="20"/>
                <w:lang w:val="id-ID"/>
              </w:rPr>
              <w:t>of</w:t>
            </w:r>
            <w:proofErr w:type="spellEnd"/>
            <w:r w:rsidRPr="002D7048">
              <w:rPr>
                <w:rFonts w:ascii="Garamond" w:hAnsi="Garamond"/>
                <w:b/>
                <w:bCs/>
                <w:iCs/>
                <w:sz w:val="20"/>
                <w:szCs w:val="20"/>
                <w:lang w:val="id-ID"/>
              </w:rPr>
              <w:t xml:space="preserve"> </w:t>
            </w:r>
            <w:proofErr w:type="spellStart"/>
            <w:r w:rsidRPr="002D7048">
              <w:rPr>
                <w:rFonts w:ascii="Garamond" w:hAnsi="Garamond"/>
                <w:b/>
                <w:bCs/>
                <w:iCs/>
                <w:sz w:val="20"/>
                <w:szCs w:val="20"/>
                <w:lang w:val="id-ID"/>
              </w:rPr>
              <w:t>Stay</w:t>
            </w:r>
            <w:proofErr w:type="spellEnd"/>
            <w:r w:rsidRPr="002D7048">
              <w:rPr>
                <w:rFonts w:ascii="Garamond" w:hAnsi="Garamond"/>
                <w:b/>
                <w:bCs/>
                <w:iCs/>
                <w:sz w:val="20"/>
                <w:szCs w:val="20"/>
                <w:lang w:val="id-ID"/>
              </w:rPr>
              <w:t xml:space="preserve"> (</w:t>
            </w:r>
            <w:proofErr w:type="spellStart"/>
            <w:r w:rsidRPr="002D7048">
              <w:rPr>
                <w:rFonts w:ascii="Garamond" w:hAnsi="Garamond"/>
                <w:b/>
                <w:bCs/>
                <w:iCs/>
                <w:sz w:val="20"/>
                <w:szCs w:val="20"/>
                <w:lang w:val="id-ID"/>
              </w:rPr>
              <w:t>days</w:t>
            </w:r>
            <w:proofErr w:type="spellEnd"/>
            <w:r w:rsidRPr="002D7048">
              <w:rPr>
                <w:rFonts w:ascii="Garamond" w:hAnsi="Garamond"/>
                <w:b/>
                <w:bCs/>
                <w:iCs/>
                <w:sz w:val="20"/>
                <w:szCs w:val="20"/>
                <w:lang w:val="id-ID"/>
              </w:rPr>
              <w:t>)</w:t>
            </w:r>
          </w:p>
        </w:tc>
        <w:tc>
          <w:tcPr>
            <w:tcW w:w="1530" w:type="dxa"/>
          </w:tcPr>
          <w:p w14:paraId="6C6574DE" w14:textId="77777777" w:rsidR="007265BD" w:rsidRPr="002D7048" w:rsidRDefault="007265BD" w:rsidP="002D7048">
            <w:pPr>
              <w:spacing w:line="259" w:lineRule="auto"/>
              <w:jc w:val="both"/>
              <w:rPr>
                <w:rFonts w:ascii="Garamond" w:hAnsi="Garamond"/>
                <w:bCs/>
                <w:iCs/>
                <w:sz w:val="20"/>
                <w:szCs w:val="20"/>
                <w:lang w:val="id-ID"/>
              </w:rPr>
            </w:pPr>
          </w:p>
        </w:tc>
        <w:tc>
          <w:tcPr>
            <w:tcW w:w="1559" w:type="dxa"/>
          </w:tcPr>
          <w:p w14:paraId="0B41475D" w14:textId="77777777" w:rsidR="007265BD" w:rsidRPr="002D7048" w:rsidRDefault="007265BD" w:rsidP="002D7048">
            <w:pPr>
              <w:spacing w:line="259" w:lineRule="auto"/>
              <w:jc w:val="both"/>
              <w:rPr>
                <w:rFonts w:ascii="Garamond" w:hAnsi="Garamond"/>
                <w:bCs/>
                <w:iCs/>
                <w:sz w:val="20"/>
                <w:szCs w:val="20"/>
                <w:lang w:val="id-ID"/>
              </w:rPr>
            </w:pPr>
          </w:p>
        </w:tc>
        <w:tc>
          <w:tcPr>
            <w:tcW w:w="1560" w:type="dxa"/>
          </w:tcPr>
          <w:p w14:paraId="625B5EAD" w14:textId="77777777" w:rsidR="007265BD" w:rsidRPr="002D7048" w:rsidRDefault="007265BD" w:rsidP="002D7048">
            <w:pPr>
              <w:spacing w:line="259" w:lineRule="auto"/>
              <w:jc w:val="both"/>
              <w:rPr>
                <w:rFonts w:ascii="Garamond" w:hAnsi="Garamond"/>
                <w:bCs/>
                <w:iCs/>
                <w:sz w:val="20"/>
                <w:szCs w:val="20"/>
                <w:lang w:val="id-ID"/>
              </w:rPr>
            </w:pPr>
          </w:p>
        </w:tc>
        <w:tc>
          <w:tcPr>
            <w:tcW w:w="1134" w:type="dxa"/>
          </w:tcPr>
          <w:p w14:paraId="664BECE9" w14:textId="77777777" w:rsidR="007265BD" w:rsidRPr="002D7048" w:rsidRDefault="007265BD" w:rsidP="002D7048">
            <w:pPr>
              <w:spacing w:line="259" w:lineRule="auto"/>
              <w:jc w:val="both"/>
              <w:rPr>
                <w:rFonts w:ascii="Garamond" w:hAnsi="Garamond"/>
                <w:bCs/>
                <w:iCs/>
                <w:sz w:val="20"/>
                <w:szCs w:val="20"/>
                <w:lang w:val="id-ID"/>
              </w:rPr>
            </w:pPr>
          </w:p>
        </w:tc>
      </w:tr>
      <w:tr w:rsidR="002D7048" w:rsidRPr="002D7048" w14:paraId="35C5D082" w14:textId="77777777" w:rsidTr="00826404">
        <w:tc>
          <w:tcPr>
            <w:tcW w:w="1560" w:type="dxa"/>
          </w:tcPr>
          <w:p w14:paraId="075290B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&lt;5 </w:t>
            </w:r>
            <w:proofErr w:type="spellStart"/>
            <w:r w:rsidRPr="002D7048">
              <w:rPr>
                <w:rFonts w:ascii="Garamond" w:hAnsi="Garamond"/>
                <w:bCs/>
                <w:iCs/>
                <w:sz w:val="20"/>
                <w:szCs w:val="20"/>
                <w:lang w:val="id-ID"/>
              </w:rPr>
              <w:t>days</w:t>
            </w:r>
            <w:proofErr w:type="spellEnd"/>
          </w:p>
        </w:tc>
        <w:tc>
          <w:tcPr>
            <w:tcW w:w="1583" w:type="dxa"/>
          </w:tcPr>
          <w:p w14:paraId="05874BA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28 (39.44%)</w:t>
            </w:r>
          </w:p>
        </w:tc>
        <w:tc>
          <w:tcPr>
            <w:tcW w:w="1530" w:type="dxa"/>
          </w:tcPr>
          <w:p w14:paraId="326DE07E"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20 (28.17%)</w:t>
            </w:r>
          </w:p>
        </w:tc>
        <w:tc>
          <w:tcPr>
            <w:tcW w:w="1559" w:type="dxa"/>
          </w:tcPr>
          <w:p w14:paraId="3C4A1CA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23 (32.39%)</w:t>
            </w:r>
          </w:p>
        </w:tc>
        <w:tc>
          <w:tcPr>
            <w:tcW w:w="1560" w:type="dxa"/>
          </w:tcPr>
          <w:p w14:paraId="023A65E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71 (100%)</w:t>
            </w:r>
          </w:p>
        </w:tc>
        <w:tc>
          <w:tcPr>
            <w:tcW w:w="1134" w:type="dxa"/>
            <w:vMerge w:val="restart"/>
          </w:tcPr>
          <w:p w14:paraId="1563EE9E"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0.017*</w:t>
            </w:r>
          </w:p>
        </w:tc>
      </w:tr>
      <w:tr w:rsidR="002D7048" w:rsidRPr="002D7048" w14:paraId="086A09E7" w14:textId="77777777" w:rsidTr="00826404">
        <w:tc>
          <w:tcPr>
            <w:tcW w:w="1560" w:type="dxa"/>
          </w:tcPr>
          <w:p w14:paraId="00DCE30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5-10 days</w:t>
            </w:r>
          </w:p>
        </w:tc>
        <w:tc>
          <w:tcPr>
            <w:tcW w:w="1583" w:type="dxa"/>
          </w:tcPr>
          <w:p w14:paraId="34FEF25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171 (51.82%)</w:t>
            </w:r>
          </w:p>
        </w:tc>
        <w:tc>
          <w:tcPr>
            <w:tcW w:w="1530" w:type="dxa"/>
          </w:tcPr>
          <w:p w14:paraId="33A3C92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60 (18.18%)</w:t>
            </w:r>
          </w:p>
        </w:tc>
        <w:tc>
          <w:tcPr>
            <w:tcW w:w="1559" w:type="dxa"/>
          </w:tcPr>
          <w:p w14:paraId="2D6992F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99 (30%)</w:t>
            </w:r>
          </w:p>
        </w:tc>
        <w:tc>
          <w:tcPr>
            <w:tcW w:w="1560" w:type="dxa"/>
          </w:tcPr>
          <w:p w14:paraId="4637ADC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330 (100%)</w:t>
            </w:r>
          </w:p>
        </w:tc>
        <w:tc>
          <w:tcPr>
            <w:tcW w:w="1134" w:type="dxa"/>
            <w:vMerge/>
          </w:tcPr>
          <w:p w14:paraId="6111F17C"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3CDD086E" w14:textId="77777777" w:rsidTr="00826404">
        <w:tc>
          <w:tcPr>
            <w:tcW w:w="1560" w:type="dxa"/>
          </w:tcPr>
          <w:p w14:paraId="670A8CF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11-15 days</w:t>
            </w:r>
          </w:p>
        </w:tc>
        <w:tc>
          <w:tcPr>
            <w:tcW w:w="1583" w:type="dxa"/>
          </w:tcPr>
          <w:p w14:paraId="1ACE42A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 (54.55%)</w:t>
            </w:r>
          </w:p>
        </w:tc>
        <w:tc>
          <w:tcPr>
            <w:tcW w:w="1530" w:type="dxa"/>
          </w:tcPr>
          <w:p w14:paraId="75E014F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 (18.18%)</w:t>
            </w:r>
          </w:p>
        </w:tc>
        <w:tc>
          <w:tcPr>
            <w:tcW w:w="1559" w:type="dxa"/>
          </w:tcPr>
          <w:p w14:paraId="30909A0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 (27.27%)</w:t>
            </w:r>
          </w:p>
        </w:tc>
        <w:tc>
          <w:tcPr>
            <w:tcW w:w="1560" w:type="dxa"/>
          </w:tcPr>
          <w:p w14:paraId="3671B9D0"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11 (100%)</w:t>
            </w:r>
          </w:p>
        </w:tc>
        <w:tc>
          <w:tcPr>
            <w:tcW w:w="1134" w:type="dxa"/>
            <w:vMerge/>
          </w:tcPr>
          <w:p w14:paraId="43F22E0A"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0BDDB474" w14:textId="77777777" w:rsidTr="00826404">
        <w:tc>
          <w:tcPr>
            <w:tcW w:w="1560" w:type="dxa"/>
          </w:tcPr>
          <w:p w14:paraId="069932CA"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&gt;15 days</w:t>
            </w:r>
          </w:p>
        </w:tc>
        <w:tc>
          <w:tcPr>
            <w:tcW w:w="1583" w:type="dxa"/>
          </w:tcPr>
          <w:p w14:paraId="3E3E2628"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 (50%)</w:t>
            </w:r>
          </w:p>
        </w:tc>
        <w:tc>
          <w:tcPr>
            <w:tcW w:w="1530" w:type="dxa"/>
          </w:tcPr>
          <w:p w14:paraId="714A9DE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 (25%)</w:t>
            </w:r>
          </w:p>
        </w:tc>
        <w:tc>
          <w:tcPr>
            <w:tcW w:w="1559" w:type="dxa"/>
          </w:tcPr>
          <w:p w14:paraId="56988AC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 (25%)</w:t>
            </w:r>
          </w:p>
        </w:tc>
        <w:tc>
          <w:tcPr>
            <w:tcW w:w="1560" w:type="dxa"/>
          </w:tcPr>
          <w:p w14:paraId="351192E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4 (100%)</w:t>
            </w:r>
          </w:p>
        </w:tc>
        <w:tc>
          <w:tcPr>
            <w:tcW w:w="1134" w:type="dxa"/>
            <w:vMerge/>
          </w:tcPr>
          <w:p w14:paraId="7E3D2C69"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686963DC" w14:textId="77777777" w:rsidTr="00826404">
        <w:tc>
          <w:tcPr>
            <w:tcW w:w="1560" w:type="dxa"/>
          </w:tcPr>
          <w:p w14:paraId="536086CE"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Inpatient Classes</w:t>
            </w:r>
          </w:p>
        </w:tc>
        <w:tc>
          <w:tcPr>
            <w:tcW w:w="1583" w:type="dxa"/>
          </w:tcPr>
          <w:p w14:paraId="39205D4F" w14:textId="77777777" w:rsidR="002D7048" w:rsidRPr="002D7048" w:rsidRDefault="002D7048" w:rsidP="002D7048">
            <w:pPr>
              <w:spacing w:line="259" w:lineRule="auto"/>
              <w:jc w:val="both"/>
              <w:rPr>
                <w:rFonts w:ascii="Garamond" w:hAnsi="Garamond"/>
                <w:bCs/>
                <w:iCs/>
                <w:sz w:val="20"/>
                <w:szCs w:val="20"/>
                <w:lang w:val="id-ID"/>
              </w:rPr>
            </w:pPr>
          </w:p>
        </w:tc>
        <w:tc>
          <w:tcPr>
            <w:tcW w:w="1530" w:type="dxa"/>
          </w:tcPr>
          <w:p w14:paraId="29A87CB0" w14:textId="77777777" w:rsidR="002D7048" w:rsidRPr="002D7048" w:rsidRDefault="002D7048" w:rsidP="002D7048">
            <w:pPr>
              <w:spacing w:line="259" w:lineRule="auto"/>
              <w:jc w:val="both"/>
              <w:rPr>
                <w:rFonts w:ascii="Garamond" w:hAnsi="Garamond"/>
                <w:bCs/>
                <w:iCs/>
                <w:sz w:val="20"/>
                <w:szCs w:val="20"/>
                <w:lang w:val="id-ID"/>
              </w:rPr>
            </w:pPr>
          </w:p>
        </w:tc>
        <w:tc>
          <w:tcPr>
            <w:tcW w:w="1559" w:type="dxa"/>
          </w:tcPr>
          <w:p w14:paraId="3FC42F60" w14:textId="77777777" w:rsidR="002D7048" w:rsidRPr="002D7048" w:rsidRDefault="002D7048" w:rsidP="002D7048">
            <w:pPr>
              <w:spacing w:line="259" w:lineRule="auto"/>
              <w:jc w:val="both"/>
              <w:rPr>
                <w:rFonts w:ascii="Garamond" w:hAnsi="Garamond"/>
                <w:bCs/>
                <w:iCs/>
                <w:sz w:val="20"/>
                <w:szCs w:val="20"/>
                <w:lang w:val="id-ID"/>
              </w:rPr>
            </w:pPr>
          </w:p>
        </w:tc>
        <w:tc>
          <w:tcPr>
            <w:tcW w:w="1560" w:type="dxa"/>
          </w:tcPr>
          <w:p w14:paraId="645A3BA2" w14:textId="77777777" w:rsidR="002D7048" w:rsidRPr="002D7048" w:rsidRDefault="002D7048" w:rsidP="002D7048">
            <w:pPr>
              <w:spacing w:line="259" w:lineRule="auto"/>
              <w:jc w:val="both"/>
              <w:rPr>
                <w:rFonts w:ascii="Garamond" w:hAnsi="Garamond"/>
                <w:bCs/>
                <w:iCs/>
                <w:sz w:val="20"/>
                <w:szCs w:val="20"/>
                <w:lang w:val="id-ID"/>
              </w:rPr>
            </w:pPr>
          </w:p>
        </w:tc>
        <w:tc>
          <w:tcPr>
            <w:tcW w:w="1134" w:type="dxa"/>
          </w:tcPr>
          <w:p w14:paraId="74AE93CF"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36EFE9FB" w14:textId="77777777" w:rsidTr="00826404">
        <w:tc>
          <w:tcPr>
            <w:tcW w:w="1560" w:type="dxa"/>
          </w:tcPr>
          <w:p w14:paraId="2E28CBE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Class I</w:t>
            </w:r>
          </w:p>
        </w:tc>
        <w:tc>
          <w:tcPr>
            <w:tcW w:w="1583" w:type="dxa"/>
          </w:tcPr>
          <w:p w14:paraId="6E236D1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61 (40.94%)</w:t>
            </w:r>
          </w:p>
        </w:tc>
        <w:tc>
          <w:tcPr>
            <w:tcW w:w="1530" w:type="dxa"/>
          </w:tcPr>
          <w:p w14:paraId="601C846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38 (25.50%)</w:t>
            </w:r>
          </w:p>
        </w:tc>
        <w:tc>
          <w:tcPr>
            <w:tcW w:w="1559" w:type="dxa"/>
          </w:tcPr>
          <w:p w14:paraId="410FA800"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50 (33.56%)</w:t>
            </w:r>
          </w:p>
        </w:tc>
        <w:tc>
          <w:tcPr>
            <w:tcW w:w="1560" w:type="dxa"/>
          </w:tcPr>
          <w:p w14:paraId="10ACE04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149 (100%)</w:t>
            </w:r>
          </w:p>
        </w:tc>
        <w:tc>
          <w:tcPr>
            <w:tcW w:w="1134" w:type="dxa"/>
            <w:vMerge w:val="restart"/>
          </w:tcPr>
          <w:p w14:paraId="5324697E"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0.012*</w:t>
            </w:r>
          </w:p>
        </w:tc>
      </w:tr>
      <w:tr w:rsidR="002D7048" w:rsidRPr="002D7048" w14:paraId="7C157CAB" w14:textId="77777777" w:rsidTr="00826404">
        <w:tc>
          <w:tcPr>
            <w:tcW w:w="1560" w:type="dxa"/>
          </w:tcPr>
          <w:p w14:paraId="2CF0088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Class II</w:t>
            </w:r>
          </w:p>
        </w:tc>
        <w:tc>
          <w:tcPr>
            <w:tcW w:w="1583" w:type="dxa"/>
          </w:tcPr>
          <w:p w14:paraId="0F84857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33 (41.77%)</w:t>
            </w:r>
          </w:p>
        </w:tc>
        <w:tc>
          <w:tcPr>
            <w:tcW w:w="1530" w:type="dxa"/>
          </w:tcPr>
          <w:p w14:paraId="6A01700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21 (26.58%)</w:t>
            </w:r>
          </w:p>
        </w:tc>
        <w:tc>
          <w:tcPr>
            <w:tcW w:w="1559" w:type="dxa"/>
          </w:tcPr>
          <w:p w14:paraId="543302F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25 (31.65%)</w:t>
            </w:r>
          </w:p>
        </w:tc>
        <w:tc>
          <w:tcPr>
            <w:tcW w:w="1560" w:type="dxa"/>
          </w:tcPr>
          <w:p w14:paraId="4406DDA8"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79 (100%)</w:t>
            </w:r>
          </w:p>
        </w:tc>
        <w:tc>
          <w:tcPr>
            <w:tcW w:w="1134" w:type="dxa"/>
            <w:vMerge/>
          </w:tcPr>
          <w:p w14:paraId="56725AE2"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40A31863" w14:textId="77777777" w:rsidTr="00826404">
        <w:tc>
          <w:tcPr>
            <w:tcW w:w="1560" w:type="dxa"/>
          </w:tcPr>
          <w:p w14:paraId="5F5CB3E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Class III</w:t>
            </w:r>
          </w:p>
        </w:tc>
        <w:tc>
          <w:tcPr>
            <w:tcW w:w="1583" w:type="dxa"/>
          </w:tcPr>
          <w:p w14:paraId="026E10C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74 (39.36%)</w:t>
            </w:r>
          </w:p>
        </w:tc>
        <w:tc>
          <w:tcPr>
            <w:tcW w:w="1530" w:type="dxa"/>
          </w:tcPr>
          <w:p w14:paraId="5385E7F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51 (27.13%)</w:t>
            </w:r>
          </w:p>
        </w:tc>
        <w:tc>
          <w:tcPr>
            <w:tcW w:w="1559" w:type="dxa"/>
          </w:tcPr>
          <w:p w14:paraId="532215B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63 (33.51%)</w:t>
            </w:r>
          </w:p>
        </w:tc>
        <w:tc>
          <w:tcPr>
            <w:tcW w:w="1560" w:type="dxa"/>
          </w:tcPr>
          <w:p w14:paraId="5DA772B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188 (100%)</w:t>
            </w:r>
          </w:p>
        </w:tc>
        <w:tc>
          <w:tcPr>
            <w:tcW w:w="1134" w:type="dxa"/>
            <w:vMerge/>
          </w:tcPr>
          <w:p w14:paraId="7BE94FB0"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5196E421" w14:textId="77777777" w:rsidTr="00826404">
        <w:tc>
          <w:tcPr>
            <w:tcW w:w="1560" w:type="dxa"/>
          </w:tcPr>
          <w:p w14:paraId="4BEB54C6" w14:textId="77777777" w:rsidR="002D7048" w:rsidRPr="002D7048" w:rsidRDefault="002D7048" w:rsidP="002D7048">
            <w:pPr>
              <w:spacing w:line="259" w:lineRule="auto"/>
              <w:jc w:val="both"/>
              <w:rPr>
                <w:rFonts w:ascii="Garamond" w:hAnsi="Garamond"/>
                <w:b/>
                <w:bCs/>
                <w:iCs/>
                <w:sz w:val="20"/>
                <w:szCs w:val="20"/>
                <w:lang w:val="id-ID"/>
              </w:rPr>
            </w:pPr>
            <w:r w:rsidRPr="002D7048">
              <w:rPr>
                <w:rFonts w:ascii="Garamond" w:hAnsi="Garamond"/>
                <w:b/>
                <w:bCs/>
                <w:iCs/>
                <w:sz w:val="20"/>
                <w:szCs w:val="20"/>
                <w:lang w:val="id-ID"/>
              </w:rPr>
              <w:t xml:space="preserve">Hospital types </w:t>
            </w:r>
          </w:p>
        </w:tc>
        <w:tc>
          <w:tcPr>
            <w:tcW w:w="1583" w:type="dxa"/>
          </w:tcPr>
          <w:p w14:paraId="1E1FFC5C" w14:textId="77777777" w:rsidR="002D7048" w:rsidRPr="002D7048" w:rsidRDefault="002D7048" w:rsidP="002D7048">
            <w:pPr>
              <w:spacing w:line="259" w:lineRule="auto"/>
              <w:jc w:val="both"/>
              <w:rPr>
                <w:rFonts w:ascii="Garamond" w:hAnsi="Garamond"/>
                <w:bCs/>
                <w:iCs/>
                <w:sz w:val="20"/>
                <w:szCs w:val="20"/>
                <w:lang w:val="id-ID"/>
              </w:rPr>
            </w:pPr>
          </w:p>
        </w:tc>
        <w:tc>
          <w:tcPr>
            <w:tcW w:w="1530" w:type="dxa"/>
          </w:tcPr>
          <w:p w14:paraId="4C211363" w14:textId="77777777" w:rsidR="002D7048" w:rsidRPr="002D7048" w:rsidRDefault="002D7048" w:rsidP="002D7048">
            <w:pPr>
              <w:spacing w:line="259" w:lineRule="auto"/>
              <w:jc w:val="both"/>
              <w:rPr>
                <w:rFonts w:ascii="Garamond" w:hAnsi="Garamond"/>
                <w:bCs/>
                <w:iCs/>
                <w:sz w:val="20"/>
                <w:szCs w:val="20"/>
                <w:lang w:val="id-ID"/>
              </w:rPr>
            </w:pPr>
          </w:p>
        </w:tc>
        <w:tc>
          <w:tcPr>
            <w:tcW w:w="1559" w:type="dxa"/>
          </w:tcPr>
          <w:p w14:paraId="2BF19F1F" w14:textId="77777777" w:rsidR="002D7048" w:rsidRPr="002D7048" w:rsidRDefault="002D7048" w:rsidP="002D7048">
            <w:pPr>
              <w:spacing w:line="259" w:lineRule="auto"/>
              <w:jc w:val="both"/>
              <w:rPr>
                <w:rFonts w:ascii="Garamond" w:hAnsi="Garamond"/>
                <w:bCs/>
                <w:iCs/>
                <w:sz w:val="20"/>
                <w:szCs w:val="20"/>
                <w:lang w:val="id-ID"/>
              </w:rPr>
            </w:pPr>
          </w:p>
        </w:tc>
        <w:tc>
          <w:tcPr>
            <w:tcW w:w="1560" w:type="dxa"/>
          </w:tcPr>
          <w:p w14:paraId="6F724026" w14:textId="77777777" w:rsidR="002D7048" w:rsidRPr="002D7048" w:rsidRDefault="002D7048" w:rsidP="002D7048">
            <w:pPr>
              <w:spacing w:line="259" w:lineRule="auto"/>
              <w:jc w:val="both"/>
              <w:rPr>
                <w:rFonts w:ascii="Garamond" w:hAnsi="Garamond"/>
                <w:bCs/>
                <w:iCs/>
                <w:sz w:val="20"/>
                <w:szCs w:val="20"/>
                <w:lang w:val="id-ID"/>
              </w:rPr>
            </w:pPr>
          </w:p>
        </w:tc>
        <w:tc>
          <w:tcPr>
            <w:tcW w:w="1134" w:type="dxa"/>
          </w:tcPr>
          <w:p w14:paraId="0D13F47C"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007906C2" w14:textId="77777777" w:rsidTr="00826404">
        <w:tc>
          <w:tcPr>
            <w:tcW w:w="1560" w:type="dxa"/>
          </w:tcPr>
          <w:p w14:paraId="24BAB0D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Government hospital B</w:t>
            </w:r>
          </w:p>
        </w:tc>
        <w:tc>
          <w:tcPr>
            <w:tcW w:w="1583" w:type="dxa"/>
          </w:tcPr>
          <w:p w14:paraId="291EDC5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95 (37.25%)</w:t>
            </w:r>
          </w:p>
        </w:tc>
        <w:tc>
          <w:tcPr>
            <w:tcW w:w="1530" w:type="dxa"/>
          </w:tcPr>
          <w:p w14:paraId="1FF7738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70 (27.45%)</w:t>
            </w:r>
          </w:p>
        </w:tc>
        <w:tc>
          <w:tcPr>
            <w:tcW w:w="1559" w:type="dxa"/>
          </w:tcPr>
          <w:p w14:paraId="731718C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90 (35.29%)</w:t>
            </w:r>
          </w:p>
        </w:tc>
        <w:tc>
          <w:tcPr>
            <w:tcW w:w="1560" w:type="dxa"/>
          </w:tcPr>
          <w:p w14:paraId="581E0F89"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255 (100%)</w:t>
            </w:r>
          </w:p>
        </w:tc>
        <w:tc>
          <w:tcPr>
            <w:tcW w:w="1134" w:type="dxa"/>
            <w:vMerge w:val="restart"/>
          </w:tcPr>
          <w:p w14:paraId="1446F02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0.019*</w:t>
            </w:r>
          </w:p>
        </w:tc>
      </w:tr>
      <w:tr w:rsidR="002D7048" w:rsidRPr="002D7048" w14:paraId="3BE12797" w14:textId="77777777" w:rsidTr="00826404">
        <w:tc>
          <w:tcPr>
            <w:tcW w:w="1560" w:type="dxa"/>
          </w:tcPr>
          <w:p w14:paraId="3E04DF1F"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Government hospital C</w:t>
            </w:r>
          </w:p>
        </w:tc>
        <w:tc>
          <w:tcPr>
            <w:tcW w:w="1583" w:type="dxa"/>
          </w:tcPr>
          <w:p w14:paraId="5BF08D4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 (37.5%)</w:t>
            </w:r>
          </w:p>
        </w:tc>
        <w:tc>
          <w:tcPr>
            <w:tcW w:w="1530" w:type="dxa"/>
          </w:tcPr>
          <w:p w14:paraId="36684950"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 (31.25%)</w:t>
            </w:r>
          </w:p>
        </w:tc>
        <w:tc>
          <w:tcPr>
            <w:tcW w:w="1559" w:type="dxa"/>
          </w:tcPr>
          <w:p w14:paraId="59D1533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 (31.25%)</w:t>
            </w:r>
          </w:p>
        </w:tc>
        <w:tc>
          <w:tcPr>
            <w:tcW w:w="1560" w:type="dxa"/>
          </w:tcPr>
          <w:p w14:paraId="4E720D9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16 (100%)</w:t>
            </w:r>
          </w:p>
        </w:tc>
        <w:tc>
          <w:tcPr>
            <w:tcW w:w="1134" w:type="dxa"/>
            <w:vMerge/>
          </w:tcPr>
          <w:p w14:paraId="088044EF"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5CA1ED05" w14:textId="77777777" w:rsidTr="00826404">
        <w:tc>
          <w:tcPr>
            <w:tcW w:w="1560" w:type="dxa"/>
          </w:tcPr>
          <w:p w14:paraId="47B8B07C"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Privat hospital B</w:t>
            </w:r>
          </w:p>
        </w:tc>
        <w:tc>
          <w:tcPr>
            <w:tcW w:w="1583" w:type="dxa"/>
          </w:tcPr>
          <w:p w14:paraId="13575CB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31 (34.83%)</w:t>
            </w:r>
          </w:p>
        </w:tc>
        <w:tc>
          <w:tcPr>
            <w:tcW w:w="1530" w:type="dxa"/>
          </w:tcPr>
          <w:p w14:paraId="198C9FE4"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25 (28.09%)</w:t>
            </w:r>
          </w:p>
        </w:tc>
        <w:tc>
          <w:tcPr>
            <w:tcW w:w="1559" w:type="dxa"/>
          </w:tcPr>
          <w:p w14:paraId="42DEA54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33 (37.08%)</w:t>
            </w:r>
          </w:p>
        </w:tc>
        <w:tc>
          <w:tcPr>
            <w:tcW w:w="1560" w:type="dxa"/>
          </w:tcPr>
          <w:p w14:paraId="7277582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89 (100%)</w:t>
            </w:r>
          </w:p>
        </w:tc>
        <w:tc>
          <w:tcPr>
            <w:tcW w:w="1134" w:type="dxa"/>
            <w:vMerge/>
          </w:tcPr>
          <w:p w14:paraId="677DB552"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59214513" w14:textId="77777777" w:rsidTr="00826404">
        <w:tc>
          <w:tcPr>
            <w:tcW w:w="1560" w:type="dxa"/>
          </w:tcPr>
          <w:p w14:paraId="4B0EB7A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Privat hospital C</w:t>
            </w:r>
          </w:p>
        </w:tc>
        <w:tc>
          <w:tcPr>
            <w:tcW w:w="1583" w:type="dxa"/>
          </w:tcPr>
          <w:p w14:paraId="0EA9400B"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21 (42%)</w:t>
            </w:r>
          </w:p>
        </w:tc>
        <w:tc>
          <w:tcPr>
            <w:tcW w:w="1530" w:type="dxa"/>
          </w:tcPr>
          <w:p w14:paraId="0E0A9175"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13 (26%)</w:t>
            </w:r>
          </w:p>
        </w:tc>
        <w:tc>
          <w:tcPr>
            <w:tcW w:w="1559" w:type="dxa"/>
          </w:tcPr>
          <w:p w14:paraId="467AF67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16 (32%)</w:t>
            </w:r>
          </w:p>
        </w:tc>
        <w:tc>
          <w:tcPr>
            <w:tcW w:w="1560" w:type="dxa"/>
          </w:tcPr>
          <w:p w14:paraId="764E1F93"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50 (100%)</w:t>
            </w:r>
          </w:p>
        </w:tc>
        <w:tc>
          <w:tcPr>
            <w:tcW w:w="1134" w:type="dxa"/>
            <w:vMerge/>
          </w:tcPr>
          <w:p w14:paraId="2E1E3D45" w14:textId="77777777" w:rsidR="002D7048" w:rsidRPr="002D7048" w:rsidRDefault="002D7048" w:rsidP="002D7048">
            <w:pPr>
              <w:spacing w:line="259" w:lineRule="auto"/>
              <w:jc w:val="both"/>
              <w:rPr>
                <w:rFonts w:ascii="Garamond" w:hAnsi="Garamond"/>
                <w:bCs/>
                <w:iCs/>
                <w:sz w:val="20"/>
                <w:szCs w:val="20"/>
                <w:lang w:val="id-ID"/>
              </w:rPr>
            </w:pPr>
          </w:p>
        </w:tc>
      </w:tr>
      <w:tr w:rsidR="002D7048" w:rsidRPr="002D7048" w14:paraId="14063430" w14:textId="77777777" w:rsidTr="00826404">
        <w:tc>
          <w:tcPr>
            <w:tcW w:w="1560" w:type="dxa"/>
          </w:tcPr>
          <w:p w14:paraId="6C63CEE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Privat hospital D</w:t>
            </w:r>
          </w:p>
        </w:tc>
        <w:tc>
          <w:tcPr>
            <w:tcW w:w="1583" w:type="dxa"/>
          </w:tcPr>
          <w:p w14:paraId="4C056E6D"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3 (60%)</w:t>
            </w:r>
          </w:p>
        </w:tc>
        <w:tc>
          <w:tcPr>
            <w:tcW w:w="1530" w:type="dxa"/>
          </w:tcPr>
          <w:p w14:paraId="076A24D7"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1(20%)</w:t>
            </w:r>
          </w:p>
        </w:tc>
        <w:tc>
          <w:tcPr>
            <w:tcW w:w="1559" w:type="dxa"/>
          </w:tcPr>
          <w:p w14:paraId="0E140C66"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2(20%)</w:t>
            </w:r>
          </w:p>
        </w:tc>
        <w:tc>
          <w:tcPr>
            <w:tcW w:w="1560" w:type="dxa"/>
          </w:tcPr>
          <w:p w14:paraId="322C52B0" w14:textId="7777777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6 (100%)</w:t>
            </w:r>
          </w:p>
        </w:tc>
        <w:tc>
          <w:tcPr>
            <w:tcW w:w="1134" w:type="dxa"/>
            <w:vMerge/>
          </w:tcPr>
          <w:p w14:paraId="696CF52A" w14:textId="77777777" w:rsidR="002D7048" w:rsidRPr="002D7048" w:rsidRDefault="002D7048" w:rsidP="002D7048">
            <w:pPr>
              <w:spacing w:line="259" w:lineRule="auto"/>
              <w:jc w:val="both"/>
              <w:rPr>
                <w:rFonts w:ascii="Garamond" w:hAnsi="Garamond"/>
                <w:bCs/>
                <w:iCs/>
                <w:sz w:val="20"/>
                <w:szCs w:val="20"/>
                <w:lang w:val="id-ID"/>
              </w:rPr>
            </w:pPr>
          </w:p>
        </w:tc>
      </w:tr>
    </w:tbl>
    <w:p w14:paraId="4D0CC671" w14:textId="77777777" w:rsidR="002D7048" w:rsidRPr="00F03324" w:rsidRDefault="002D7048" w:rsidP="002D7048">
      <w:pPr>
        <w:spacing w:line="259" w:lineRule="auto"/>
        <w:jc w:val="both"/>
        <w:rPr>
          <w:rFonts w:ascii="Garamond" w:hAnsi="Garamond"/>
          <w:bCs/>
          <w:iCs/>
          <w:sz w:val="16"/>
          <w:szCs w:val="16"/>
        </w:rPr>
      </w:pPr>
      <w:r w:rsidRPr="00F03324">
        <w:rPr>
          <w:rFonts w:ascii="Garamond" w:hAnsi="Garamond"/>
          <w:bCs/>
          <w:iCs/>
          <w:sz w:val="16"/>
          <w:szCs w:val="16"/>
          <w:lang w:val="id-ID"/>
        </w:rPr>
        <w:t>Notes: * Significant (p&lt;0.05), p-value (Chi-Square test)</w:t>
      </w:r>
    </w:p>
    <w:p w14:paraId="27B49990" w14:textId="77777777" w:rsidR="002D7048" w:rsidRDefault="002D7048" w:rsidP="007A1526">
      <w:pPr>
        <w:spacing w:line="259" w:lineRule="auto"/>
        <w:jc w:val="both"/>
        <w:rPr>
          <w:rFonts w:ascii="Garamond" w:hAnsi="Garamond"/>
          <w:bCs/>
          <w:iCs/>
          <w:sz w:val="20"/>
          <w:szCs w:val="20"/>
        </w:rPr>
      </w:pPr>
    </w:p>
    <w:p w14:paraId="22D9E49B" w14:textId="77777777" w:rsidR="002D7048" w:rsidRDefault="002D7048" w:rsidP="007A1526">
      <w:pPr>
        <w:spacing w:line="259" w:lineRule="auto"/>
        <w:jc w:val="both"/>
        <w:rPr>
          <w:rFonts w:ascii="Garamond" w:hAnsi="Garamond"/>
          <w:bCs/>
          <w:iCs/>
          <w:sz w:val="20"/>
          <w:szCs w:val="20"/>
        </w:rPr>
        <w:sectPr w:rsidR="002D7048" w:rsidSect="002D7048">
          <w:type w:val="continuous"/>
          <w:pgSz w:w="12240" w:h="15840"/>
          <w:pgMar w:top="1440" w:right="1440" w:bottom="1440" w:left="1440" w:header="720" w:footer="720" w:gutter="0"/>
          <w:cols w:space="720"/>
          <w:titlePg/>
          <w:docGrid w:linePitch="360"/>
        </w:sectPr>
      </w:pPr>
    </w:p>
    <w:p w14:paraId="3B4F6169" w14:textId="7B5DCD9E" w:rsidR="002D7048" w:rsidRPr="00F03324" w:rsidRDefault="00F03324" w:rsidP="002D7048">
      <w:pPr>
        <w:spacing w:line="259" w:lineRule="auto"/>
        <w:jc w:val="both"/>
        <w:rPr>
          <w:rFonts w:ascii="Garamond" w:hAnsi="Garamond"/>
          <w:b/>
          <w:bCs/>
          <w:iCs/>
          <w:sz w:val="22"/>
          <w:szCs w:val="22"/>
        </w:rPr>
      </w:pPr>
      <w:r w:rsidRPr="00F03324">
        <w:rPr>
          <w:rFonts w:ascii="Garamond" w:hAnsi="Garamond"/>
          <w:b/>
          <w:bCs/>
          <w:iCs/>
          <w:sz w:val="22"/>
          <w:szCs w:val="22"/>
        </w:rPr>
        <w:t>DISCUSSION</w:t>
      </w:r>
    </w:p>
    <w:p w14:paraId="3A556D2A" w14:textId="379249EC" w:rsidR="00AD612E" w:rsidRDefault="002D7048" w:rsidP="002D7048">
      <w:pPr>
        <w:spacing w:line="259" w:lineRule="auto"/>
        <w:jc w:val="both"/>
        <w:rPr>
          <w:rFonts w:ascii="Garamond" w:hAnsi="Garamond"/>
          <w:bCs/>
          <w:iCs/>
          <w:sz w:val="20"/>
          <w:szCs w:val="20"/>
          <w:lang w:val="id-ID"/>
        </w:rPr>
      </w:pPr>
      <w:r w:rsidRPr="002D7048">
        <w:rPr>
          <w:rFonts w:ascii="Garamond" w:hAnsi="Garamond"/>
          <w:b/>
          <w:bCs/>
          <w:iCs/>
          <w:sz w:val="20"/>
          <w:szCs w:val="20"/>
          <w:lang w:val="id-ID"/>
        </w:rPr>
        <w:t>P</w:t>
      </w:r>
      <w:r w:rsidRPr="002D7048">
        <w:rPr>
          <w:rFonts w:ascii="Garamond" w:hAnsi="Garamond"/>
          <w:bCs/>
          <w:iCs/>
          <w:sz w:val="20"/>
          <w:szCs w:val="20"/>
          <w:lang w:val="id-ID"/>
        </w:rPr>
        <w:t xml:space="preserve">atient age has a significantly association on real costs in patients with ischemic stroke, with a p-value = 0.025 </w:t>
      </w:r>
      <w:r w:rsidRPr="002D7048">
        <w:rPr>
          <w:rFonts w:ascii="Garamond" w:hAnsi="Garamond"/>
          <w:bCs/>
          <w:iCs/>
          <w:sz w:val="20"/>
          <w:szCs w:val="20"/>
          <w:lang w:val="id-ID"/>
        </w:rPr>
        <w:lastRenderedPageBreak/>
        <w:t>(&lt;0.05). Judging from the average cost value, the older the patient, the greater the costs incurred. This is because the older the patient, the body's function and metabolism decrease and often advanced patients are accompanied by several comorbidities,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{"citationItems":[{"id":"ITEM-1","itemData":{"DOI":"10.1080/00207454.2022.2042692","abstract":"BACKGROUND: There are few studies on the comorbidity of hypertension (HTN), diabetes mellitus (DM) and dyslipidemia (DLP) associated with stroke. We aimed to explore the relationship between the number of metabolic diseases and stroke and its different subtypes, and to reveal whether metabolic diseases alone or coexist can significantly increase the risk of stroke. METHODS: We completed a multi-center case-control study in Jiangxi Province, China. Neuroimaging examination was done in all cases. Controls were stroke-free adults recruited from the community in the case concentration area and matched with the cases in 1:1 ratio by age and sex. Odds ratios (OR) were calculated by conditional logistic regression. RESULTS: We enrolled 11,729 case-control pairs. The estimated ORs among patients with 1, 2 and 3 metabolic diseases were 3.16 (2.78-3.60), 7.11 (6.16-8.20), 12.22 (9.73-15.36), respectively after adjusting age, body mass index, urban-rural areas, cardiac disease, smoking, alcohol intake, physically active, high intake of salt, meat-biased diet, high homocysteine. The coexistence of HTN and DM (OR: 7.67), the coexistence of HTN and DLP (OR:7.58), and the coexistence of DM and DLP (OR:3.64) can all significantly increase the risk of stroke. HTN alone or combined other metabolic diseases were significantly more strongly associated with intracerebral haemorrhage than ischemic stroke. CONCLUSIONS: The risk of stroke increased with the number of chronic metabolic diseases. It is necessary to regularly monitor blood pressure, blood sugar and blood lipids and strengthen lifestyle management and take appropriate drug interventions to prevent exposure to multiple metabolic diseases based on existing conditions.","author":[{"dropping-particle":"","family":"Wu","given":"Yuhang","non-dropping-particle":"","parse-names":false,"suffix":""},{"dropping-particle":"","family":"Zheng","given":"Huilie","non-dropping-particle":"","parse-names":false,"suffix":""},{"dropping-particle":"","family":"Hu","given":"Songbo","non-dropping-particle":"","parse-names":false,"suffix":""},{"dropping-particle":"","family":"Chen","given":"Xiaoyun","non-dropping-particle":"","parse-names":false,"suffix":""},{"dropping-particle":"","family":"Chen","given":"Yiying","non-dropping-particle":"","parse-names":false,"suffix":""},{"dropping-particle":"","family":"Liu","given":"Jie","non-dropping-particle":"","parse-names":false,"suffix":""},{"dropping-particle":"","family":"Xu","given":"Yan","non-dropping-particle":"","parse-names":false,"suffix":""},{"dropping-particle":"","family":"Chen","given":"Xiaona","non-dropping-particle":"","parse-names":false,"suffix":""},{"dropping-particle":"","family":"Zhu","given":"Liping","non-dropping-particle":"","parse-names":false,"suffix":""},{"dropping-particle":"","family":"Yan","given":"Wei","non-dropping-particle":"","parse-names":false,"suffix":""}],"container-title":"International Journal of Neuroscience","id":"ITEM-1","issue":"9","issued":{"date-parts":[["2022","4"]]},"page":"1055-1063","title":"The impact of metabolic diseases and their comorbidities for stroke in a middle-income area of China: a case-control study","type":"article-journal","volume":"133"},"uris":["http://www.mendeley.com/documents/?uuid=924631c6-c700-4847-a87b-6c2793c088dd","http://www.mendeley.com/documents/?uuid=52613c5c-92a0-4672-bdfe-3c70d2d3a910"]}],"mendeley":{"formattedCitation":"&lt;sup&gt;11&lt;/sup&gt;","plainTextFormattedCitation":"11","previouslyFormattedCitation":"&lt;sup&gt;11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11</w:t>
      </w:r>
      <w:r w:rsidRPr="002D7048">
        <w:rPr>
          <w:rFonts w:ascii="Garamond" w:hAnsi="Garamond"/>
          <w:bCs/>
          <w:iCs/>
          <w:sz w:val="20"/>
          <w:szCs w:val="20"/>
        </w:rPr>
        <w:fldChar w:fldCharType="end"/>
      </w:r>
      <w:r w:rsidRPr="002D7048">
        <w:rPr>
          <w:rFonts w:ascii="Garamond" w:hAnsi="Garamond"/>
          <w:bCs/>
          <w:iCs/>
          <w:sz w:val="20"/>
          <w:szCs w:val="20"/>
          <w:lang w:val="id-ID"/>
        </w:rPr>
        <w:t xml:space="preserve"> So the cost of treatment is not only for treating stroke but also comorbid diseases because the quantity of comorbidities influences treatment costs as well.</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{"citationItems":[{"id":"ITEM-1","itemData":{"DOI":"10.1016/j.jstrokecerebrovasdis.2024.107663","abstract":"INTRODUCTION: Stroke is a common cause of mortality in the United States. However, the economic burden of stroke on the healthcare system is not well known. In this study, we aim to calculate the annual cumulative and per-patient cost of stroke. METHODS: We conducted a retrospective analysis of Nationwide Emergency Department Sample (NEDS). We calculate annual trends in cost for stroke patients from 2006 to 2019. A multivariate linear regression with patient characteristics (e.g. age, sex, Charlson Comorbidity Index) as covariates was used to identify factors for higher costs. RESULTS: In this study time-period, 2,998,237 stroke patients presented to the ED and 2,481,171 (83 %) were admitted. From 2006 to 2019, the cumulative ED cost increased by a factor of 7.0 from 0.49 ± 0.03 to 3.91 ± 0.16 billion dollars (p &lt; 0.001). The cumulative inpatient (IP) cost increased by a factor of 2.7 from 14.42 ± 0.78 to 37.06 ± 2.26 billion dollars (p &lt; 0.001. Per-patient ED charges increased by a factor of 3.0 from 1950 ± 64 to 7818 ± 260 dollars (p &lt; 0.001). Per-patient IP charges increased by 89 % from 40.22 +/- 1.12 to 76.06 ± 3.18 thousand dollars (p &lt; 0.001). CONCLUSION: Strokes place an increasing financial burden on the US healthcare system. Certain patient demographics including age, male gender, more comorbidities, and insurance type were significantly associated with increased cost of care.","author":[{"dropping-particle":"","family":"Hum","given":"Bill","non-dropping-particle":"","parse-names":false,"suffix":""},{"dropping-particle":"","family":"Taneja","given":"Kamil","non-dropping-particle":"","parse-names":false,"suffix":""},{"dropping-particle":"","family":"Bunachita","given":"Sean","non-dropping-particle":"","parse-names":false,"suffix":""},{"dropping-particle":"","family":"Ashor","given":"Hadi","non-dropping-particle":"","parse-names":false,"suffix":""},{"dropping-particle":"","family":"Shin","given":"Jeeyong","non-dropping-particle":"","parse-names":false,"suffix":""},{"dropping-particle":"","family":"Bright","given":"Anshel","non-dropping-particle":"","parse-names":false,"suffix":""},{"dropping-particle":"","family":"Wang","given":"Ryan","non-dropping-particle":"","parse-names":false,"suffix":""},{"dropping-particle":"","family":"Patel","given":"Karan","non-dropping-particle":"","parse-names":false,"suffix":""}],"container-title":"Journal of Stroke and Cerebrovascular Diseases","id":"ITEM-1","issue":"6","issued":{"date-parts":[["2024","4"]]},"page":"107663","title":"Unveiling the evolving landscape of stroke care costs: A time-driven analysis","type":"article-journal","volume":"33"},"uris":["http://www.mendeley.com/documents/?uuid=8757ae5e-6956-4f39-a9b3-e520f6823539","http://www.mendeley.com/documents/?uuid=afefd475-11d7-45bd-b967-aa09f9c6dca2"]}],"mendeley":{"formattedCitation":"&lt;sup&gt;12&lt;/sup&gt;","plainTextFormattedCitation":"12","previouslyFormattedCitation":"&lt;sup&gt;12&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12</w:t>
      </w:r>
      <w:r w:rsidRPr="002D7048">
        <w:rPr>
          <w:rFonts w:ascii="Garamond" w:hAnsi="Garamond"/>
          <w:bCs/>
          <w:iCs/>
          <w:sz w:val="20"/>
          <w:szCs w:val="20"/>
        </w:rPr>
        <w:fldChar w:fldCharType="end"/>
      </w:r>
      <w:r w:rsidRPr="002D7048">
        <w:rPr>
          <w:rFonts w:ascii="Garamond" w:hAnsi="Garamond"/>
          <w:bCs/>
          <w:iCs/>
          <w:sz w:val="20"/>
          <w:szCs w:val="20"/>
          <w:lang w:val="id-ID"/>
        </w:rPr>
        <w:t xml:space="preserve"> According to a Chinese study, patients receiving treatment for up to two comorbidities or no comorbidities were charged 41,220 CNY (Chinese yuan), but patients receiving treatment for eight or more comorbidities were charged 137,389 CNY (Chinese yuan).</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{"citationItems":[{"id":"ITEM-1","itemData":{"DOI":"10.1136/svn-2023-002296","abstract":"BACKGROUND: This is the first real-world study to estimate the direct costs and indirect costs of first-ever ischaemic stroke with 1-year follow-up in China, based on a nationally representative sample. METHODS: Patients were chosen from 20 geographically diverse sites from the nationally representative database China National Stroke Registry-III (CNSR-III). The inclusion criteria were surviving patients who were hospitalised with first-ever ischaemic stroke from February 2017 to February 2018 (the index event); aged 18-80 during the index event; no history of other stroke types. The primary endpoints were direct medical costs, direct non-medical costs, indirect costs and total cost (ie, the sum of all cost components). Patient characteristics and clinical data were extracted from CNSR-III. Stroke-related in-hospital direct medical costs were collected from hospital electronic medical records. The patient survey collected data related to out-of-hospital direct medical costs, direct non-medical costs and indirect costs. The secondary objective was to explore clinical factors associated with cost outcomes through univariate analysis and multiple regression. RESULTS: The study enrolled 520 patients. The total cost was 57 567.48 CNY, with 26 612.67 CNY direct medical costs, 2 787.56 CNY direct non-medical costs and 28 167.25 CNY indirect costs. Univariate analysis showed that longer lengths of stay during the index event, higher National Institutes of Health Stroke Scale (NIHSS) and modified Rankin Scale scores were associated with higher costs in all categories. Conversely, EuroQol 5 Dimension utility scores were associated with decreased costs except direct non-medical costs. Multiple regressions showed that higher admission NIHSS scores were independently associated with higher direct medical costs, indirect costs and total cost. Higher 3-month utilities were associated with lower total cost. CONCLUSION: This real-world study showed substantial 1-year economic burden following first-ever ischaemic stroke in China, and that indirect costs are a non-negligible driver of costs.","author":[{"dropping-particle":"","family":"Lv","given":"Wei","non-dropping-particle":"","parse-names":false,"suffix":""},{"dropping-particle":"","family":"Wang","given":"Anxin","non-dropping-particle":"","parse-names":false,"suffix":""},{"dropping-particle":"","family":"Wang","given":"Qianyi","non-dropping-particle":"","parse-names":false,"suffix":""},{"dropping-particle":"","family":"Wang","given":"Ruimin","non-dropping-particle":"","parse-names":false,"suffix":""},{"dropping-particle":"","family":"Xu","given":"Qin","non-dropping-particle":"","parse-names":false,"suffix":""},{"dropping-particle":"","family":"Wu","given":"Shuqing","non-dropping-particle":"","parse-names":false,"suffix":""},{"dropping-particle":"","family":"Han","given":"Yi","non-dropping-particle":"","parse-names":false,"suffix":""},{"dropping-particle":"","family":"Jiang","given":"Yong","non-dropping-particle":"","parse-names":false,"suffix":""},{"dropping-particle":"","family":"Lin","given":"Jinxi","non-dropping-particle":"","parse-names":false,"suffix":""},{"dropping-particle":"","family":"Jing","given":"Jing","non-dropping-particle":"","parse-names":false,"suffix":""},{"dropping-particle":"","family":"Li","given":"Hao","non-dropping-particle":"","parse-names":false,"suffix":""},{"dropping-particle":"","family":"Wang","given":"Yongjun","non-dropping-particle":"","parse-names":false,"suffix":""},{"dropping-particle":"","family":"Meng","given":"Xia","non-dropping-particle":"","parse-names":false,"suffix":""}],"container-title":"Stroke and Vascular Neurology","id":"ITEM-1","issued":{"date-parts":[["2023","4"]]},"page":"svn-2023","title":"One-year direct and indirect costs of ischaemic stroke in China","type":"article-journal"},"uris":["http://www.mendeley.com/documents/?uuid=97c51f3f-f4e7-4ea7-b695-04d6e6896e88","http://www.mendeley.com/documents/?uuid=c7f241af-90e2-47e9-b6ff-e6d6b3acbc3d"]}],"mendeley":{"formattedCitation":"&lt;sup&gt;13&lt;/sup&gt;","plainTextFormattedCitation":"13","previouslyFormattedCitation":"&lt;sup&gt;13&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13</w:t>
      </w:r>
      <w:r w:rsidRPr="002D7048">
        <w:rPr>
          <w:rFonts w:ascii="Garamond" w:hAnsi="Garamond"/>
          <w:bCs/>
          <w:iCs/>
          <w:sz w:val="20"/>
          <w:szCs w:val="20"/>
        </w:rPr>
        <w:fldChar w:fldCharType="end"/>
      </w:r>
      <w:r w:rsidRPr="002D7048">
        <w:rPr>
          <w:rFonts w:ascii="Garamond" w:hAnsi="Garamond"/>
          <w:bCs/>
          <w:iCs/>
          <w:sz w:val="20"/>
          <w:szCs w:val="20"/>
          <w:lang w:val="id-ID"/>
        </w:rPr>
        <w:t xml:space="preserve"> The amount of money needed to treat each comorbidity will rise as the number of comorbidities grows. A year later, the clinical status of stroke patients improved 1.0309 times </w:t>
      </w:r>
      <w:proofErr w:type="spellStart"/>
      <w:r w:rsidRPr="002D7048">
        <w:rPr>
          <w:rFonts w:ascii="Garamond" w:hAnsi="Garamond"/>
          <w:bCs/>
          <w:iCs/>
          <w:sz w:val="20"/>
          <w:szCs w:val="20"/>
          <w:lang w:val="id-ID"/>
        </w:rPr>
        <w:t>more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slowly</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than</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that</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of</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younger</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patients</w:t>
      </w:r>
      <w:proofErr w:type="spellEnd"/>
      <w:r w:rsidRPr="002D7048">
        <w:rPr>
          <w:rFonts w:ascii="Garamond" w:hAnsi="Garamond"/>
          <w:bCs/>
          <w:iCs/>
          <w:sz w:val="20"/>
          <w:szCs w:val="20"/>
          <w:lang w:val="id-ID"/>
        </w:rPr>
        <w:t>.</w:t>
      </w:r>
    </w:p>
    <w:p w14:paraId="7BC0A339" w14:textId="022AB4B6" w:rsidR="00AD612E"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Age is a risk factor that cannot be controlled and modified because Age is a factor in the increased incidence of stroke in both men and women.</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{"citationItems":[{"id":"ITEM-1","itemData":{"DOI":"10.1080/13696998.2022.2141964","abstract":"OBJECTIVES: We assessed healthcare resource utilization (HCRU) and costs of cardiovascular (CV) events in patients with a history of atherosclerotic cardiovascular disease (ASCVD) in Germany. METHODS: We conducted a retrospective matched case-control study based on German claims data from 1 January 2012 to 31 December 2017 using the \"Institute for Applied Health Research Berlin\" (InGef) Research Database. Cases who had a myocardial infarction (MI), stroke and angina pectoris identified by ICD-10-GM codes between 1 January 2014 and 31 December 2016 were matched to event-free controls by an exact matching approach without replacement at a ratio of 1:2. Costs and HCRU were assessed in individual 1-year follow-up periods after the index event for the overall cohort and subgroups of MI cases and stroke cases. RESULTS: The overall cohort consisted of a total of 14,169 cases with a CV index event matched to 28,338 controls. The mean age of the overall cohort was 73.3</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years, 34.1% of the patients were female, 3,717 (26.2%) had an MI, and 3,752 (26.5%) had stroke. Following the index events, 12.2% of cases in the overall cohort, 12.6% of MI cases, and 8.7% of stroke cases experienced a recurrent CV event. CV cases had on average 1.7 more all-cause hospitalizations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&amp;lt;0.001) and 6.1 more outpatient visits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&amp;lt;0.001) during the 1-year follow-up period than did controls. In the MI and stroke subgroups, cases had on average 1.8 and 1.6 more all-cause hospitalizations and 7.0 and 4.0 more outpatient visits, respectively (differences were statistically significant). Compared to controls, cases incurred on average higher total healthcare costs: by €11,898 for overall cases, by €16,349 for MI, and by €14,360 in stroke cases (overall: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&amp;lt;0.001; MI: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&amp;lt;0.001; stroke: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&amp;lt;0.001). CONCLUSION: CV events in ASCVD patients pose a considerable clinical burden on patients and cause significant costs for the German statutory healthcare system.","author":[{"dropping-particle":"","family":"Sidelnikov","given":"Eduard","non-dropping-particle":"","parse-names":false,"suffix":""},{"dropping-particle":"","family":"Dornstauder","given":"Eugen","non-dropping-particle":"","parse-names":false,"suffix":""},{"dropping-particle":"","family":"Jacob","given":"Christian","non-dropping-particle":"","parse-names":false,"suffix":""},{"dropping-particle":"","family":"Maas","given":"Christopher","non-dropping-particle":"","parse-names":false,"suffix":""},{"dropping-particle":"","family":"Pinto","given":"Lionel","non-dropping-particle":"","parse-names":false,"suffix":""},{"dropping-particle":"","family":"Leidl","given":"Reiner","non-dropping-particle":"","parse-names":false,"suffix":""},{"dropping-particle":"","family":"Ahrens","given":"Ingo","non-dropping-particle":"","parse-names":false,"suffix":""}],"container-title":"Journal of Medical Economics","id":"ITEM-1","issue":"1","issued":{"date-parts":[["2022","4"]]},"page":"1199-1206","title":"Healthcare resource utilization and costs of cardiovascular events in patients with atherosclerotic cardiovascular disease in Germany – results of a claims database study","type":"article-journal","volume":"25"},"uris":["http://www.mendeley.com/documents/?uuid=f61d94c1-2e4a-4482-ae10-0260d2fa87f2","http://www.mendeley.com/documents/?uuid=8c97e439-2b2f-418a-b69d-cbbb43cc747c"]}],"mendeley":{"formattedCitation":"&lt;sup&gt;14&lt;/sup&gt;","plainTextFormattedCitation":"14","previouslyFormattedCitation":"&lt;sup&gt;14&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14</w:t>
      </w:r>
      <w:r w:rsidRPr="002D7048">
        <w:rPr>
          <w:rFonts w:ascii="Garamond" w:hAnsi="Garamond"/>
          <w:bCs/>
          <w:iCs/>
          <w:sz w:val="20"/>
          <w:szCs w:val="20"/>
        </w:rPr>
        <w:fldChar w:fldCharType="end"/>
      </w:r>
      <w:r w:rsidRPr="002D7048">
        <w:rPr>
          <w:rFonts w:ascii="Garamond" w:hAnsi="Garamond"/>
          <w:bCs/>
          <w:iCs/>
          <w:sz w:val="20"/>
          <w:szCs w:val="20"/>
          <w:lang w:val="id-ID"/>
        </w:rPr>
        <w:t xml:space="preserve"> Strokes increased from 1.76 per 1000 individuals per year for individuals aged 55-64 years to 16.47 for those aged 85 years and over.</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{"citationItems":[{"id":"ITEM-1","itemData":{"DOI":"10.1177/17474930231165607","abstract":"BACKGROUND: The absolute burden of stroke in Korea is ever growing. Many studies have explored the outcomes of mortality, quality of life (QOL), and/or economic burden with limited periods of observation. Relatively few have addressed the lifetime outcomes that are estimated beyond the limited observation period of study samples. AIMS: By combining QOL and the survival functions over a lifetime horizon, our aims were to estimate the quality-adjusted life expectancy (QALE) and loss-of-QALE of patients with ischemic and hemorrhagic stroke in South Korea, and to compare them between genders. METHODS: The survival function of stroke patients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13,994) was estimated by the Kaplan-Meier's method from the National Health Insurance Service-National Sample Cohort of Korea (2002-2015), and then extrapolated to lifetime through a rolling-over algorithm. The QOL measurements, assessed by EuroQol 5-dimension (EQ-5D) questionnaire, of stroke patients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474) were extracted from the Korea Health Panel (KHP, 2008-2018) to estimate the QALE. All stroke patients were categorized by sex and two types of stroke: ischemic and hemorrhagic. Age-, sex-, and calendar year-matched referents were simulated from the Korean life tables to be integrated with the general population's QOL from the KHP to estimate the QALE of the referents. We calculated the loss-of-QALE by comparing the above two sets of QALE. RESULTS: The QALE and loss-of-QALE for ischemic stroke were 10.8 and 6.1 QALYs (quality-adjusted life years), respectively, and 14.0 and 9.0 QALYs for hemorrhagic stroke. The loss-of-QALE in men was 3.0 QALYs larger than that of women with hemorrhagic stroke (p</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&lt;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0.05), while the difference for ischemic stroke was much smaller and statistically insignificant at 0.6 QALYs. CONCLUSIONS: The lifetime impact of stroke in Korea is large, especially for males who survived hemorrhagic stroke. Future studies assessing the lifetime needs for long-term care of stroke patients are warranted to quantify the burden of stroke from the societal perspective.","author":[{"dropping-particle":"","family":"Cheon","given":"Soyeon","non-dropping-particle":"","parse-names":false,"suffix":""},{"dropping-particle":"","family":"Li","given":"Chung-Yi","non-dropping-particle":"","parse-names":false,"suffix":""},{"dropping-particle":"","family":"Jeng","given":"Jiann-Shing","non-dropping-particle":"","parse-names":false,"suffix":""},{"dropping-particle":"","family":"Wang","given":"Jung-Der","non-dropping-particle":"","parse-names":false,"suffix":""},{"dropping-particle":"","family":"Ku","given":"Li-Jung Elizabeth","non-dropping-particle":"","parse-names":false,"suffix":""}],"container-title":"International Journal of Stroke","id":"ITEM-1","issue":"7","issued":{"date-parts":[["2023","4"]]},"page":"795-803","title":"The lifetime burden following stroke: Long term impact of stroke on survival and quality of life","type":"article-journal","volume":"18"},"uris":["http://www.mendeley.com/documents/?uuid=10dfb1d1-db6e-44b3-9277-2c4fef578006","http://www.mendeley.com/documents/?uuid=ffaa918d-6bfa-4e3c-983e-f31c8a3fab78"]}],"mendeley":{"formattedCitation":"&lt;sup&gt;15&lt;/sup&gt;","plainTextFormattedCitation":"15","previouslyFormattedCitation":"&lt;sup&gt;15&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15</w:t>
      </w:r>
      <w:r w:rsidRPr="002D7048">
        <w:rPr>
          <w:rFonts w:ascii="Garamond" w:hAnsi="Garamond"/>
          <w:bCs/>
          <w:iCs/>
          <w:sz w:val="20"/>
          <w:szCs w:val="20"/>
        </w:rPr>
        <w:fldChar w:fldCharType="end"/>
      </w:r>
      <w:r w:rsidRPr="002D7048">
        <w:rPr>
          <w:rFonts w:ascii="Garamond" w:hAnsi="Garamond"/>
          <w:bCs/>
          <w:iCs/>
          <w:sz w:val="20"/>
          <w:szCs w:val="20"/>
          <w:lang w:val="id-ID"/>
        </w:rPr>
        <w:t xml:space="preserve"> The risk of stroke increases every decade after the age of over 55 years until at least the age of 84 years. </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{"citationItems":[{"id":"ITEM-1","itemData":{"DOI":"10.1007/s40123-021-00451-1","abstract":"IntroductionThe risk of thromboembolic events or death in patients treated with intravitreal anti-vascular endothelial growth factor (IVT anti-VEGF) is poorly described on a large scale and by molecule. This study aimed to assess the risk of myocardial infarction (MI), stroke, or death in new users of IVT aflibercept versus ranibizumab in real-world practice.MethodsA nationwide cohort study using the French National Health Insurance databases covering 99% of the French population was conducted in patients aged 18 years or older who initiated IVT therapy with ranibizumab or aflibercept between 2014 and 2018. Patients were followed for up to 6 years until December 31, 2019. The risks of MI, stroke, and death were compared in new aflibercept versus ranibizumab users using Kaplan–Meier and multivariate Cox proportional hazards models adjusted on sociodemographic characteristics and cardiovascular disease or risk factors. Subgroup analyses were performed according to history of ischemic heart disease or stroke, diabetes, indication for treatment, sex, age, and number of IVT anti-VEGF injections.ResultsWhen compared to new users of ranibizumab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174,794, mean age 76.0</w:instrText>
      </w:r>
      <w:r w:rsidRPr="002D7048">
        <w:rPr>
          <w:rFonts w:ascii="Times New Roman" w:hAnsi="Times New Roman" w:cs="Times New Roman"/>
          <w:bCs/>
          <w:iCs/>
          <w:sz w:val="20"/>
          <w:szCs w:val="20"/>
          <w:lang w:val="id-ID"/>
        </w:rPr>
        <w:instrText> </w:instrText>
      </w:r>
      <w:r w:rsidRPr="002D7048">
        <w:rPr>
          <w:rFonts w:ascii="Garamond" w:hAnsi="Garamond" w:cs="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11.9</w:instrText>
      </w:r>
      <w:r w:rsidRPr="002D7048">
        <w:rPr>
          <w:rFonts w:ascii="Garamond" w:hAnsi="Garamond" w:cs="Garamond"/>
          <w:bCs/>
          <w:iCs/>
          <w:sz w:val="20"/>
          <w:szCs w:val="20"/>
          <w:lang w:val="id-ID"/>
        </w:rPr>
        <w:instrText> </w:instrText>
      </w:r>
      <w:r w:rsidRPr="002D7048">
        <w:rPr>
          <w:rFonts w:ascii="Garamond" w:hAnsi="Garamond"/>
          <w:bCs/>
          <w:iCs/>
          <w:sz w:val="20"/>
          <w:szCs w:val="20"/>
          <w:lang w:val="id-ID"/>
        </w:rPr>
        <w:instrText>years, 59.2% female), new users of aflibercept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76,242, mean age 76.6</w:instrText>
      </w:r>
      <w:r w:rsidRPr="002D7048">
        <w:rPr>
          <w:rFonts w:ascii="Times New Roman" w:hAnsi="Times New Roman" w:cs="Times New Roman"/>
          <w:bCs/>
          <w:iCs/>
          <w:sz w:val="20"/>
          <w:szCs w:val="20"/>
          <w:lang w:val="id-ID"/>
        </w:rPr>
        <w:instrText> </w:instrText>
      </w:r>
      <w:r w:rsidRPr="002D7048">
        <w:rPr>
          <w:rFonts w:ascii="Garamond" w:hAnsi="Garamond" w:cs="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11.2</w:instrText>
      </w:r>
      <w:r w:rsidRPr="002D7048">
        <w:rPr>
          <w:rFonts w:ascii="Garamond" w:hAnsi="Garamond" w:cs="Garamond"/>
          <w:bCs/>
          <w:iCs/>
          <w:sz w:val="20"/>
          <w:szCs w:val="20"/>
          <w:lang w:val="id-ID"/>
        </w:rPr>
        <w:instrText> </w:instrText>
      </w:r>
      <w:r w:rsidRPr="002D7048">
        <w:rPr>
          <w:rFonts w:ascii="Garamond" w:hAnsi="Garamond"/>
          <w:bCs/>
          <w:iCs/>
          <w:sz w:val="20"/>
          <w:szCs w:val="20"/>
          <w:lang w:val="id-ID"/>
        </w:rPr>
        <w:instrText>years, 59.2% female) did not have an increased risk of MI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1523 incident MI, adjusted hazard ratio [aHR] 1.00; 95% CI 0.89</w:instrText>
      </w:r>
      <w:r w:rsidRPr="002D7048">
        <w:rPr>
          <w:rFonts w:ascii="Garamond" w:hAnsi="Garamond" w:cs="Garamond"/>
          <w:bCs/>
          <w:iCs/>
          <w:sz w:val="20"/>
          <w:szCs w:val="20"/>
          <w:lang w:val="id-ID"/>
        </w:rPr>
        <w:instrText>–</w:instrText>
      </w:r>
      <w:r w:rsidRPr="002D7048">
        <w:rPr>
          <w:rFonts w:ascii="Garamond" w:hAnsi="Garamond"/>
          <w:bCs/>
          <w:iCs/>
          <w:sz w:val="20"/>
          <w:szCs w:val="20"/>
          <w:lang w:val="id-ID"/>
        </w:rPr>
        <w:instrText>1.11), stroke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2306 incident strokes, aHR 1.03; 95% CI 0.95–1.13), or death (n</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4135 deaths, aHR 0.98; 95% CI 0.92</w:instrText>
      </w:r>
      <w:r w:rsidRPr="002D7048">
        <w:rPr>
          <w:rFonts w:ascii="Garamond" w:hAnsi="Garamond" w:cs="Garamond"/>
          <w:bCs/>
          <w:iCs/>
          <w:sz w:val="20"/>
          <w:szCs w:val="20"/>
          <w:lang w:val="id-ID"/>
        </w:rPr>
        <w:instrText>–</w:instrText>
      </w:r>
      <w:r w:rsidRPr="002D7048">
        <w:rPr>
          <w:rFonts w:ascii="Garamond" w:hAnsi="Garamond"/>
          <w:bCs/>
          <w:iCs/>
          <w:sz w:val="20"/>
          <w:szCs w:val="20"/>
          <w:lang w:val="id-ID"/>
        </w:rPr>
        <w:instrText>1.05). However, a small but non-statistically significant increase in the risk of stroke was observed in new users of aflibercept versus ranibizumab among patients with diabetes (aHR 1.15; 95% CI 0.98</w:instrText>
      </w:r>
      <w:r w:rsidRPr="002D7048">
        <w:rPr>
          <w:rFonts w:ascii="Garamond" w:hAnsi="Garamond" w:cs="Garamond"/>
          <w:bCs/>
          <w:iCs/>
          <w:sz w:val="20"/>
          <w:szCs w:val="20"/>
          <w:lang w:val="id-ID"/>
        </w:rPr>
        <w:instrText>–</w:instrText>
      </w:r>
      <w:r w:rsidRPr="002D7048">
        <w:rPr>
          <w:rFonts w:ascii="Garamond" w:hAnsi="Garamond"/>
          <w:bCs/>
          <w:iCs/>
          <w:sz w:val="20"/>
          <w:szCs w:val="20"/>
          <w:lang w:val="id-ID"/>
        </w:rPr>
        <w:instrText>1.35), particularly those with diabetic macular edema (aHR 1.20; 95% CI 1.00</w:instrText>
      </w:r>
      <w:r w:rsidRPr="002D7048">
        <w:rPr>
          <w:rFonts w:ascii="Garamond" w:hAnsi="Garamond" w:cs="Garamond"/>
          <w:bCs/>
          <w:iCs/>
          <w:sz w:val="20"/>
          <w:szCs w:val="20"/>
          <w:lang w:val="id-ID"/>
        </w:rPr>
        <w:instrText>–</w:instrText>
      </w:r>
      <w:r w:rsidRPr="002D7048">
        <w:rPr>
          <w:rFonts w:ascii="Garamond" w:hAnsi="Garamond"/>
          <w:bCs/>
          <w:iCs/>
          <w:sz w:val="20"/>
          <w:szCs w:val="20"/>
          <w:lang w:val="id-ID"/>
        </w:rPr>
        <w:instrText>1.44). The remaining subgroup analyses did not change the results.ConclusionAflibercept and ranibizumab appear to have similar safety profiles with respect to the risk of MI, stroke, or death under real-world conditions of use.","author":[{"dropping-particle":"","family":"Billioti de Gage","given":"Sophie","non-dropping-particle":"","parse-names":false,"suffix":""},{"dropping-particle":"","family":"Bertrand","given":"Marion","non-dropping-particle":"","parse-names":false,"suffix":""},{"dropping-particle":"","family":"Grimaldi","given":"Sébastien","non-dropping-particle":"","parse-names":false,"suffix":""},{"dropping-particle":"","family":"Zureik","given":"Mahmoud","non-dropping-particle":"","parse-names":false,"suffix":""}],"container-title":"Ophthalmology and Therapy","id":"ITEM-1","issue":"2","issued":{"date-parts":[["2022","4"]]},"page":"587-602","title":"Risk of Myocardial Infarction, Stroke, or Death in New Users of Intravitreal Aflibercept Versus Ranibizumab: A Nationwide Cohort Study","type":"article-journal","volume":"11"},"uris":["http://www.mendeley.com/documents/?uuid=42060a03-c39a-4bea-b28c-cf802595184d","http://www.mendeley.com/documents/?uuid=2c327448-056a-4e49-b868-a67020f83fad"]}],"mendeley":{"formattedCitation":"&lt;sup&gt;16&lt;/sup&gt;","plainTextFormattedCitation":"16","previouslyFormattedCitation":"&lt;sup&gt;16&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16</w:t>
      </w:r>
      <w:r w:rsidRPr="002D7048">
        <w:rPr>
          <w:rFonts w:ascii="Garamond" w:hAnsi="Garamond"/>
          <w:bCs/>
          <w:iCs/>
          <w:sz w:val="20"/>
          <w:szCs w:val="20"/>
        </w:rPr>
        <w:fldChar w:fldCharType="end"/>
      </w:r>
      <w:r w:rsidRPr="002D7048">
        <w:rPr>
          <w:rFonts w:ascii="Garamond" w:hAnsi="Garamond"/>
          <w:bCs/>
          <w:iCs/>
          <w:sz w:val="20"/>
          <w:szCs w:val="20"/>
          <w:lang w:val="id-ID"/>
        </w:rPr>
        <w:t xml:space="preserve">, but this can be a reminder that old age is a great risk of experiencing a stroke because the aging phase is a phase where anatomical and physiological conditions decline so the risk can be prevented by exercising. </w:t>
      </w:r>
      <w:proofErr w:type="spellStart"/>
      <w:r w:rsidRPr="002D7048">
        <w:rPr>
          <w:rFonts w:ascii="Garamond" w:hAnsi="Garamond"/>
          <w:bCs/>
          <w:iCs/>
          <w:sz w:val="20"/>
          <w:szCs w:val="20"/>
          <w:lang w:val="id-ID"/>
        </w:rPr>
        <w:t>live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healthy</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since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young</w:t>
      </w:r>
      <w:proofErr w:type="spellEnd"/>
      <w:r w:rsidRPr="002D7048">
        <w:rPr>
          <w:rFonts w:ascii="Garamond" w:hAnsi="Garamond"/>
          <w:bCs/>
          <w:iCs/>
          <w:sz w:val="20"/>
          <w:szCs w:val="20"/>
          <w:lang w:val="id-ID"/>
        </w:rPr>
        <w:t>.</w:t>
      </w:r>
    </w:p>
    <w:p w14:paraId="6FEF459E" w14:textId="7A49C968"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Gender also provides a significant difference in the real costs incurred with a significance of p = 0.03. These results are by research by Lucas-Noll et al. (2023) which states that the cost of stroke is influenced by gender.</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{"citationItems":[{"id":"ITEM-1","itemData":{"DOI":"10.1186/s13561-023-00439-6","ISSN":"21911991","abstract":"Stroke, a leading cause of death and long-term disability, has a considerable social and economic impact. It is imperative to investigate stroke-related costs. The main goal was to conduct a systematic literature review on the described costs associated with stroke care continuum to better understand the evolution of the economic burden and logistic challenges. This research used a systematic review method. We performed a search in PubMed/MEDLINE, ClinicalTrial.gov, Cochrane Reviews, and Google Scholar confined to publications from January 2012 to December 2021. Prices were adjusted using consumer price indices of the countries in the studies in the years the costs were incurred to 2021 Euros using the World Bank and purchasing power parity exchange rate in 2020 from the Organization for Economic Co-operation and Development with the XE Currency Data API. The inclusion criteria were all types of publications, including prospective cost studies, retrospective cost studies, database analyses, mathematical models, surveys, and cost-of-illness (COI) studies. Were excluded studies that (a) were not about stroke, (b) were editorials and commentaries, (c) were irrelevant after screening the title and abstract,(d) grey literature and non-academic studies, (e) reported cost indicators outside the scope of the review, (f) economic evaluations (i.e., cost-effectiveness or cost–benefit analyses); and (g) studies not meeting the population inclusion criteria. There may be risk of bias because the effects are dependent on the persons delivering the intervention. The results were synthetized by PRISMA method. A total of 724 potential abstracts were identified of which 25 articles were pulled for further investigation. The articles were classified into the following categories: 1)stroke primary prevention, 2) expenditures related to acute stroke care, 3) expenditures for post-acute strokes, and 4) global average stroke cost. The measured expenditures varied considerably among these studies with a global average cost from €610-€220,822.45. Given the great variability in the costs in different studies, we can conclude that we need to define a common system for assessing the costs of strokes. Possible limitations are related to clinical choices exposed to decision rules that trigger decisions alerts within stroke events in a clinical setting. This flowchart is based on the guidelines for acute ischemic stroke treatment but may not be applicable to all institutions.","author":[{"dropping-particle":"","family":"Lucas-Noll","given":"Jorgina","non-dropping-particle":"","parse-names":false,"suffix":""},{"dropping-particle":"","family":"Clua-Espuny","given":"José L.","non-dropping-particle":"","parse-names":false,"suffix":""},{"dropping-particle":"","family":"Lleixà-Fortuño","given":"Mar","non-dropping-particle":"","parse-names":false,"suffix":""},{"dropping-particle":"","family":"Gavaldà-Espelta","given":"Ester","non-dropping-particle":"","parse-names":false,"suffix":""},{"dropping-particle":"","family":"Queralt-Tomas","given":"Lluïsa","non-dropping-particle":"","parse-names":false,"suffix":""},{"dropping-particle":"","family":"Panisello-Tafalla","given":"Anna","non-dropping-particle":"","parse-names":false,"suffix":""},{"dropping-particle":"","family":"Carles-Lavila","given":"Misericòrdia","non-dropping-particle":"","parse-names":false,"suffix":""}],"container-title":"Health Economics Review","id":"ITEM-1","issue":"1","issued":{"date-parts":[["2023"]]},"page":"1-18","publisher":"Springer Berlin Heidelberg","title":"The costs associated with stroke care continuum: a systematic review","type":"article-journal","volume":"13"},"uris":["http://www.mendeley.com/documents/?uuid=e53234a6-24cf-4421-8513-c67b7ab3a112","http://www.mendeley.com/documents/?uuid=239a464b-5396-44cb-8eff-9d9d6e6cf35d"]}],"mendeley":{"formattedCitation":"&lt;sup&gt;17&lt;/sup&gt;","plainTextFormattedCitation":"17","previouslyFormattedCitation":"&lt;sup&gt;17&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17</w:t>
      </w:r>
      <w:r w:rsidRPr="002D7048">
        <w:rPr>
          <w:rFonts w:ascii="Garamond" w:hAnsi="Garamond"/>
          <w:bCs/>
          <w:iCs/>
          <w:sz w:val="20"/>
          <w:szCs w:val="20"/>
        </w:rPr>
        <w:fldChar w:fldCharType="end"/>
      </w:r>
      <w:r w:rsidRPr="002D7048">
        <w:rPr>
          <w:rFonts w:ascii="Garamond" w:hAnsi="Garamond"/>
          <w:bCs/>
          <w:iCs/>
          <w:sz w:val="20"/>
          <w:szCs w:val="20"/>
          <w:lang w:val="id-ID"/>
        </w:rPr>
        <w:t xml:space="preserve"> Because men are more prone than women to acquire vascular disease and hence have a higher risk of having a stroke, the expenses associated with treating male patients are higher than those associated with treating female patients.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{"citationItems":[{"id":"ITEM-1","itemData":{"DOI":"10.2147/ppa.s416699","abstract":"Objective: To investigate the preferences of persons with a history of stroke for various attributes of rehabilitation using a discrete choice experiment (DCE). Design: Cross-sectional study. Setting: A web-based survey. Participants: A total of 600 adults with a history of stroke who were not asked whether or not they had participated in previous rehabilitation. Intervention: None. Main Outcome Measures: Preference weights by attribute ie, treatment time (30 minutes, one hour, one and a half hours), treatment content (walking exercises, activities of daily living; ADL exercises), priority treatment of paralyzed limbs (upper extremity, lower upper extremity), treatment location (hospital visit, home visit), therapist gender, and out-of-pocket costs for stroke rehabilitation using discrete choice experiment. Results: The most common self-reported diagnosis was cerebral infarction (408 patients, 68%). The mean age was 62.0 ± 9.8 years, and 515 (85.8%) were male. Of the five attributes, excluding out-of-pocket costs, the highest relative importance score was treatment location (0.331), followed by treatment time (0.304). Among the rehabilitation programs, the statistically significant coefficients calculated were one hour of therapy (0.173, 95% CI = 0.088-0.258), hospital visits (0.241, 95% CI = 0.180-0.303), and female therapists (0.186, 95% CI = 0.125-0. 247). No significant differences were obtained regarding the treatment contents or the paralyzed limb to be treated. Conclusion: A discrete choice experiment revealed that persons with a history of stroke prefer a one-hour hospital rehabilitation program with a female therapist, with cost being a major consideration for rehabilitation. The results of this study may provide useful information for rehabilitation professionals.","author":[{"dropping-particle":"","family":"Noto","given":"Shinichi","non-dropping-particle":"","parse-names":false,"suffix":""},{"dropping-particle":"","family":"Murata","given":"Tatsunori","non-dropping-particle":"","parse-names":false,"suffix":""},{"dropping-particle":"","family":"Saito","given":"Shota","non-dropping-particle":"","parse-names":false,"suffix":""},{"dropping-particle":"","family":"Watanabe","given":"Takahiro","non-dropping-particle":"","parse-names":false,"suffix":""},{"dropping-particle":"","family":"Kobayashi","given":"Makoto","non-dropping-particle":"","parse-names":false,"suffix":""}],"container-title":"Patient preference and adherence","id":"ITEM-1","issued":{"date-parts":[["2023","4"]]},"page":"1611-1620","title":"Preferences for Rehabilitation in Persons with a History of Stroke: A Discrete Choice Experiment","type":"article-journal","volume":"17"},"uris":["http://www.mendeley.com/documents/?uuid=28a94fb4-7547-43eb-852a-def9c3631d73","http://www.mendeley.com/documents/?uuid=df53c72a-67af-436c-ade7-d3e98cf76046"]}],"mendeley":{"formattedCitation":"&lt;sup&gt;18&lt;/sup&gt;","plainTextFormattedCitation":"18","previouslyFormattedCitation":"&lt;sup&gt;18&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18</w:t>
      </w:r>
      <w:r w:rsidRPr="002D7048">
        <w:rPr>
          <w:rFonts w:ascii="Garamond" w:hAnsi="Garamond"/>
          <w:bCs/>
          <w:iCs/>
          <w:sz w:val="20"/>
          <w:szCs w:val="20"/>
        </w:rPr>
        <w:fldChar w:fldCharType="end"/>
      </w:r>
    </w:p>
    <w:p w14:paraId="5E43C7DB" w14:textId="77777777" w:rsidR="002D7048" w:rsidRDefault="002D7048" w:rsidP="007A1526">
      <w:pPr>
        <w:spacing w:line="259" w:lineRule="auto"/>
        <w:jc w:val="both"/>
        <w:rPr>
          <w:rFonts w:ascii="Garamond" w:hAnsi="Garamond"/>
          <w:bCs/>
          <w:iCs/>
          <w:sz w:val="20"/>
          <w:szCs w:val="20"/>
        </w:rPr>
      </w:pPr>
    </w:p>
    <w:p w14:paraId="22C2A8A7" w14:textId="3B6352A7" w:rsidR="00AD612E"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The prevalence of stroke in men is higher than in women.</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{"citationItems":[{"id":"ITEM-1","itemData":{"DOI":"10.2147/rmhp.s361385","abstract":"Purpose: Post-acute care is fast developing in China, yet a payment system for post-acute care has not been established. As stroke is the leading cause of mortality and disability in China, patients constitute a large share of post-acute-care patients among all hospitalized patients. This study was to identify the cost determinants and establish a case-mix classification of the post-acute care system for stroke patients in China. Patients and Methods: A total of 5401 post-acute stroke patients in seven hospitals of Jinhua City from January 2018 to December 2020 were selected. Demographic characteristics, medical status, functional measures (eg, the Barthel Index, Mini-Mental State Examination, Gugging Swallowing Screen, Hamilton Depression Scale), and cost data were extracted. Generalized linear model (GLM) and quantile regression (QR) were conducted to determine the predictors of cost, and a case-mix classification model was established using the decision-tree analysis. Results: The GLM regression revealed that gender, tracheostomy, complication or comorbidity (CC), activities of daily living (ADL), and cognitive impairment were the main variables significantly affecting the hospitalization expenses of post-acute stroke patients. The QR model showed that the gender, tracheostomy and CC factors had a more significant impact on per diem costs on the upper quantiles. In contrast, cognitive impairment had a more substantial effect on the lower quantiles, and ADL significantly impacted the central quantile. Using tracheostomy, CC, and ADL as node variables of the regression tree, 12 classes were generated. The case-mix classification performed reliably and robustly, as measured by the reduction in the variation statistic (RIV=0.46) and class-specific coefficients of variation (CV less than 1.0; range: 0.18-0.81). Conclusion: QR has strengths in comprehensively identifying cost predictors across cost groups. Tracheostomy, CC, and ADL significantly can predict the expenses of post-acute care for stroke patients. The established case-mix classification system can inform the future payment policy of post-acute care in China.","author":[{"dropping-particle":"","family":"Zhi","given":"Mengjia","non-dropping-particle":"","parse-names":false,"suffix":""},{"dropping-particle":"","family":"Hu","given":"Linlin","non-dropping-particle":"","parse-names":false,"suffix":""},{"dropping-particle":"","family":"Geng","given":"Fangli","non-dropping-particle":"","parse-names":false,"suffix":""},{"dropping-particle":"","family":"Shao","given":"Ningjun","non-dropping-particle":"","parse-names":false,"suffix":""},{"dropping-particle":"","family":"Liu","given":"Yuanli","non-dropping-particle":"","parse-names":false,"suffix":""}],"container-title":"Risk Management and Healthcare Policy","id":"ITEM-1","issued":{"date-parts":[["2022","4"]]},"page":"1113-1127","title":"Analysis of the Cost and Case-mix of Post-acute Stroke Patients in China Using Quantile Regression and the Decision-tree Models","type":"article-journal","volume":"15"},"uris":["http://www.mendeley.com/documents/?uuid=49b17add-b4aa-4df8-a19f-ab85a3308e0d","http://www.mendeley.com/documents/?uuid=024b034d-4c0b-4148-a047-668a4a5d6d8f"]}],"mendeley":{"formattedCitation":"&lt;sup&gt;19&lt;/sup&gt;","plainTextFormattedCitation":"19","previouslyFormattedCitation":"&lt;sup&gt;19&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19</w:t>
      </w:r>
      <w:r w:rsidRPr="002D7048">
        <w:rPr>
          <w:rFonts w:ascii="Garamond" w:hAnsi="Garamond"/>
          <w:bCs/>
          <w:iCs/>
          <w:sz w:val="20"/>
          <w:szCs w:val="20"/>
        </w:rPr>
        <w:fldChar w:fldCharType="end"/>
      </w:r>
      <w:r w:rsidRPr="002D7048">
        <w:rPr>
          <w:rFonts w:ascii="Garamond" w:hAnsi="Garamond"/>
          <w:bCs/>
          <w:iCs/>
          <w:sz w:val="20"/>
          <w:szCs w:val="20"/>
          <w:lang w:val="id-ID"/>
        </w:rPr>
        <w:t xml:space="preserve"> In women, hormonal factors, namely estrogen and progesterone in women during the fertile period, can protect the elasticity of blood vessels and organs in the body so that they can prevent strokes at a young age.</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{"citationItems":[{"id":"ITEM-1","itemData":{"DOI":"10.18553/jmcp.2022.28.10.1161","abstract":"&lt;b&gt;BACKGROUND:&lt;/b&gt; Medication adherence and persistence is fundamental for drug effectiveness, which is also true for the prevention of strokes in patients with atrial fibrillation (AF). Adherence to direct oral anticoagulants (DOACs) as first-line agents is often high in the early posthospital period. However, adherence often sharply declines (or eventually leads to nonpersistence) in the post-discharge ambulatory period, rendering stroke prevention ineffective. If patients at high risk of nonpersistence or nonadherence could be identified early, they could be offered early intervention measures to improve adherence and/or persistence. &lt;b&gt;OBJECTIVE:&lt;/b&gt; To develop and internally validate a predictive model for medication nonadherence and nonpersistence to DOAC treatment in patients with AF after discharge using health insurance claims data. &lt;b&gt;METHODS:&lt;/b&gt; We selected health insurance claims data between 2011 and 2016 from 8,055 patients with AF who were newly treated with rivaroxaban or apixaban after a hospital admission for stroke, transient ischemic attack, or AF. In the post-discharge ambulatory period, medication adherence was derived as the proportion of days covered, calculated from drug dispensation data. A maximum permissible 90-day gap between the end of a prescription and the next dispensation was used to estimate persistence. Candidate predictors were either derived from the index hospital admission or summarized from the previous year (eg, comorbidities or medication adherence to long-term treatments, such as ß-blockers, renin-angiotensin system inhibitors, statins, and thyroid hormones). A regularized logistic regression model was fitted using the least absolute shrinkage and selection operator in a split-sample approach (66.7% training data; 33.3% test data) to predict a composite of medication nonadherence/nonpersistence. Discrimination performance was assessed using the area under the receiver operating characteristic curve, the maximum sensitivity/specificity, and the scaled Brier score. A calibration curve fitted by linear regression was used to evaluate model calibration. &lt;b&gt;RESULTS:&lt;/b&gt; The average age of the study participants was 79.7 years, 62% were female, and 3,515 patients (44%) were adherent and persistent (median follow-up of 185 days). Medication adherence to previous long-term treatments showed strong predictive properties. The developed model discriminated well (concordance statistic: 0.755), was well calibrated, and sh…","author":[{"dropping-particle":"","family":"Wirbka","given":"Lucas","non-dropping-particle":"","parse-names":false,"suffix":""},{"dropping-particle":"","family":"Ruff","given":"Carmen","non-dropping-particle":"","parse-names":false,"suffix":""},{"dropping-particle":"","family":"Haefeli","given":"Walter E","non-dropping-particle":"","parse-names":false,"suffix":""},{"dropping-particle":"","family":"Meid","given":"Andreas D","non-dropping-particle":"","parse-names":false,"suffix":""}],"container-title":"Journal of Managed Care &amp; Specialty Pharmacy","id":"ITEM-1","issue":"10","issued":{"date-parts":[["2022","4"]]},"page":"10.18553/jmcp.2022.28.10.1161","title":"A prediction model for nonpersistence or nonadherence to direct oral anticoagulants in hospitalized patients with atrial fibrillation","type":"article-journal","volume":"28"},"uris":["http://www.mendeley.com/documents/?uuid=5e1c48e9-cb51-4f52-ada8-6fca26627b6f","http://www.mendeley.com/documents/?uuid=89e697e5-eb16-4631-a182-719ffd080bf3"]}],"mendeley":{"formattedCitation":"&lt;sup&gt;20&lt;/sup&gt;","plainTextFormattedCitation":"20","previouslyFormattedCitation":"&lt;sup&gt;20&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20</w:t>
      </w:r>
      <w:r w:rsidRPr="002D7048">
        <w:rPr>
          <w:rFonts w:ascii="Garamond" w:hAnsi="Garamond"/>
          <w:bCs/>
          <w:iCs/>
          <w:sz w:val="20"/>
          <w:szCs w:val="20"/>
        </w:rPr>
        <w:fldChar w:fldCharType="end"/>
      </w:r>
      <w:r w:rsidRPr="002D7048">
        <w:rPr>
          <w:rFonts w:ascii="Garamond" w:hAnsi="Garamond"/>
          <w:bCs/>
          <w:iCs/>
          <w:sz w:val="20"/>
          <w:szCs w:val="20"/>
          <w:lang w:val="id-ID"/>
        </w:rPr>
        <w:t xml:space="preserve"> The hormone estrogen is thought to protect neuroprotective and anti-inflammatory properties, thereby preventing atherosclerosis and significantly lowering plasma cholesterol. This hormone quickly causes vasodilation by increasing the local production of </w:t>
      </w:r>
      <w:r w:rsidRPr="002D7048">
        <w:rPr>
          <w:rFonts w:ascii="Garamond" w:hAnsi="Garamond"/>
          <w:bCs/>
          <w:iCs/>
          <w:sz w:val="20"/>
          <w:szCs w:val="20"/>
          <w:lang w:val="id-ID"/>
        </w:rPr>
        <w:t>nitrogen oxide (NO).</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{"citationItems":[{"id":"ITEM-1","itemData":{"DOI":"10.1161/cir.0000000000001071","abstract":"Addressing the pervasive gaps in knowledge and care delivery to reduce sex-based disparities and achieve equity is fundamental to the American Heart Association's commitment to advancing cardiovascular health for all by 2024. This presidential advisory serves as a call to action for the American Heart Association and other stakeholders around the globe to identify and remove barriers to health care access and quality for women. A concise and current summary of existing data across the areas of risk and prevention, access and delivery of equitable care, and awareness and education provides a framework to consider knowledge gaps and research needs critical toward achieving significant progress for the health and well-being of all women.","author":[{"dropping-particle":"","family":"Wenger","given":"Nanette K","non-dropping-particle":"","parse-names":false,"suffix":""},{"dropping-particle":"","family":"Lloyd-Jones","given":"Donald M","non-dropping-particle":"","parse-names":false,"suffix":""},{"dropping-particle":"V","family":"Elkind","given":"Mitchell S","non-dropping-particle":"","parse-names":false,"suffix":""},{"dropping-particle":"","family":"Fonarow","given":"Gregg C","non-dropping-particle":"","parse-names":false,"suffix":""},{"dropping-particle":"","family":"Warner","given":"John J","non-dropping-particle":"","parse-names":false,"suffix":""},{"dropping-particle":"","family":"Alger","given":"Heather M","non-dropping-particle":"","parse-names":false,"suffix":""},{"dropping-particle":"","family":"Cheng","given":"Susan","non-dropping-particle":"","parse-names":false,"suffix":""},{"dropping-particle":"","family":"Kinzy","given":"Claire","non-dropping-particle":"","parse-names":false,"suffix":""},{"dropping-particle":"","family":"Hall","given":"Jennifer L","non-dropping-particle":"","parse-names":false,"suffix":""},{"dropping-particle":"","family":"Roger","given":"Véronique L","non-dropping-particle":"","parse-names":false,"suffix":""},{"dropping-particle":"","family":"Association","given":"on behalf of the American Heart","non-dropping-particle":"","parse-names":false,"suffix":""}],"container-title":"Circulation","id":"ITEM-1","issue":"23","issued":{"date-parts":[["2022","4"]]},"page":"e1059-e1071","title":"Call to Action for Cardiovascular Disease in Women: Epidemiology, Awareness, Access, and Delivery of Equitable Health Care: A Presidential Advisory From the American Heart Association","type":"article-journal","volume":"145"},"uris":["http://www.mendeley.com/documents/?uuid=48eed283-ac67-4ecb-a39b-1bc4299cb16c","http://www.mendeley.com/documents/?uuid=b4e914c1-0ff8-4ef5-8019-d863e575207f"]}],"mendeley":{"formattedCitation":"&lt;sup&gt;21&lt;/sup&gt;","plainTextFormattedCitation":"21","previouslyFormattedCitation":"&lt;sup&gt;21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21</w:t>
      </w:r>
      <w:r w:rsidRPr="002D7048">
        <w:rPr>
          <w:rFonts w:ascii="Garamond" w:hAnsi="Garamond"/>
          <w:bCs/>
          <w:iCs/>
          <w:sz w:val="20"/>
          <w:szCs w:val="20"/>
        </w:rPr>
        <w:fldChar w:fldCharType="end"/>
      </w:r>
      <w:r w:rsidRPr="002D7048">
        <w:rPr>
          <w:rFonts w:ascii="Garamond" w:hAnsi="Garamond"/>
          <w:bCs/>
          <w:iCs/>
          <w:sz w:val="20"/>
          <w:szCs w:val="20"/>
          <w:lang w:val="id-ID"/>
        </w:rPr>
        <w:t xml:space="preserve"> Men are more likely than women of the same age to have high blood pressure, which increases the risk of stroke. Men are more likely to have a stroke due to lifestyle factors in addition to hormones. Similar to smoking, this practice is growing among guys. One of the things that can cause a stroke in a person is smoking.</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{"citationItems":[{"id":"ITEM-1","itemData":{"DOI":"10.1080/00207454.2022.2042692","abstract":"BACKGROUND: There are few studies on the comorbidity of hypertension (HTN), diabetes mellitus (DM) and dyslipidemia (DLP) associated with stroke. We aimed to explore the relationship between the number of metabolic diseases and stroke and its different subtypes, and to reveal whether metabolic diseases alone or coexist can significantly increase the risk of stroke. METHODS: We completed a multi-center case-control study in Jiangxi Province, China. Neuroimaging examination was done in all cases. Controls were stroke-free adults recruited from the community in the case concentration area and matched with the cases in 1:1 ratio by age and sex. Odds ratios (OR) were calculated by conditional logistic regression. RESULTS: We enrolled 11,729 case-control pairs. The estimated ORs among patients with 1, 2 and 3 metabolic diseases were 3.16 (2.78-3.60), 7.11 (6.16-8.20), 12.22 (9.73-15.36), respectively after adjusting age, body mass index, urban-rural areas, cardiac disease, smoking, alcohol intake, physically active, high intake of salt, meat-biased diet, high homocysteine. The coexistence of HTN and DM (OR: 7.67), the coexistence of HTN and DLP (OR:7.58), and the coexistence of DM and DLP (OR:3.64) can all significantly increase the risk of stroke. HTN alone or combined other metabolic diseases were significantly more strongly associated with intracerebral haemorrhage than ischemic stroke. CONCLUSIONS: The risk of stroke increased with the number of chronic metabolic diseases. It is necessary to regularly monitor blood pressure, blood sugar and blood lipids and strengthen lifestyle management and take appropriate drug interventions to prevent exposure to multiple metabolic diseases based on existing conditions.","author":[{"dropping-particle":"","family":"Wu","given":"Yuhang","non-dropping-particle":"","parse-names":false,"suffix":""},{"dropping-particle":"","family":"Zheng","given":"Huilie","non-dropping-particle":"","parse-names":false,"suffix":""},{"dropping-particle":"","family":"Hu","given":"Songbo","non-dropping-particle":"","parse-names":false,"suffix":""},{"dropping-particle":"","family":"Chen","given":"Xiaoyun","non-dropping-particle":"","parse-names":false,"suffix":""},{"dropping-particle":"","family":"Chen","given":"Yiying","non-dropping-particle":"","parse-names":false,"suffix":""},{"dropping-particle":"","family":"Liu","given":"Jie","non-dropping-particle":"","parse-names":false,"suffix":""},{"dropping-particle":"","family":"Xu","given":"Yan","non-dropping-particle":"","parse-names":false,"suffix":""},{"dropping-particle":"","family":"Chen","given":"Xiaona","non-dropping-particle":"","parse-names":false,"suffix":""},{"dropping-particle":"","family":"Zhu","given":"Liping","non-dropping-particle":"","parse-names":false,"suffix":""},{"dropping-particle":"","family":"Yan","given":"Wei","non-dropping-particle":"","parse-names":false,"suffix":""}],"container-title":"International Journal of Neuroscience","id":"ITEM-1","issue":"9","issued":{"date-parts":[["2022","4"]]},"page":"1055-1063","title":"The impact of metabolic diseases and their comorbidities for stroke in a middle-income area of China: a case-control study","type":"article-journal","volume":"133"},"uris":["http://www.mendeley.com/documents/?uuid=52613c5c-92a0-4672-bdfe-3c70d2d3a910","http://www.mendeley.com/documents/?uuid=924631c6-c700-4847-a87b-6c2793c088dd"]}],"mendeley":{"formattedCitation":"&lt;sup&gt;11&lt;/sup&gt;","plainTextFormattedCitation":"11","previouslyFormattedCitation":"&lt;sup&gt;11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11</w:t>
      </w:r>
      <w:r w:rsidRPr="002D7048">
        <w:rPr>
          <w:rFonts w:ascii="Garamond" w:hAnsi="Garamond"/>
          <w:bCs/>
          <w:iCs/>
          <w:sz w:val="20"/>
          <w:szCs w:val="20"/>
        </w:rPr>
        <w:fldChar w:fldCharType="end"/>
      </w:r>
      <w:r w:rsidRPr="002D7048">
        <w:rPr>
          <w:rFonts w:ascii="Garamond" w:hAnsi="Garamond"/>
          <w:bCs/>
          <w:iCs/>
          <w:sz w:val="20"/>
          <w:szCs w:val="20"/>
          <w:lang w:val="id-ID"/>
        </w:rPr>
        <w:t xml:space="preserve"> These gender factors include factors that cannot be controlled or cannot be modified. Therefore, it is natural that men are </w:t>
      </w:r>
      <w:proofErr w:type="spellStart"/>
      <w:r w:rsidRPr="002D7048">
        <w:rPr>
          <w:rFonts w:ascii="Garamond" w:hAnsi="Garamond"/>
          <w:bCs/>
          <w:iCs/>
          <w:sz w:val="20"/>
          <w:szCs w:val="20"/>
          <w:lang w:val="id-ID"/>
        </w:rPr>
        <w:t>advised</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to</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be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more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aware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of</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strokes</w:t>
      </w:r>
      <w:proofErr w:type="spellEnd"/>
      <w:r w:rsidRPr="002D7048">
        <w:rPr>
          <w:rFonts w:ascii="Garamond" w:hAnsi="Garamond"/>
          <w:bCs/>
          <w:iCs/>
          <w:sz w:val="20"/>
          <w:szCs w:val="20"/>
          <w:lang w:val="id-ID"/>
        </w:rPr>
        <w:t>.</w:t>
      </w:r>
    </w:p>
    <w:p w14:paraId="466C9645" w14:textId="6C66B4C6" w:rsidR="00AD612E"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The calculation results show that the average cost increases significantly with increasing length of patient care.</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{"citationItems":[{"id":"ITEM-1","itemData":{"DOI":"10.1186/s12911-023-02140-4","abstract":"BackgroundThe incidence of stroke is a challenge in China, as stroke imposes a heavy burden on families, national health services, social services, and the economy. The length of hospital stay (LOS) is an essential indicator of utilization of medical services and is usually used to assess the efficiency of hospital management and patient quality of care. This study established a prediction model based on a machine learning algorithm to predict ischemic stroke patients’ LOS.MethodsA total of 18,195 ischemic stroke patients’ electronic medical records and 28 attributes were extracted from electronic medical records in a large comprehensive hospital in China. The prediction of LOS was regarded as a multi classification problem, and LOS was divided into three categories: 1–7 days, 8–14 days and more than 14 days. After preprocessing the data and feature selection, the XGBoost algorithm was used to build a machine learning model. Ten fold cross-validation was used for model validation. The accuracy (ACC), recall rate (RE) and F1 measure were used to evaluate the performance of the prediction model of LOS of ischemic stroke patients. Finally, the XGBoost algorithm was used to identify and remove irrelevant features by ranking all attributes based on feature importance.ResultsCompared with the naive Bayesian algorithm, logistic region algorithm, decision tree classifier algorithm and ADaBoost classifier algorithm, the XGBoot algorithm has higher ACC, RE and F1 measure. The average ACC, RE and F1 measure were 0.89, 0.89 and 0.89 under the 10-fold cross-validation. According to the analysis of the importance of features, the LOS of ischemic stroke patients was affected by demographic characteristics, past medical history, admission examination features, and operation characteristics. Finally, the features in terms of hemiplegia aphasia, MRS, NIHSS, TIA, Operation or not, coma index etc. were found to be the top features in importance in predicting the LOS of ischemic stroke patients.ConclusionsThe XGBoost algorithm was an appropriate machine learning method for predicting the LOS of patients with ischemic stroke. Based on the prediction model, an intelligent medical management prediction system could be developed to predict the LOS based on ischemic stroke patients’ electronic medical records.","author":[{"dropping-particle":"","family":"Chen","given":"Rui","non-dropping-particle":"","parse-names":false,"suffix":""},{"dropping-particle":"","family":"Zhang","given":"Shengfa","non-dropping-particle":"","parse-names":false,"suffix":""},{"dropping-particle":"","family":"Li","given":"Jie","non-dropping-particle":"","parse-names":false,"suffix":""},{"dropping-particle":"","family":"Guo","given":"Dongwei","non-dropping-particle":"","parse-names":false,"suffix":""},{"dropping-particle":"","family":"Zhang","given":"Weijun","non-dropping-particle":"","parse-names":false,"suffix":""},{"dropping-particle":"","family":"Wang","given":"Xiaoying","non-dropping-particle":"","parse-names":false,"suffix":""},{"dropping-particle":"","family":"Tian","given":"Donghua","non-dropping-particle":"","parse-names":false,"suffix":""},{"dropping-particle":"","family":"Qu","given":"Zhiyong","non-dropping-particle":"","parse-names":false,"suffix":""},{"dropping-particle":"","family":"Wang","given":"Xiaohua","non-dropping-particle":"","parse-names":false,"suffix":""}],"container-title":"BMC Medical Informatics and Decision Making","id":"ITEM-1","issue":"1","issued":{"date-parts":[["2023","4"]]},"page":"49","title":"A study on predicting the length of hospital stay for Chinese patients with ischemic stroke based on the XGBoost algorithm","type":"article-journal","volume":"23"},"uris":["http://www.mendeley.com/documents/?uuid=a5af0180-440d-4ff2-a79e-93cc50ee6df9","http://www.mendeley.com/documents/?uuid=ffb83b6d-cd96-4eed-ad0a-5d44e480d1eb"]}],"mendeley":{"formattedCitation":"&lt;sup&gt;22&lt;/sup&gt;","plainTextFormattedCitation":"22","previouslyFormattedCitation":"&lt;sup&gt;22&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22</w:t>
      </w:r>
      <w:r w:rsidRPr="002D7048">
        <w:rPr>
          <w:rFonts w:ascii="Garamond" w:hAnsi="Garamond"/>
          <w:bCs/>
          <w:iCs/>
          <w:sz w:val="20"/>
          <w:szCs w:val="20"/>
        </w:rPr>
        <w:fldChar w:fldCharType="end"/>
      </w:r>
      <w:r w:rsidRPr="002D7048">
        <w:rPr>
          <w:rFonts w:ascii="Garamond" w:hAnsi="Garamond"/>
          <w:bCs/>
          <w:iCs/>
          <w:sz w:val="20"/>
          <w:szCs w:val="20"/>
          <w:lang w:val="id-ID"/>
        </w:rPr>
        <w:t xml:space="preserve"> Length of Stay (LOS) is the period a patient remains in the hospital to receive medical care for their ailment until they are released from the facility.</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{"citationItems":[{"id":"ITEM-1","itemData":{"DOI":"10.3389/fpubh.2024.1264292","abstract":"Background: Since the implementation of the stroke care line in Brazil, the relationship (adequacy) of costs spent during hospitalization with the Brazilian Ministry of Health indicators for a stroke unit have not yet been analyzed. Aims: This study aimed to assess the adequacy of a comprehensive stroke center for key performance indicators and analyze the costs involved in hospitalization. We verified the association between stroke severity at admission and care costs during hospitalization. Methods: A retrospective medical chart review of 451 patients was performed using semiautomatic electronic data from a single comprehensive stroke center in Brazil between July 2018 and January 2020. Clinical and resource utilization data were collected, and the mean acute treatment cost per person was calculated. The Kruskal-Wallis test with Dunn's post-test was used to compare the total costs between stroke types and reperfusion therapies. A robust linear regression test was used to verify the association between stroke severity at hospital admission and the total hospitalization costs. Good adequacy rates were observed for several indicators. Results: Data from 451 patients were analyzed. The stroke unit had good adaptation to key performance indicators, but some critical points needed revision and improvement to adapt to the requirements of the Ministry of Health. The average total cost of the patient's stay was the USD 2,637.3, with the daily hospitalization, procedure, operating room, and materials/medication costs equating to USD 2,011.1, USD 220.7, USD 234.1, and USD 98.8, respectively. There was a positive association between the total cost and length of hospital stay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0.001). Conclusion: The stroke unit complied with most of the main performance indicators proposed by the Brazilian Ministry of Health. Underfunding of the costs involved in the hospitalization of patients was verified, and high costs were associated with the length of stay, stroke severity, and mechanical thrombectomy.","author":[{"dropping-particle":"","family":"Ferreira","given":"Natalia Cristina","non-dropping-particle":"","parse-names":false,"suffix":""},{"dropping-particle":"","family":"Luvizutto","given":"Gustavo José","non-dropping-particle":"","parse-names":false,"suffix":""},{"dropping-particle":"","family":"Bazan","given":"Silméia Garcia Zanati","non-dropping-particle":"","parse-names":false,"suffix":""},{"dropping-particle":"","family":"Bonome","given":"Luana Aparecida Miranda","non-dropping-particle":"","parse-names":false,"suffix":""},{"dropping-particle":"","family":"Winckler","given":"Fernanda Cristina","non-dropping-particle":"","parse-names":false,"suffix":""},{"dropping-particle":"","family":"Santos","given":"Daniel Fabiano Barbosa","non-dropping-particle":"dos","parse-names":false,"suffix":""},{"dropping-particle":"","family":"Chiloff","given":"Cristiane Lara Mendes","non-dropping-particle":"","parse-names":false,"suffix":""},{"dropping-particle":"","family":"Modolo","given":"Gabriel Pinheiro","non-dropping-particle":"","parse-names":false,"suffix":""},{"dropping-particle":"","family":"Freitas","given":"Carlos Clayton Macedo","non-dropping-particle":"de","parse-names":false,"suffix":""},{"dropping-particle":"","family":"Barretti","given":"Pasqual","non-dropping-particle":"","parse-names":false,"suffix":""},{"dropping-particle":"","family":"Lange","given":"Marcos Christiano","non-dropping-particle":"","parse-names":false,"suffix":""},{"dropping-particle":"","family":"Minicucci","given":"Marcos Ferreira","non-dropping-particle":"","parse-names":false,"suffix":""},{"dropping-particle":"","family":"Souza","given":"Juli Thomaz","non-dropping-particle":"de","parse-names":false,"suffix":""},{"dropping-particle":"","family":"Bazan","given":"Rodrigo","non-dropping-particle":"","parse-names":false,"suffix":""}],"container-title":"Frontiers in Public Health","id":"ITEM-1","issued":{"date-parts":[["2024","4"]]},"page":"1264292","title":"Challenges in adapting a stroke unit in a middle-income country: warning about costs and underfunding to achieve the Brazilian Ministry of Health’s benchmark","type":"article-journal","volume":"12"},"uris":["http://www.mendeley.com/documents/?uuid=193f9e4b-dc75-48e5-bc44-6b3707af925b","http://www.mendeley.com/documents/?uuid=1f2c99e9-0696-4910-ae3f-d40d2a5ab445"]}],"mendeley":{"formattedCitation":"&lt;sup&gt;23&lt;/sup&gt;","plainTextFormattedCitation":"23","previouslyFormattedCitation":"&lt;sup&gt;23&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23</w:t>
      </w:r>
      <w:r w:rsidRPr="002D7048">
        <w:rPr>
          <w:rFonts w:ascii="Garamond" w:hAnsi="Garamond"/>
          <w:bCs/>
          <w:iCs/>
          <w:sz w:val="20"/>
          <w:szCs w:val="20"/>
        </w:rPr>
        <w:fldChar w:fldCharType="end"/>
      </w:r>
      <w:r w:rsidRPr="002D7048">
        <w:rPr>
          <w:rFonts w:ascii="Garamond" w:hAnsi="Garamond"/>
          <w:bCs/>
          <w:iCs/>
          <w:sz w:val="20"/>
          <w:szCs w:val="20"/>
          <w:lang w:val="id-ID"/>
        </w:rPr>
        <w:t xml:space="preserve"> The length of treatment also affects the real rates. This is because the length of treatment is calculated at real rates per day, so The longer a patient receives treatment, the more expensive it becomes. One day of inpatient care was counted for patients who were admitted to the hospital and released the same day.</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{"citationItems":[{"id":"ITEM-1","itemData":{"DOI":"10.4330/wjc.v14.i11.576","abstract":"BACKGROUND: Since 2010, the European Society of Cardiology has extended prescription criteria for oral antithrombotic therapy (OAT) in atrial fibrillation (AF). Direct oral anticoagulants (DOACs) were upgraded from an IIAa recommendation in 2012 to an IA in 2016. In real-world scenarios, however, OAC prescription is still suboptimal, mainly for DOACs. AIM: To evaluate OAT temporal prescription patterns in a cohort of patients hospitalized with AF in a Cardiology Department. METHODS: A retrospective observational study was conducted on a cohort of hospitalized patients in a secondary setting (Trapani, Italy) from 2010 to 2021 with AF as the main or secondary diagnosis. For 4089 consecutive patients, the variables extracted from the Cardiology department database were: Sex, age, time of hospitalization, antithrombotic therapy (warfarin, acenocoumarol, apixaban, dabigatran, edoxaban, rivaroxaban, aspirin, clopidogrel, other antiplatelet agents, low molecular weight heparin, and fondaparinux), diagnosis at discharge and used resources. Basal features are presented as percentage values for categorized variables and as mean +/- SD for categorized once. RESULTS: From January 1st, 2010 to October 6th, 2021, 25132 patients were hospitalized in our department; 4089 (16.27%, mean age 75.59+/-10.82) were discharged with AF diagnosis; of them, 2245 were males (54.81%, mean age 73.56+/-11.45) and 1851 females (45.19%, mean age 78.06+/-9.47). Average length of stay was 5.76+/-4.88 days; 154 patients died and 88 were moved to other Departments/Structures. AF was the main diagnosis in 899 patients (21.94%). The most frequent main diagnosis in patients with AF was acute myocardial infarction (1973 discharges, 48.19%). The most frequent secondary cardiac diagnosis was chronic coronary syndrome (1864 discharges, 45.51%), and the most frequent secondary associated condition was arterial hypertension (1010 discharges, 24.66%). For the analysis of antithrombotic treatments, the final sample included 3067 patients, after excluding in-hospital deaths, transferred out or self-discharged patients, as well as discharges lacking indications for prescribed treatments. OAC treatment increased significantly (35.63% in 2010-2012 &lt;i&gt;vs&lt;/i&gt; 61.18% in 2019-2021, +25.55%, &lt;i&gt;P&lt;/i&gt; &amp;lt; 0.0001), in spite of any antiplatelet agent use. This rise was due to increasing use of DOACs, with or without antiplatelet agents, from 3.04% in 2013-2015 to 50.06% in 2019-2021 (+47.02%, &lt;i&gt;P&lt;/i&gt; &amp;lt; 0.00…","author":[{"dropping-particle":"","family":"Abrignani","given":"Maurizio Giuseppe","non-dropping-particle":"","parse-names":false,"suffix":""},{"dropping-particle":"","family":"Lombardo","given":"Alberto","non-dropping-particle":"","parse-names":false,"suffix":""},{"dropping-particle":"","family":"Braschi","given":"Annabella","non-dropping-particle":"","parse-names":false,"suffix":""},{"dropping-particle":"","family":"Renda","given":"Nicolò","non-dropping-particle":"","parse-names":false,"suffix":""},{"dropping-particle":"","family":"Abrignani","given":"Vincenzo","non-dropping-particle":"","parse-names":false,"suffix":""},{"dropping-particle":"","family":"Lombardo","given":"Renzo M","non-dropping-particle":"","parse-names":false,"suffix":""}],"container-title":"World Journal of Cardiology","id":"ITEM-1","issue":"11","issued":{"date-parts":[["2022","4"]]},"page":"576-598","title":"Time trends in antithrombotic therapy prescription patterns: Real-world monocentric study in hospitalized patients with atrial fibrillation","type":"article-journal","volume":"14"},"uris":["http://www.mendeley.com/documents/?uuid=d6081fad-9079-4585-ac17-919d96b6a1cf","http://www.mendeley.com/documents/?uuid=76bbb881-96a9-4453-9146-9c05b92c6556"]}],"mendeley":{"formattedCitation":"&lt;sup&gt;24&lt;/sup&gt;","plainTextFormattedCitation":"24","previouslyFormattedCitation":"&lt;sup&gt;24&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24</w:t>
      </w:r>
      <w:r w:rsidRPr="002D7048">
        <w:rPr>
          <w:rFonts w:ascii="Garamond" w:hAnsi="Garamond"/>
          <w:bCs/>
          <w:iCs/>
          <w:sz w:val="20"/>
          <w:szCs w:val="20"/>
        </w:rPr>
        <w:fldChar w:fldCharType="end"/>
      </w:r>
      <w:r w:rsidRPr="002D7048">
        <w:rPr>
          <w:rFonts w:ascii="Garamond" w:hAnsi="Garamond"/>
          <w:bCs/>
          <w:iCs/>
          <w:sz w:val="20"/>
          <w:szCs w:val="20"/>
          <w:lang w:val="id-ID"/>
        </w:rPr>
        <w:t xml:space="preserve"> In the calculation, the date of entry into inpatient services (admission) is counted, while the date of patient discharge (discharge) is not counted. Long inpatient days that are too long will cause losses, including increasing the burden of care costs for patients or the patient's family, reducing the coverage of hospital health services, BOR (Bed Occupancy Rate) will increase and become a waste for the hospital (operational costs from the hospital will bigger.</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{"citationItems":[{"id":"ITEM-1","itemData":{"DOI":"10.1136/bmjopen-2023-072259","abstract":"OBJECTIVE: To determine resource utilisation, costs and all-cause mortality related to stroke in Thailand. DESIGN: Retrospective, cross-sectional study. SETTING AND PARTICIPANTS: Patients with first-ever stroke in the Thai national claims database between 2017 and 2020 were included for analysis. No individuals were involved. METHODS: We estimated annual treatment costs using two-part models. Survival analysis for all-cause mortality was performed. RESULTS: We identified 386 484 patients with incident stroke of which 56% were men. Mean age was 65 years and ischaemic stroke was the most common subtype. Mean annual cost per patient was 37 179 Thai Baht (95% CI: 36 988 to 37 370). Haemorrhagic stroke was predominantly observed in the youngest age groups with the highest estimated mean annual cost. Patients with haemorrhagic stroke also had a longer length of stay (LOS) in hospital and an increased risk of mortality. Key cost drivers were identified to be age, LOS, comorbidity and thrombolysis. Costs were lower in patients who received rehabilitation; however, only 32% of patients received rehabilitation services. The 4-year survival rate of all stroke types was 66.5% (95% CI: 64.3% to 66.7%). Older age, high comorbidity score, long LOS and being treated outside the Bangkok area were factors associated with significantly increased mortality risk, while receiving thrombolysis or rehabilitation was associated with a decreased risk of death. CONCLUSION: The highest mean cost per patient was found in patients with haemorrhagic stroke. Receiving rehabilitation was associated with lower cost and mortality risk. Rehabilitation and disability outcomes should be improved to ensure an enhancement of health outcomes and efficient use of resources.","author":[{"dropping-particle":"","family":"Kumluang","given":"Suthasinee","non-dropping-particle":"","parse-names":false,"suffix":""},{"dropping-particle":"","family":"Wu","given":"Olivia","non-dropping-particle":"","parse-names":false,"suffix":""},{"dropping-particle":"","family":"Langhorne","given":"Peter","non-dropping-particle":"","parse-names":false,"suffix":""},{"dropping-particle":"","family":"Geue","given":"Claudia","non-dropping-particle":"","parse-names":false,"suffix":""}],"container-title":"BMJ Open","id":"ITEM-1","issue":"6","issued":{"date-parts":[["2023","4"]]},"page":"e072259","title":"Stroke resource utilisation and all-cause mortality in Thailand 2017–2020: A retrospective, cross-sectional study","type":"article-journal","volume":"13"},"uris":["http://www.mendeley.com/documents/?uuid=39c9313d-9054-45e8-8e4f-f83ed4535ea0","http://www.mendeley.com/documents/?uuid=42fab4c2-495b-4408-acb9-09c32c3810bf"]}],"mendeley":{"formattedCitation":"&lt;sup&gt;25&lt;/sup&gt;","plainTextFormattedCitation":"25","previouslyFormattedCitation":"&lt;sup&gt;25&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25</w:t>
      </w:r>
      <w:r w:rsidRPr="002D7048">
        <w:rPr>
          <w:rFonts w:ascii="Garamond" w:hAnsi="Garamond"/>
          <w:bCs/>
          <w:iCs/>
          <w:sz w:val="20"/>
          <w:szCs w:val="20"/>
        </w:rPr>
        <w:fldChar w:fldCharType="end"/>
      </w:r>
    </w:p>
    <w:p w14:paraId="0CC7F7A7" w14:textId="35975BD2" w:rsidR="002D7048" w:rsidRPr="007265BD" w:rsidRDefault="002D7048" w:rsidP="007A1526">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This follows Ferreira's (2024) study that the length of hospitalization influences the amount of costs incurred for treatment. </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{"citationItems":[{"id":"ITEM-1","itemData":{"DOI":"10.3389/fpubh.2024.1264292","abstract":"Background: Since the implementation of the stroke care line in Brazil, the relationship (adequacy) of costs spent during hospitalization with the Brazilian Ministry of Health indicators for a stroke unit have not yet been analyzed. Aims: This study aimed to assess the adequacy of a comprehensive stroke center for key performance indicators and analyze the costs involved in hospitalization. We verified the association between stroke severity at admission and care costs during hospitalization. Methods: A retrospective medical chart review of 451 patients was performed using semiautomatic electronic data from a single comprehensive stroke center in Brazil between July 2018 and January 2020. Clinical and resource utilization data were collected, and the mean acute treatment cost per person was calculated. The Kruskal-Wallis test with Dunn's post-test was used to compare the total costs between stroke types and reperfusion therapies. A robust linear regression test was used to verify the association between stroke severity at hospital admission and the total hospitalization costs. Good adequacy rates were observed for several indicators. Results: Data from 451 patients were analyzed. The stroke unit had good adaptation to key performance indicators, but some critical points needed revision and improvement to adapt to the requirements of the Ministry of Health. The average total cost of the patient's stay was the USD 2,637.3, with the daily hospitalization, procedure, operating room, and materials/medication costs equating to USD 2,011.1, USD 220.7, USD 234.1, and USD 98.8, respectively. There was a positive association between the total cost and length of hospital stay (&lt;i&gt;p&lt;/i&gt;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&amp;lt;</w:instrText>
      </w:r>
      <w:r w:rsidRPr="002D7048">
        <w:rPr>
          <w:rFonts w:ascii="Times New Roman" w:hAnsi="Times New Roman" w:cs="Times New Roman"/>
          <w:bCs/>
          <w:iCs/>
          <w:sz w:val="20"/>
          <w:szCs w:val="20"/>
          <w:lang w:val="id-ID"/>
        </w:rPr>
        <w:instrText> </w:instrText>
      </w:r>
      <w:r w:rsidRPr="002D7048">
        <w:rPr>
          <w:rFonts w:ascii="Garamond" w:hAnsi="Garamond"/>
          <w:bCs/>
          <w:iCs/>
          <w:sz w:val="20"/>
          <w:szCs w:val="20"/>
          <w:lang w:val="id-ID"/>
        </w:rPr>
        <w:instrText>0.001). Conclusion: The stroke unit complied with most of the main performance indicators proposed by the Brazilian Ministry of Health. Underfunding of the costs involved in the hospitalization of patients was verified, and high costs were associated with the length of stay, stroke severity, and mechanical thrombectomy.","author":[{"dropping-particle":"","family":"Ferreira","given":"Natalia Cristina","non-dropping-particle":"","parse-names":false,"suffix":""},{"dropping-particle":"","family":"Luvizutto","given":"Gustavo José","non-dropping-particle":"","parse-names":false,"suffix":""},{"dropping-particle":"","family":"Bazan","given":"Silméia Garcia Zanati","non-dropping-particle":"","parse-names":false,"suffix":""},{"dropping-particle":"","family":"Bonome","given":"Luana Aparecida Miranda","non-dropping-particle":"","parse-names":false,"suffix":""},{"dropping-particle":"","family":"Winckler","given":"Fernanda Cristina","non-dropping-particle":"","parse-names":false,"suffix":""},{"dropping-particle":"","family":"Santos","given":"Daniel Fabiano Barbosa","non-dropping-particle":"dos","parse-names":false,"suffix":""},{"dropping-particle":"","family":"Chiloff","given":"Cristiane Lara Mendes","non-dropping-particle":"","parse-names":false,"suffix":""},{"dropping-particle":"","family":"Modolo","given":"Gabriel Pinheiro","non-dropping-particle":"","parse-names":false,"suffix":""},{"dropping-particle":"","family":"Freitas","given":"Carlos Clayton Macedo","non-dropping-particle":"de","parse-names":false,"suffix":""},{"dropping-particle":"","family":"Barretti","given":"Pasqual","non-dropping-particle":"","parse-names":false,"suffix":""},{"dropping-particle":"","family":"Lange","given":"Marcos Christiano","non-dropping-particle":"","parse-names":false,"suffix":""},{"dropping-particle":"","family":"Minicucci","given":"Marcos Ferreira","non-dropping-particle":"","parse-names":false,"suffix":""},{"dropping-particle":"","family":"Souza","given":"Juli Thomaz","non-dropping-particle":"de","parse-names":false,"suffix":""},{"dropping-particle":"","family":"Bazan","given":"Rodrigo","non-dropping-particle":"","parse-names":false,"suffix":""}],"container-title":"Frontiers in Public Health","id":"ITEM-1","issued":{"date-parts":[["2024","4"]]},"page":"1264292","title":"Challenges in adapting a stroke unit in a middle-income country: warning about costs and underfunding to achieve the Brazilian Ministry of Health’s benchmark","type":"article-journal","volume":"12"},"uris":["http://www.mendeley.com/documents/?uuid=1f2c99e9-0696-4910-ae3f-d40d2a5ab445","http://www.mendeley.com/documents/?uuid=193f9e4b-dc75-48e5-bc44-6b3707af925b"]}],"mendeley":{"formattedCitation":"&lt;sup&gt;23&lt;/sup&gt;","plainTextFormattedCitation":"23","previouslyFormattedCitation":"&lt;sup&gt;23&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23</w:t>
      </w:r>
      <w:r w:rsidRPr="002D7048">
        <w:rPr>
          <w:rFonts w:ascii="Garamond" w:hAnsi="Garamond"/>
          <w:bCs/>
          <w:iCs/>
          <w:sz w:val="20"/>
          <w:szCs w:val="20"/>
        </w:rPr>
        <w:fldChar w:fldCharType="end"/>
      </w:r>
      <w:r w:rsidRPr="002D7048">
        <w:rPr>
          <w:rFonts w:ascii="Garamond" w:hAnsi="Garamond"/>
          <w:bCs/>
          <w:iCs/>
          <w:sz w:val="20"/>
          <w:szCs w:val="20"/>
          <w:lang w:val="id-ID"/>
        </w:rPr>
        <w:t xml:space="preserve"> It is also comparable to Kim's research which asserts a connection between the duration of stay and the total expenses incurred. </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{"citationItems":[{"id":"ITEM-1","itemData":{"DOI":"10.1177/18333583221090277","abstract":"BACKGROUND: Stroke is a high-cost condition. Detailed patient-level assessments of the costs of care received and outcomes achieved provide useful information for organisation and optimisation of the health system. OBJECTIVES: To describe the costs of hospital care for stroke and transient ischaemic attack (TIA) and investigate factors associated with costs. METHODS: Retrospective cohort study using data from the Australian Stroke Clinical Registry (AuSCR) collected between 2009 and 2013 linked to hospital administrative data and clinical costing data in Queensland. Clinical costing data include standardised assignment of costs from hospitals that contribute to the National Hospital Costing programme. Patient-level costs for each hospital admission were described according to the demographic, clinical and treatment characteristics of patients. Multivariable median regression with clustering by hospital was used to determine factors associated with greater costs. RESULTS: Among 22 hospitals, clinical costing data were available for 3909 of 5522 patient admissions in the AuSCR (71%). Compared to those without clinical costing data, patients with clinical costing data were more often aged &amp;lt;65 years (30% with cost data vs 24% without cost data, &lt;i&gt;p&lt;/i&gt; &amp;lt; 0.001) and male (56% with cost data vs 49% without cost data, &lt;i&gt;p&lt;/i&gt; &amp;lt; 0.001). Median cost of an acute episode was $7945 (interquartile range $4176 to $14970) and the median length of stay was 5 days (interquartile range 2 to 10 days). The most expensive cost buckets were related to medical (&lt;i&gt;n&lt;/i&gt; = 3897, median cost $1577), nursing (&lt;i&gt;n&lt;/i&gt; = 3908, median cost $2478) and critical care (&lt;i&gt;n&lt;/i&gt; = 434, median cost $3064). Factors associated with greater total costs were a diagnosis of intracerebral haemorrhage, greater socioeconomic position, in-hospital stroke and prior history of stroke. CONCLUSION: Medical and nursing costs were incurred by most patients admitted with stroke or TIA, and were relatively more expensive on average than other cost buckets such as imaging and allied health. IMPLICATIONS: Scaling this data linkage to national data collections may provide valuable insights into activity-based funding at public hospitals. Regular report of these costs should be encouraged to optimise economic evaluations.","author":[{"dropping-particle":"","family":"Kim","given":"Joosup","non-dropping-particle":"","parse-names":false,"suffix":""},{"dropping-particle":"","family":"Grimley","given":"Rohan","non-dropping-particle":"","parse-names":false,"suffix":""},{"dropping-particle":"","family":"Kilkenny","given":"Monique F","non-dropping-particle":"","parse-names":false,"suffix":""},{"dropping-particle":"","family":"Cadigan","given":"Greg","non-dropping-particle":"","parse-names":false,"suffix":""},{"dropping-particle":"","family":"Johnston","given":"Trisha","non-dropping-particle":"","parse-names":false,"suffix":""},{"dropping-particle":"","family":"Andrew","given":"Nadine E","non-dropping-particle":"","parse-names":false,"suffix":""},{"dropping-particle":"","family":"Thrift","given":"Amanda G","non-dropping-particle":"","parse-names":false,"suffix":""},{"dropping-particle":"","family":"Lannin","given":"Natasha A","non-dropping-particle":"","parse-names":false,"suffix":""},{"dropping-particle":"","family":"Sundararajan","given":"Vijaya","non-dropping-particle":"","parse-names":false,"suffix":""},{"dropping-particle":"","family":"Cadilhac","given":"Dominique A","non-dropping-particle":"","parse-names":false,"suffix":""}],"container-title":"Health Information Management Journal","id":"ITEM-1","issue":"3","issued":{"date-parts":[["2022","4"]]},"page":"176-184","title":"Costs of acute hospitalisation for stroke and transient ischaemic attack in Australia","type":"article-journal","volume":"52"},"uris":["http://www.mendeley.com/documents/?uuid=302e9988-5190-4c62-ae6f-aff805a45329","http://www.mendeley.com/documents/?uuid=805210d1-9b64-454a-90c9-2ddd90179e37"]}],"mendeley":{"formattedCitation":"&lt;sup&gt;26&lt;/sup&gt;","plainTextFormattedCitation":"26","previouslyFormattedCitation":"&lt;sup&gt;26&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26</w:t>
      </w:r>
      <w:r w:rsidRPr="002D7048">
        <w:rPr>
          <w:rFonts w:ascii="Garamond" w:hAnsi="Garamond"/>
          <w:bCs/>
          <w:iCs/>
          <w:sz w:val="20"/>
          <w:szCs w:val="20"/>
        </w:rPr>
        <w:fldChar w:fldCharType="end"/>
      </w:r>
      <w:r w:rsidRPr="002D7048">
        <w:rPr>
          <w:rFonts w:ascii="Garamond" w:hAnsi="Garamond"/>
          <w:bCs/>
          <w:iCs/>
          <w:sz w:val="20"/>
          <w:szCs w:val="20"/>
          <w:lang w:val="id-ID"/>
        </w:rPr>
        <w:t xml:space="preserve"> According to Cyganska, the calculation results show that average costs increase significantly with increasing length of patient care.</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{"citationItems":[{"id":"ITEM-1","itemData":{"DOI":"10.3390/ijerph20021418","abstract":"The substantial rise in hospital costs over recent years is associated with the rapid increase in the older age population. This study addresses an empirical gap in the literature concerning the determinants of high hospital costs in a group of older patients in Europe. The objective of the study is to examine the association of patient health status with in-hospital costs among older people across European countries. We used the data from the Survey of Health, Ageing and Retirement in Europe (SHARE) database. The analysis included 9671 patients from 18 European countries. We considered socio-demographic, lifestyle and clinical variables as possible factors influencing in-hospital costs. Univariate and multivariable logistic regression analyses were used to determine the determinants of in-hospital costs. To benchmark the hospital costs across European countries, we used the cost-outlier methodology. Rates of hospital cost outliers among older people varies from 5.80 to 12.65% across Europe. Factors associated with extremely high in-patient costs differ among European countries. In most countries, they include the length of stay in the hospital, comorbidities, functional mobility and physical activity. The treatment of older people reporting heart attack, diabetes, chronic lung disease and cancer are more often connected with cost outliers. The risk of being a cost outlier increased by 20% with each day spent in the hospital. We advocate that including patient characteristics in the reimbursement system could provide a relatively simple strategy for reducing hospitals' financial risk connected with exceptionally costly cases.","author":[{"dropping-particle":"","family":"Cygańska","given":"Małgorzata","non-dropping-particle":"","parse-names":false,"suffix":""},{"dropping-particle":"","family":"Kludacz-Alessandri","given":"Magdalena","non-dropping-particle":"","parse-names":false,"suffix":""},{"dropping-particle":"","family":"Pyke","given":"Chris","non-dropping-particle":"","parse-names":false,"suffix":""}],"container-title":"International Journal of Environmental Research and Public Health","id":"ITEM-1","issue":"2","issued":{"date-parts":[["2023","4"]]},"page":"1418","title":"Healthcare Costs and Health Status: Insights from the SHARE Survey","type":"article-journal","volume":"20"},"uris":["http://www.mendeley.com/documents/?uuid=db76fcb6-aeb6-4390-9ac4-1386a7eb029f","http://www.mendeley.com/documents/?uuid=ef56551b-5b1a-48bc-9d58-f0fc2cc70386"]}],"mendeley":{"formattedCitation":"&lt;sup&gt;27&lt;/sup&gt;","plainTextFormattedCitation":"27","previouslyFormattedCitation":"&lt;sup&gt;27&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27</w:t>
      </w:r>
      <w:r w:rsidRPr="002D7048">
        <w:rPr>
          <w:rFonts w:ascii="Garamond" w:hAnsi="Garamond"/>
          <w:bCs/>
          <w:iCs/>
          <w:sz w:val="20"/>
          <w:szCs w:val="20"/>
        </w:rPr>
        <w:fldChar w:fldCharType="end"/>
      </w:r>
      <w:r w:rsidRPr="002D7048">
        <w:rPr>
          <w:rFonts w:ascii="Garamond" w:hAnsi="Garamond"/>
          <w:bCs/>
          <w:iCs/>
          <w:sz w:val="20"/>
          <w:szCs w:val="20"/>
          <w:lang w:val="id-ID"/>
        </w:rPr>
        <w:t xml:space="preserve"> The health care service class consists of Three classes—classes one, two, and three. The division into three classes is not just about determining participants' monthly contributions.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{"citationItems":[{"id":"ITEM-1","itemData":{"DOI":"10.5937/scriptamed55-48753","author":[{"dropping-particle":"","family":"Pohan","given":"Vivi Yosafianti","non-dropping-particle":"","parse-names":false,"suffix":""},{"dropping-particle":"","family":"Yanto","given":"Arief","non-dropping-particle":"","parse-names":false,"suffix":""},{"dropping-particle":"","family":"Pranata","given":"Satriya","non-dropping-particle":"","parse-names":false,"suffix":""}],"id":"ITEM-1","issued":{"date-parts":[["2024"]]},"title":"Correlation of the Caring Behaviour of Nurses With the Motivation of Patients Undergoing Haemodialysis","type":"article-journal"},"uris":["http://www.mendeley.com/documents/?uuid=8c89cc98-4fe2-48ad-a746-5f189fe77089"]},{"id":"ITEM-2","itemData":{"DOI":"10.5937/scriptamed54-46121","ISSN":"23037954","abstract":"Background/Aim: Knowledge about triage has been identified as one of the factors influencing patient outcomes in the emergency room. Nurses' knowledge regarding triage is necessary in order to work effectively in managing patients, as swift and accurate actions depend on the nurses' acquired knowledge. The aim of this research was to determine the correlation between nurses' knowledge of triage and the accuracy of triage-level interpretation. Methods: The data from 145 nurses were collected by using a questionnaire sheet for the triage knowledge variable and an observation sheet for the variable of accuracy in triage level interpretation. This research was conducted in May-June 2023 at Tugurejo Regional General Hospital, KRMT Wongsonegoro Regional General Hospital and Dr Kariadi General Hospital. The independent variable in this study was nurses’ knowledge and the dependent variable was the accuracy of triage level interpretation. The statistical analysis included descriptive statistics and bivariate analysis using the Chi-square test for comparison between groups. Results: Based on the results of the bivariate analysis, nurses' knowledge has a correlation with the accuracy of triage-level interpretation with a p-value of &lt; 0.001. Conclusion: There is a correlation between nurses’ knowledge of triage and the accuracy of triage-level interpretation.","author":[{"dropping-particle":"","family":"Chanif","given":"Chanif","non-dropping-particle":"","parse-names":false,"suffix":""},{"dropping-particle":"","family":"Nursalam","given":"Nursalam","non-dropping-particle":"","parse-names":false,"suffix":""},{"dropping-particle":"","family":"Sriyono","given":"Sriyono","non-dropping-particle":"","parse-names":false,"suffix":""},{"dropping-particle":"","family":"Yuniasari","given":"Lukluk","non-dropping-particle":"","parse-names":false,"suffix":""},{"dropping-particle":"","family":"Pranata","given":"Satriya","non-dropping-particle":"","parse-names":false,"suffix":""},{"dropping-particle":"","family":"Armiyati","given":"Yunie","non-dropping-particle":"","parse-names":false,"suffix":""}],"container-title":"Scripta Medica (Banja Luka)","id":"ITEM-2","issue":"4","issued":{"date-parts":[["2023"]]},"page":"385-388","title":"The Correlation Between Nurses’ Knowledge of Triage and the Accuracy of Triage Level Interpretation in the Emergency Department","type":"article-journal","volume":"54"},"uris":["http://www.mendeley.com/documents/?uuid=2ea34d3d-61cd-4fc0-940b-82c6df8cfd68"]}],"mendeley":{"formattedCitation":"&lt;sup&gt;28,29&lt;/sup&gt;","plainTextFormattedCitation":"28,29","previouslyFormattedCitation":"&lt;sup&gt;28,29&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28,29</w:t>
      </w:r>
      <w:r w:rsidRPr="002D7048">
        <w:rPr>
          <w:rFonts w:ascii="Garamond" w:hAnsi="Garamond"/>
          <w:bCs/>
          <w:iCs/>
          <w:sz w:val="20"/>
          <w:szCs w:val="20"/>
        </w:rPr>
        <w:fldChar w:fldCharType="end"/>
      </w:r>
      <w:r w:rsidRPr="002D7048">
        <w:rPr>
          <w:rFonts w:ascii="Garamond" w:hAnsi="Garamond"/>
          <w:bCs/>
          <w:iCs/>
          <w:sz w:val="20"/>
          <w:szCs w:val="20"/>
          <w:lang w:val="id-ID"/>
        </w:rPr>
        <w:t xml:space="preserve"> But it also ensures the level of health facilities and services that can be accessed by participants, according to their respective financial capabilities.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{"citationItems":[{"id":"ITEM-1","itemData":{"abstract":"Badan Penyelenggara Jaminan Sosial (BPJS) telah menjadi pilar utama dalam menyediakan perlindungan kesehatan dan jaminan sosial bagi warga Indonesia. Program ini, yang terdiri dari BPJS Kesehatan dan BPJS Ketenagakerjaan, bertujuan memberikan akses layanan kesehatan dasar dan perlindungan keuangan terhadap beban biaya medis. BPJS Ketenagakerjaan fokus pada penyediaan jaminan sosial bagi pekerja, termasuk asuransi kecelakaan kerja, asuransi jiwa, pensiun, dan manfaat pada masa tua. Program ini juga wajib bagi individu yang memenuhi syarat, dengan kontribusi yang dibagi antara pekerja, pengusaha, dan pemerintah. Hal ini bertujuan untuk memberikan perlindungan finansial pada pekerja dalam situasi kecelakaan kerja atau masa pensiun. Sedangkan, BPJS Kesehatan difokuskan pada penyediaan layanan asuransi kesehatan, mencakup konsultasi, rawat inap, operasi, dan obat-obatan. Program ini wajib bagi individu yang memenuhi syarat, dan kontribusinya umumnya dibagi antara pekerja, pengusaha, dan pemerintah. Tujuannya adalah meningkatkan akses terhadap layanan kesehatan dan memberikan jaringan pengaman keuangan terhadap biaya medis.","author":[{"dropping-particle":"","family":"Joan Imanuella Hanna Pangaemanan","given":"","non-dropping-particle":"","parse-names":false,"suffix":""}],"container-title":"https://mediaindonesia.com/humaniora/632187/","id":"ITEM-1","issued":{"date-parts":[["2023"]]},"page":"https://mediaindonesia.com/humaniora/632187/perbed","title":"Perbedaan BPJS kelas 1,2,3 dan cara pindah kelas","type":"webpage"},"uris":["http://www.mendeley.com/documents/?uuid=419f5f17-2381-457a-a142-3f83c7e7f89a","http://www.mendeley.com/documents/?uuid=11bbb004-e2e9-4f7a-b079-05b650f57949"]}],"mendeley":{"formattedCitation":"&lt;sup&gt;30&lt;/sup&gt;","plainTextFormattedCitation":"30","previouslyFormattedCitation":"&lt;sup&gt;30&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30</w:t>
      </w:r>
      <w:r w:rsidRPr="002D7048">
        <w:rPr>
          <w:rFonts w:ascii="Garamond" w:hAnsi="Garamond"/>
          <w:bCs/>
          <w:iCs/>
          <w:sz w:val="20"/>
          <w:szCs w:val="20"/>
        </w:rPr>
        <w:fldChar w:fldCharType="end"/>
      </w:r>
      <w:r w:rsidRPr="002D7048">
        <w:rPr>
          <w:rFonts w:ascii="Garamond" w:hAnsi="Garamond"/>
          <w:bCs/>
          <w:iCs/>
          <w:sz w:val="20"/>
          <w:szCs w:val="20"/>
          <w:lang w:val="id-ID"/>
        </w:rPr>
        <w:t xml:space="preserve"> Even though there are differences in the amount of contributions and facilities provided, the types of basic medical services provided by BPJS Health remain consistent for all class levels. This means that participants of all grade levels can access basic services such as doctor consultations, inpatient care, and </w:t>
      </w:r>
      <w:r w:rsidRPr="002D7048">
        <w:rPr>
          <w:rFonts w:ascii="Garamond" w:hAnsi="Garamond"/>
          <w:bCs/>
          <w:iCs/>
          <w:sz w:val="20"/>
          <w:szCs w:val="20"/>
          <w:lang w:val="id-ID"/>
        </w:rPr>
        <w:lastRenderedPageBreak/>
        <w:t>medications in the same way. Patients with low economic status prefer to use class 3 treatment so according to health service standards there is a minimum treatment class.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{"citationItems":[{"id":"ITEM-1","itemData":{"abstract":"BPJS Kesehatan telah lama menjadi salah satu tonggak utama dalam sistem perawatan kesehatan di Indonesia. Program ini bertujuan untuk memastikan bahwa akses ke layanan kesehatan dapat dinikmati oleh semua warga, terutama mereka yang mungkin kurang mampu secara finansial. Faskes adalah fasilitas kesehatan yang bekerja sama dengan BPJS Kesehatan untuk memberikan layanan medis kepada peserta. Terdapat tiga tingkatan faskes yang perlu diketahui, yaitu faskes tingkat 1, faskes tingkat 2, dan faskes tingkat 3.","author":[{"dropping-particle":"","family":"Nisa","given":"","non-dropping-particle":"","parse-names":false,"suffix":""}],"container-title":"metro news","id":"ITEM-1","issued":{"date-parts":[["2023"]]},"title":"Perbedaan Faskes BPJS Tingkat 1, 2, 3 yang Harus Diketahui","type":"webpage"},"uris":["http://www.mendeley.com/documents/?uuid=45a0b97d-2483-49ea-848f-1655a04199f8","http://www.mendeley.com/documents/?uuid=34a891c2-bee8-4a84-8ded-fb38f03a2a9f"]}],"mendeley":{"formattedCitation":"&lt;sup&gt;31&lt;/sup&gt;","plainTextFormattedCitation":"31","previouslyFormattedCitation":"&lt;sup&gt;31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31</w:t>
      </w:r>
      <w:r w:rsidRPr="002D7048">
        <w:rPr>
          <w:rFonts w:ascii="Garamond" w:hAnsi="Garamond"/>
          <w:bCs/>
          <w:iCs/>
          <w:sz w:val="20"/>
          <w:szCs w:val="20"/>
        </w:rPr>
        <w:fldChar w:fldCharType="end"/>
      </w:r>
      <w:r w:rsidRPr="002D7048">
        <w:rPr>
          <w:rFonts w:ascii="Garamond" w:hAnsi="Garamond"/>
          <w:bCs/>
          <w:iCs/>
          <w:sz w:val="20"/>
          <w:szCs w:val="20"/>
          <w:lang w:val="id-ID"/>
        </w:rPr>
        <w:t xml:space="preserve"> However, even though there are differences in treatment classes, the quality of medical care should be the same for all classes. The difference in treatment classes only affects the patient's non-medical service facilities, such as room facilities, food, and treatment privacy. In class 1, treatment costs are more expensive because they have inpatient room facilities with 2-4 patients so that patients and their </w:t>
      </w:r>
      <w:proofErr w:type="spellStart"/>
      <w:r w:rsidRPr="002D7048">
        <w:rPr>
          <w:rFonts w:ascii="Garamond" w:hAnsi="Garamond"/>
          <w:bCs/>
          <w:iCs/>
          <w:sz w:val="20"/>
          <w:szCs w:val="20"/>
          <w:lang w:val="id-ID"/>
        </w:rPr>
        <w:t>families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who</w:t>
      </w:r>
      <w:proofErr w:type="spellEnd"/>
      <w:r w:rsidRPr="002D7048">
        <w:rPr>
          <w:rFonts w:ascii="Garamond" w:hAnsi="Garamond"/>
          <w:bCs/>
          <w:iCs/>
          <w:sz w:val="20"/>
          <w:szCs w:val="20"/>
          <w:lang w:val="id-ID"/>
        </w:rPr>
        <w:t xml:space="preserve"> are </w:t>
      </w:r>
      <w:proofErr w:type="spellStart"/>
      <w:r w:rsidRPr="002D7048">
        <w:rPr>
          <w:rFonts w:ascii="Garamond" w:hAnsi="Garamond"/>
          <w:bCs/>
          <w:iCs/>
          <w:sz w:val="20"/>
          <w:szCs w:val="20"/>
          <w:lang w:val="id-ID"/>
        </w:rPr>
        <w:t>waiting</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feel</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more</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comfortable</w:t>
      </w:r>
      <w:proofErr w:type="spellEnd"/>
      <w:r w:rsidRPr="002D7048">
        <w:rPr>
          <w:rFonts w:ascii="Garamond" w:hAnsi="Garamond"/>
          <w:bCs/>
          <w:iCs/>
          <w:sz w:val="20"/>
          <w:szCs w:val="20"/>
          <w:lang w:val="id-ID"/>
        </w:rPr>
        <w:t>.</w:t>
      </w:r>
    </w:p>
    <w:p w14:paraId="6F1D7F1D" w14:textId="309740A2" w:rsidR="00AD612E"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 xml:space="preserve">Many hospitals in Indonesia were found to have more third-class treatment rooms than other treatment rooms because low-cost payments make them easier to afford and payments can be adjusted based on the patient's income level. </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{"citationItems":[{"id":"ITEM-1","itemData":{"abstract":"Badan Penyelenggara Jaminan Sosial (BPJS) telah menjadi pilar utama dalam menyediakan perlindungan kesehatan dan jaminan sosial bagi warga Indonesia. Program ini, yang terdiri dari BPJS Kesehatan dan BPJS Ketenagakerjaan, bertujuan memberikan akses layanan kesehatan dasar dan perlindungan keuangan terhadap beban biaya medis. BPJS Ketenagakerjaan fokus pada penyediaan jaminan sosial bagi pekerja, termasuk asuransi kecelakaan kerja, asuransi jiwa, pensiun, dan manfaat pada masa tua. Program ini juga wajib bagi individu yang memenuhi syarat, dengan kontribusi yang dibagi antara pekerja, pengusaha, dan pemerintah. Hal ini bertujuan untuk memberikan perlindungan finansial pada pekerja dalam situasi kecelakaan kerja atau masa pensiun. Sedangkan, BPJS Kesehatan difokuskan pada penyediaan layanan asuransi kesehatan, mencakup konsultasi, rawat inap, operasi, dan obat-obatan. Program ini wajib bagi individu yang memenuhi syarat, dan kontribusinya umumnya dibagi antara pekerja, pengusaha, dan pemerintah. Tujuannya adalah meningkatkan akses terhadap layanan kesehatan dan memberikan jaringan pengaman keuangan terhadap biaya medis.","author":[{"dropping-particle":"","family":"Joan Imanuella Hanna Pangaemanan","given":"","non-dropping-particle":"","parse-names":false,"suffix":""}],"container-title":"https://mediaindonesia.com/humaniora/632187/","id":"ITEM-1","issued":{"date-parts":[["2023"]]},"page":"https://mediaindonesia.com/humaniora/632187/perbed","title":"Perbedaan BPJS kelas 1,2,3 dan cara pindah kelas","type":"webpage"},"uris":["http://www.mendeley.com/documents/?uuid=11bbb004-e2e9-4f7a-b079-05b650f57949","http://www.mendeley.com/documents/?uuid=419f5f17-2381-457a-a142-3f83c7e7f89a"]}],"mendeley":{"formattedCitation":"&lt;sup&gt;30&lt;/sup&gt;","plainTextFormattedCitation":"30","previouslyFormattedCitation":"&lt;sup&gt;30&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30</w:t>
      </w:r>
      <w:r w:rsidRPr="002D7048">
        <w:rPr>
          <w:rFonts w:ascii="Garamond" w:hAnsi="Garamond"/>
          <w:bCs/>
          <w:iCs/>
          <w:sz w:val="20"/>
          <w:szCs w:val="20"/>
        </w:rPr>
        <w:fldChar w:fldCharType="end"/>
      </w:r>
      <w:r w:rsidRPr="002D7048">
        <w:rPr>
          <w:rFonts w:ascii="Garamond" w:hAnsi="Garamond"/>
          <w:bCs/>
          <w:iCs/>
          <w:sz w:val="20"/>
          <w:szCs w:val="20"/>
          <w:lang w:val="id-ID"/>
        </w:rPr>
        <w:t xml:space="preserve"> The class of care affects the real costs of hospitals because the higher the level of care, the more costs are incurred. Costs increase when accompanied by additional medicines or higher prices and longer treatment days so that the </w:t>
      </w:r>
      <w:proofErr w:type="spellStart"/>
      <w:r w:rsidRPr="002D7048">
        <w:rPr>
          <w:rFonts w:ascii="Garamond" w:hAnsi="Garamond"/>
          <w:bCs/>
          <w:iCs/>
          <w:sz w:val="20"/>
          <w:szCs w:val="20"/>
          <w:lang w:val="id-ID"/>
        </w:rPr>
        <w:t>treatment</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costs</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incurred</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by</w:t>
      </w:r>
      <w:proofErr w:type="spellEnd"/>
      <w:r w:rsidRPr="002D7048">
        <w:rPr>
          <w:rFonts w:ascii="Garamond" w:hAnsi="Garamond"/>
          <w:bCs/>
          <w:iCs/>
          <w:sz w:val="20"/>
          <w:szCs w:val="20"/>
          <w:lang w:val="id-ID"/>
        </w:rPr>
        <w:t xml:space="preserve"> </w:t>
      </w:r>
      <w:proofErr w:type="spellStart"/>
      <w:r w:rsidRPr="002D7048">
        <w:rPr>
          <w:rFonts w:ascii="Garamond" w:hAnsi="Garamond"/>
          <w:bCs/>
          <w:iCs/>
          <w:sz w:val="20"/>
          <w:szCs w:val="20"/>
          <w:lang w:val="id-ID"/>
        </w:rPr>
        <w:t>the</w:t>
      </w:r>
      <w:proofErr w:type="spellEnd"/>
      <w:r w:rsidRPr="002D7048">
        <w:rPr>
          <w:rFonts w:ascii="Garamond" w:hAnsi="Garamond"/>
          <w:bCs/>
          <w:iCs/>
          <w:sz w:val="20"/>
          <w:szCs w:val="20"/>
          <w:lang w:val="id-ID"/>
        </w:rPr>
        <w:t xml:space="preserve"> hospital </w:t>
      </w:r>
      <w:proofErr w:type="spellStart"/>
      <w:r w:rsidRPr="002D7048">
        <w:rPr>
          <w:rFonts w:ascii="Garamond" w:hAnsi="Garamond"/>
          <w:bCs/>
          <w:iCs/>
          <w:sz w:val="20"/>
          <w:szCs w:val="20"/>
          <w:lang w:val="id-ID"/>
        </w:rPr>
        <w:t>increase</w:t>
      </w:r>
      <w:proofErr w:type="spellEnd"/>
      <w:r w:rsidRPr="002D7048">
        <w:rPr>
          <w:rFonts w:ascii="Garamond" w:hAnsi="Garamond"/>
          <w:bCs/>
          <w:iCs/>
          <w:sz w:val="20"/>
          <w:szCs w:val="20"/>
          <w:lang w:val="id-ID"/>
        </w:rPr>
        <w:t>.</w:t>
      </w:r>
    </w:p>
    <w:p w14:paraId="78AA6286" w14:textId="20CCE297" w:rsidR="002D7048" w:rsidRP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Hospital classification Hospitals are categorized into classes A, B, C, and D based on their class. Class A general hospitals are those that are equipped to provide a wide range of specialized and subspecialty medical services.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{"citationItems":[{"id":"ITEM-1","itemData":{"abstract":"BPJS Kesehatan telah lama menjadi salah satu tonggak utama dalam sistem perawatan kesehatan di Indonesia. Program ini bertujuan untuk memastikan bahwa akses ke layanan kesehatan dapat dinikmati oleh semua warga, terutama mereka yang mungkin kurang mampu secara finansial. Faskes adalah fasilitas kesehatan yang bekerja sama dengan BPJS Kesehatan untuk memberikan layanan medis kepada peserta. Terdapat tiga tingkatan faskes yang perlu diketahui, yaitu faskes tingkat 1, faskes tingkat 2, dan faskes tingkat 3.","author":[{"dropping-particle":"","family":"Nisa","given":"","non-dropping-particle":"","parse-names":false,"suffix":""}],"container-title":"metro news","id":"ITEM-1","issued":{"date-parts":[["2023"]]},"title":"Perbedaan Faskes BPJS Tingkat 1, 2, 3 yang Harus Diketahui","type":"webpage"},"uris":["http://www.mendeley.com/documents/?uuid=34a891c2-bee8-4a84-8ded-fb38f03a2a9f","http://www.mendeley.com/documents/?uuid=45a0b97d-2483-49ea-848f-1655a04199f8"]}],"mendeley":{"formattedCitation":"&lt;sup&gt;31&lt;/sup&gt;","plainTextFormattedCitation":"31","previouslyFormattedCitation":"&lt;sup&gt;31&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31</w:t>
      </w:r>
      <w:r w:rsidRPr="002D7048">
        <w:rPr>
          <w:rFonts w:ascii="Garamond" w:hAnsi="Garamond"/>
          <w:bCs/>
          <w:iCs/>
          <w:sz w:val="20"/>
          <w:szCs w:val="20"/>
        </w:rPr>
        <w:fldChar w:fldCharType="end"/>
      </w:r>
      <w:r w:rsidRPr="002D7048">
        <w:rPr>
          <w:rFonts w:ascii="Garamond" w:hAnsi="Garamond"/>
          <w:bCs/>
          <w:iCs/>
          <w:sz w:val="20"/>
          <w:szCs w:val="20"/>
          <w:lang w:val="id-ID"/>
        </w:rPr>
        <w:t xml:space="preserve"> Class B general hospitals are general hospitals with limited subspecialty capabilities and facilities capable of providing medical services in at least eleven disciplines. Public hospitals are classified as class D, while general hospitals are classified as class C. Class C general hospitals are those with basic medical service facilities and capabilities, including basic specialized medical services.</w:t>
      </w:r>
      <w:r w:rsidRPr="002D7048">
        <w:rPr>
          <w:rFonts w:ascii="Garamond" w:hAnsi="Garamond"/>
          <w:bCs/>
          <w:iCs/>
          <w:sz w:val="20"/>
          <w:szCs w:val="20"/>
          <w:lang w:val="id-ID"/>
        </w:rPr>
        <w:fldChar w:fldCharType="begin" w:fldLock="1"/>
      </w:r>
      <w:r w:rsidRPr="002D7048">
        <w:rPr>
          <w:rFonts w:ascii="Garamond" w:hAnsi="Garamond"/>
          <w:bCs/>
          <w:iCs/>
          <w:sz w:val="20"/>
          <w:szCs w:val="20"/>
          <w:lang w:val="id-ID"/>
        </w:rPr>
        <w:instrText>ADDIN CSL_CITATION {"citationItems":[{"id":"ITEM-1","itemData":{"abstract":"Badan Penyelenggara Jaminan Sosial (BPJS) telah menjadi pilar utama dalam menyediakan perlindungan kesehatan dan jaminan sosial bagi warga Indonesia. Program ini, yang terdiri dari BPJS Kesehatan dan BPJS Ketenagakerjaan, bertujuan memberikan akses layanan kesehatan dasar dan perlindungan keuangan terhadap beban biaya medis. BPJS Ketenagakerjaan fokus pada penyediaan jaminan sosial bagi pekerja, termasuk asuransi kecelakaan kerja, asuransi jiwa, pensiun, dan manfaat pada masa tua. Program ini juga wajib bagi individu yang memenuhi syarat, dengan kontribusi yang dibagi antara pekerja, pengusaha, dan pemerintah. Hal ini bertujuan untuk memberikan perlindungan finansial pada pekerja dalam situasi kecelakaan kerja atau masa pensiun. Sedangkan, BPJS Kesehatan difokuskan pada penyediaan layanan asuransi kesehatan, mencakup konsultasi, rawat inap, operasi, dan obat-obatan. Program ini wajib bagi individu yang memenuhi syarat, dan kontribusinya umumnya dibagi antara pekerja, pengusaha, dan pemerintah. Tujuannya adalah meningkatkan akses terhadap layanan kesehatan dan memberikan jaringan pengaman keuangan terhadap biaya medis.","author":[{"dropping-particle":"","family":"Joan Imanuella Hanna Pangaemanan","given":"","non-dropping-particle":"","parse-names":false,"suffix":""}],"container-title":"https://mediaindonesia.com/humaniora/632187/","id":"ITEM-1","issued":{"date-parts":[["2023"]]},"page":"https://mediaindonesia.com/humaniora/632187/perbed","title":"Perbedaan BPJS kelas 1,2,3 dan cara pindah kelas","type":"webpage"},"uris":["http://www.mendeley.com/documents/?uuid=11bbb004-e2e9-4f7a-b079-05b650f57949","http://www.mendeley.com/documents/?uuid=419f5f17-2381-457a-a142-3f83c7e7f89a"]}],"mendeley":{"formattedCitation":"&lt;sup&gt;30&lt;/sup&gt;","plainTextFormattedCitation":"30","previouslyFormattedCitation":"&lt;sup&gt;30&lt;/sup&gt;"},"properties":{"noteIndex":0},"schema":"https://github.com/citation-style-language/schema/raw/master/csl-citation.json"}</w:instrText>
      </w:r>
      <w:r w:rsidRPr="002D7048">
        <w:rPr>
          <w:rFonts w:ascii="Garamond" w:hAnsi="Garamond"/>
          <w:bCs/>
          <w:iCs/>
          <w:sz w:val="20"/>
          <w:szCs w:val="20"/>
          <w:lang w:val="id-ID"/>
        </w:rPr>
        <w:fldChar w:fldCharType="separate"/>
      </w:r>
      <w:r w:rsidRPr="002D7048">
        <w:rPr>
          <w:rFonts w:ascii="Garamond" w:hAnsi="Garamond"/>
          <w:bCs/>
          <w:iCs/>
          <w:sz w:val="20"/>
          <w:szCs w:val="20"/>
          <w:vertAlign w:val="superscript"/>
          <w:lang w:val="id-ID"/>
        </w:rPr>
        <w:t>30</w:t>
      </w:r>
      <w:r w:rsidRPr="002D7048">
        <w:rPr>
          <w:rFonts w:ascii="Garamond" w:hAnsi="Garamond"/>
          <w:bCs/>
          <w:iCs/>
          <w:sz w:val="20"/>
          <w:szCs w:val="20"/>
        </w:rPr>
        <w:fldChar w:fldCharType="end"/>
      </w:r>
      <w:r w:rsidRPr="002D7048">
        <w:rPr>
          <w:rFonts w:ascii="Garamond" w:hAnsi="Garamond"/>
          <w:bCs/>
          <w:iCs/>
          <w:sz w:val="20"/>
          <w:szCs w:val="20"/>
          <w:lang w:val="id-ID"/>
        </w:rPr>
        <w:t xml:space="preserve"> Hospitals with complete facilities and good service are the patient's main choice in determining a place of treatment. Insurance claims from the National Health Insurance (NHI) also influence the classification of the type of hospital. The differences in classification based on class affect service facilities and treatment costs so many hospitals are competing to improve their classification to help increase NHI claims. With increasing types of hospitals and health service facilities, the number of patients will also increase and this will increase NHI Hospitals claims. On the other hand, many hospitals are competing to provide the best facilities and quality to attract patients, even at a higher cost, but because patients need comfort, even though the costs are expensive, some patients will still choose to pay large costs for health services.</w:t>
      </w:r>
    </w:p>
    <w:p w14:paraId="06718A44" w14:textId="77777777" w:rsidR="007265BD" w:rsidRDefault="007265BD" w:rsidP="002D7048">
      <w:pPr>
        <w:spacing w:line="259" w:lineRule="auto"/>
        <w:jc w:val="both"/>
        <w:rPr>
          <w:rFonts w:ascii="Garamond" w:hAnsi="Garamond"/>
          <w:b/>
          <w:iCs/>
          <w:sz w:val="20"/>
          <w:szCs w:val="20"/>
          <w:lang w:val="id-ID"/>
        </w:rPr>
      </w:pPr>
    </w:p>
    <w:p w14:paraId="4528DB87" w14:textId="4CD2085A" w:rsidR="00AD612E" w:rsidRPr="007265BD" w:rsidRDefault="002D7048" w:rsidP="002D7048">
      <w:pPr>
        <w:spacing w:line="259" w:lineRule="auto"/>
        <w:jc w:val="both"/>
        <w:rPr>
          <w:rFonts w:ascii="Garamond" w:hAnsi="Garamond"/>
          <w:b/>
          <w:iCs/>
          <w:sz w:val="20"/>
          <w:szCs w:val="20"/>
          <w:lang w:val="id-ID"/>
        </w:rPr>
      </w:pPr>
      <w:proofErr w:type="spellStart"/>
      <w:r w:rsidRPr="00F03324">
        <w:rPr>
          <w:rFonts w:ascii="Garamond" w:hAnsi="Garamond"/>
          <w:b/>
          <w:iCs/>
          <w:sz w:val="20"/>
          <w:szCs w:val="20"/>
          <w:lang w:val="id-ID"/>
        </w:rPr>
        <w:t>Implications</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of</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the</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findings</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of</w:t>
      </w:r>
      <w:proofErr w:type="spellEnd"/>
      <w:r w:rsidRPr="00F03324">
        <w:rPr>
          <w:rFonts w:ascii="Garamond" w:hAnsi="Garamond"/>
          <w:b/>
          <w:iCs/>
          <w:sz w:val="20"/>
          <w:szCs w:val="20"/>
          <w:lang w:val="id-ID"/>
        </w:rPr>
        <w:t xml:space="preserve"> </w:t>
      </w:r>
      <w:proofErr w:type="spellStart"/>
      <w:r w:rsidRPr="00F03324">
        <w:rPr>
          <w:rFonts w:ascii="Garamond" w:hAnsi="Garamond"/>
          <w:b/>
          <w:iCs/>
          <w:sz w:val="20"/>
          <w:szCs w:val="20"/>
          <w:lang w:val="id-ID"/>
        </w:rPr>
        <w:t>this</w:t>
      </w:r>
      <w:proofErr w:type="spellEnd"/>
      <w:r w:rsidRPr="00F03324">
        <w:rPr>
          <w:rFonts w:ascii="Garamond" w:hAnsi="Garamond"/>
          <w:b/>
          <w:iCs/>
          <w:sz w:val="20"/>
          <w:szCs w:val="20"/>
          <w:lang w:val="id-ID"/>
        </w:rPr>
        <w:t xml:space="preserve"> study</w:t>
      </w:r>
    </w:p>
    <w:p w14:paraId="04886EA5" w14:textId="4ECDB86C" w:rsidR="002D7048" w:rsidRDefault="002D7048" w:rsidP="002D7048">
      <w:pPr>
        <w:spacing w:line="259" w:lineRule="auto"/>
        <w:jc w:val="both"/>
        <w:rPr>
          <w:rFonts w:ascii="Garamond" w:hAnsi="Garamond"/>
          <w:bCs/>
          <w:iCs/>
          <w:sz w:val="20"/>
          <w:szCs w:val="20"/>
          <w:lang w:val="id-ID"/>
        </w:rPr>
      </w:pPr>
      <w:r w:rsidRPr="002D7048">
        <w:rPr>
          <w:rFonts w:ascii="Garamond" w:hAnsi="Garamond"/>
          <w:bCs/>
          <w:iCs/>
          <w:sz w:val="20"/>
          <w:szCs w:val="20"/>
          <w:lang w:val="id-ID"/>
        </w:rPr>
        <w:t>The INA-CBGs scheme is the finance mechanism used by government health insurance. The amount of INA-CBGs, a prospective payment system for health services, is decided prior to the health service being rendered through capitation and base payment (casemix), specifically based on the classification of diagnoses and procedures according to clinical characteristics. Real hospital rates and INACBG rates for certain illnesses, including stroke, frequently diverge as a result of hospitals implementing the prospective payment system. Hospital charges were still higher than INA-CBGs rates for both inpatient and outpatient treatment, according to an evaluation or comparison of real expenses and INA-CBGs rates. In order for the government to assess INA-CBG rates for the sustainability of health services, hospitals must be able to control the major cost factors that affect direct medical expenditures.</w:t>
      </w:r>
    </w:p>
    <w:p w14:paraId="3EFB06FA" w14:textId="77777777" w:rsidR="002D7048" w:rsidRDefault="002D7048" w:rsidP="002D7048">
      <w:pPr>
        <w:spacing w:line="259" w:lineRule="auto"/>
        <w:jc w:val="both"/>
        <w:rPr>
          <w:rFonts w:ascii="Garamond" w:hAnsi="Garamond"/>
          <w:bCs/>
          <w:iCs/>
          <w:sz w:val="20"/>
          <w:szCs w:val="20"/>
          <w:lang w:val="id-ID"/>
        </w:rPr>
      </w:pPr>
    </w:p>
    <w:p w14:paraId="73D49DB8" w14:textId="77777777" w:rsidR="00BF1E5B" w:rsidRPr="00BF1E5B" w:rsidRDefault="00BF1E5B" w:rsidP="00BF1E5B">
      <w:pPr>
        <w:spacing w:line="259" w:lineRule="auto"/>
        <w:jc w:val="both"/>
        <w:rPr>
          <w:rFonts w:ascii="Garamond" w:hAnsi="Garamond"/>
          <w:b/>
          <w:iCs/>
          <w:sz w:val="20"/>
          <w:szCs w:val="20"/>
          <w:lang w:val="id-ID"/>
        </w:rPr>
      </w:pPr>
      <w:r w:rsidRPr="00BF1E5B">
        <w:rPr>
          <w:rFonts w:ascii="Garamond" w:hAnsi="Garamond"/>
          <w:b/>
          <w:iCs/>
          <w:sz w:val="20"/>
          <w:szCs w:val="20"/>
          <w:lang w:val="id-ID"/>
        </w:rPr>
        <w:t>Strengths and limitations of the study</w:t>
      </w:r>
    </w:p>
    <w:p w14:paraId="3EB39348" w14:textId="77777777" w:rsidR="00BF1E5B" w:rsidRPr="00BF1E5B" w:rsidRDefault="00BF1E5B" w:rsidP="00BF1E5B">
      <w:pPr>
        <w:spacing w:line="259" w:lineRule="auto"/>
        <w:jc w:val="both"/>
        <w:rPr>
          <w:rFonts w:ascii="Garamond" w:hAnsi="Garamond"/>
          <w:bCs/>
          <w:iCs/>
          <w:sz w:val="20"/>
          <w:szCs w:val="20"/>
          <w:lang w:val="id-ID"/>
        </w:rPr>
      </w:pPr>
      <w:r w:rsidRPr="00BF1E5B">
        <w:rPr>
          <w:rFonts w:ascii="Garamond" w:hAnsi="Garamond"/>
          <w:bCs/>
          <w:iCs/>
          <w:sz w:val="20"/>
          <w:szCs w:val="20"/>
          <w:lang w:val="id-ID"/>
        </w:rPr>
        <w:t>The benefit of studying the cost of illness is that, given that the finance system in place makes use of the INA-CBGs system, it is crucial to assess the policies put in place during the construction of the national health insurance program. Secondary data was employed in this study; its drawbacks include the potential for analysis errors and the fact that the quantity of data found is not exhaustive.</w:t>
      </w:r>
    </w:p>
    <w:p w14:paraId="7C0DD7A7" w14:textId="77777777" w:rsidR="0064187E" w:rsidRDefault="0064187E" w:rsidP="00BF1E5B">
      <w:pPr>
        <w:spacing w:line="259" w:lineRule="auto"/>
        <w:jc w:val="both"/>
        <w:rPr>
          <w:rFonts w:ascii="Garamond" w:hAnsi="Garamond"/>
          <w:b/>
          <w:bCs/>
          <w:iCs/>
          <w:sz w:val="22"/>
          <w:szCs w:val="22"/>
          <w:lang w:val="id-ID"/>
        </w:rPr>
      </w:pPr>
    </w:p>
    <w:p w14:paraId="0A25F951" w14:textId="78717BB5" w:rsidR="00BF1E5B" w:rsidRPr="00BF1E5B" w:rsidRDefault="00F03324" w:rsidP="00BF1E5B">
      <w:pPr>
        <w:spacing w:line="259" w:lineRule="auto"/>
        <w:jc w:val="both"/>
        <w:rPr>
          <w:rFonts w:ascii="Garamond" w:hAnsi="Garamond"/>
          <w:b/>
          <w:bCs/>
          <w:iCs/>
          <w:sz w:val="22"/>
          <w:szCs w:val="22"/>
          <w:lang w:val="id-ID"/>
        </w:rPr>
      </w:pPr>
      <w:r w:rsidRPr="00BF1E5B">
        <w:rPr>
          <w:rFonts w:ascii="Garamond" w:hAnsi="Garamond"/>
          <w:b/>
          <w:bCs/>
          <w:iCs/>
          <w:sz w:val="22"/>
          <w:szCs w:val="22"/>
          <w:lang w:val="id-ID"/>
        </w:rPr>
        <w:t>CONCLUSION</w:t>
      </w:r>
    </w:p>
    <w:p w14:paraId="6DDA48D4" w14:textId="77777777" w:rsidR="00BF1E5B" w:rsidRDefault="00BF1E5B" w:rsidP="00BF1E5B">
      <w:pPr>
        <w:spacing w:line="259" w:lineRule="auto"/>
        <w:jc w:val="both"/>
        <w:rPr>
          <w:rFonts w:ascii="Garamond" w:hAnsi="Garamond"/>
          <w:bCs/>
          <w:iCs/>
          <w:sz w:val="20"/>
          <w:szCs w:val="20"/>
          <w:lang w:val="id-ID"/>
        </w:rPr>
      </w:pPr>
      <w:r w:rsidRPr="00BF1E5B">
        <w:rPr>
          <w:rFonts w:ascii="Garamond" w:hAnsi="Garamond"/>
          <w:bCs/>
          <w:iCs/>
          <w:sz w:val="20"/>
          <w:szCs w:val="20"/>
        </w:rPr>
        <w:t>A</w:t>
      </w:r>
      <w:r w:rsidRPr="00BF1E5B">
        <w:rPr>
          <w:rFonts w:ascii="Garamond" w:hAnsi="Garamond"/>
          <w:bCs/>
          <w:iCs/>
          <w:sz w:val="20"/>
          <w:szCs w:val="20"/>
          <w:lang w:val="zh-CN"/>
        </w:rPr>
        <w:t xml:space="preserve">ge, </w:t>
      </w:r>
      <w:r w:rsidRPr="00BF1E5B">
        <w:rPr>
          <w:rFonts w:ascii="Garamond" w:hAnsi="Garamond"/>
          <w:bCs/>
          <w:iCs/>
          <w:sz w:val="20"/>
          <w:szCs w:val="20"/>
        </w:rPr>
        <w:t>gender</w:t>
      </w:r>
      <w:r w:rsidRPr="00BF1E5B">
        <w:rPr>
          <w:rFonts w:ascii="Garamond" w:hAnsi="Garamond"/>
          <w:bCs/>
          <w:iCs/>
          <w:sz w:val="20"/>
          <w:szCs w:val="20"/>
          <w:lang w:val="zh-CN"/>
        </w:rPr>
        <w:t>,</w:t>
      </w:r>
      <w:r w:rsidRPr="00BF1E5B">
        <w:rPr>
          <w:rFonts w:ascii="Garamond" w:hAnsi="Garamond"/>
          <w:bCs/>
          <w:iCs/>
          <w:sz w:val="20"/>
          <w:szCs w:val="20"/>
        </w:rPr>
        <w:t xml:space="preserve"> l</w:t>
      </w:r>
      <w:r w:rsidRPr="00BF1E5B">
        <w:rPr>
          <w:rFonts w:ascii="Garamond" w:hAnsi="Garamond"/>
          <w:bCs/>
          <w:iCs/>
          <w:sz w:val="20"/>
          <w:szCs w:val="20"/>
          <w:lang w:val="zh-CN"/>
        </w:rPr>
        <w:t xml:space="preserve">ength of </w:t>
      </w:r>
      <w:r w:rsidRPr="00BF1E5B">
        <w:rPr>
          <w:rFonts w:ascii="Garamond" w:hAnsi="Garamond"/>
          <w:bCs/>
          <w:iCs/>
          <w:sz w:val="20"/>
          <w:szCs w:val="20"/>
        </w:rPr>
        <w:t>stay</w:t>
      </w:r>
      <w:r w:rsidRPr="00BF1E5B">
        <w:rPr>
          <w:rFonts w:ascii="Garamond" w:hAnsi="Garamond"/>
          <w:bCs/>
          <w:iCs/>
          <w:sz w:val="20"/>
          <w:szCs w:val="20"/>
          <w:lang w:val="zh-CN"/>
        </w:rPr>
        <w:t xml:space="preserve">, </w:t>
      </w:r>
      <w:r w:rsidRPr="00BF1E5B">
        <w:rPr>
          <w:rFonts w:ascii="Garamond" w:hAnsi="Garamond"/>
          <w:bCs/>
          <w:iCs/>
          <w:sz w:val="20"/>
          <w:szCs w:val="20"/>
        </w:rPr>
        <w:t>inpatient</w:t>
      </w:r>
      <w:r w:rsidRPr="00BF1E5B">
        <w:rPr>
          <w:rFonts w:ascii="Garamond" w:hAnsi="Garamond"/>
          <w:bCs/>
          <w:iCs/>
          <w:sz w:val="20"/>
          <w:szCs w:val="20"/>
          <w:lang w:val="zh-CN"/>
        </w:rPr>
        <w:t xml:space="preserve"> class</w:t>
      </w:r>
      <w:r w:rsidRPr="00BF1E5B">
        <w:rPr>
          <w:rFonts w:ascii="Garamond" w:hAnsi="Garamond"/>
          <w:bCs/>
          <w:iCs/>
          <w:sz w:val="20"/>
          <w:szCs w:val="20"/>
        </w:rPr>
        <w:t>es</w:t>
      </w:r>
      <w:r w:rsidRPr="00BF1E5B">
        <w:rPr>
          <w:rFonts w:ascii="Garamond" w:hAnsi="Garamond"/>
          <w:bCs/>
          <w:iCs/>
          <w:sz w:val="20"/>
          <w:szCs w:val="20"/>
          <w:lang w:val="zh-CN"/>
        </w:rPr>
        <w:t>, and hospital type</w:t>
      </w:r>
      <w:r w:rsidRPr="00BF1E5B">
        <w:rPr>
          <w:rFonts w:ascii="Garamond" w:hAnsi="Garamond"/>
          <w:bCs/>
          <w:iCs/>
          <w:sz w:val="20"/>
          <w:szCs w:val="20"/>
        </w:rPr>
        <w:t xml:space="preserve"> have been identified as variables related to</w:t>
      </w:r>
      <w:r w:rsidRPr="00BF1E5B">
        <w:rPr>
          <w:rFonts w:ascii="Garamond" w:hAnsi="Garamond"/>
          <w:bCs/>
          <w:iCs/>
          <w:sz w:val="20"/>
          <w:szCs w:val="20"/>
          <w:lang w:val="zh-CN"/>
        </w:rPr>
        <w:t xml:space="preserve"> the real cost of stroke patients</w:t>
      </w:r>
      <w:r w:rsidRPr="00BF1E5B">
        <w:rPr>
          <w:rFonts w:ascii="Garamond" w:hAnsi="Garamond"/>
          <w:bCs/>
          <w:iCs/>
          <w:sz w:val="20"/>
          <w:szCs w:val="20"/>
        </w:rPr>
        <w:t xml:space="preserve"> in hospitals of DIY Yogyakarta, Indonesia. </w:t>
      </w:r>
      <w:r w:rsidRPr="00BF1E5B">
        <w:rPr>
          <w:rFonts w:ascii="Garamond" w:hAnsi="Garamond"/>
          <w:bCs/>
          <w:iCs/>
          <w:sz w:val="20"/>
          <w:szCs w:val="20"/>
          <w:lang w:val="id-ID"/>
        </w:rPr>
        <w:t>The problem faced by the researcher in the study process where many data medical records were not complete. Therefore,  several files of medical records cannot be identified in the study. Moreover, other variables like comorbidities with inpatient costs of stroke patients etc cannot be analysed.</w:t>
      </w:r>
    </w:p>
    <w:p w14:paraId="2AAE2B39" w14:textId="77777777" w:rsidR="00BF1E5B" w:rsidRPr="00BF1E5B" w:rsidRDefault="00BF1E5B" w:rsidP="00BF1E5B">
      <w:pPr>
        <w:spacing w:line="259" w:lineRule="auto"/>
        <w:jc w:val="both"/>
        <w:rPr>
          <w:rFonts w:ascii="Garamond" w:hAnsi="Garamond"/>
          <w:bCs/>
          <w:iCs/>
          <w:sz w:val="20"/>
          <w:szCs w:val="20"/>
          <w:lang w:val="id-ID"/>
        </w:rPr>
      </w:pPr>
      <w:r w:rsidRPr="00BF1E5B">
        <w:rPr>
          <w:rFonts w:ascii="Garamond" w:hAnsi="Garamond"/>
          <w:bCs/>
          <w:iCs/>
          <w:sz w:val="20"/>
          <w:szCs w:val="20"/>
        </w:rPr>
        <w:t xml:space="preserve">This study was approved by </w:t>
      </w:r>
      <w:bookmarkStart w:id="15" w:name="_Hlk167115465"/>
      <w:r w:rsidRPr="00BF1E5B">
        <w:rPr>
          <w:rFonts w:ascii="Garamond" w:hAnsi="Garamond"/>
          <w:bCs/>
          <w:iCs/>
          <w:sz w:val="20"/>
          <w:szCs w:val="20"/>
        </w:rPr>
        <w:t>the research ethics committee of Universitas Muhammadiyah Semarang on September 11, 2021, with ethic number No. 055/EC/KEPK-FK/UNIMUS/2023</w:t>
      </w:r>
      <w:bookmarkEnd w:id="15"/>
    </w:p>
    <w:p w14:paraId="24FF73D0" w14:textId="77777777" w:rsidR="0064187E" w:rsidRDefault="0064187E" w:rsidP="00BF1E5B">
      <w:pPr>
        <w:spacing w:line="259" w:lineRule="auto"/>
        <w:jc w:val="both"/>
        <w:rPr>
          <w:rFonts w:ascii="Garamond" w:hAnsi="Garamond"/>
          <w:b/>
          <w:bCs/>
          <w:iCs/>
          <w:sz w:val="20"/>
          <w:szCs w:val="20"/>
          <w:lang w:val="id-ID"/>
        </w:rPr>
      </w:pPr>
    </w:p>
    <w:p w14:paraId="4C941FA7" w14:textId="5B9328D5" w:rsidR="00BF1E5B" w:rsidRPr="00BF1E5B" w:rsidRDefault="00BF1E5B" w:rsidP="00BF1E5B">
      <w:pPr>
        <w:spacing w:line="259" w:lineRule="auto"/>
        <w:jc w:val="both"/>
        <w:rPr>
          <w:rFonts w:ascii="Garamond" w:hAnsi="Garamond"/>
          <w:b/>
          <w:bCs/>
          <w:iCs/>
          <w:sz w:val="20"/>
          <w:szCs w:val="20"/>
          <w:lang w:val="id-ID"/>
        </w:rPr>
      </w:pPr>
      <w:r w:rsidRPr="007265BD">
        <w:rPr>
          <w:rFonts w:ascii="Garamond" w:hAnsi="Garamond"/>
          <w:b/>
          <w:bCs/>
          <w:i/>
          <w:sz w:val="20"/>
          <w:szCs w:val="20"/>
          <w:lang w:val="id-ID"/>
        </w:rPr>
        <w:t>Author contributions:</w:t>
      </w:r>
      <w:r w:rsidRPr="00BF1E5B">
        <w:rPr>
          <w:rFonts w:ascii="Garamond" w:hAnsi="Garamond"/>
          <w:b/>
          <w:bCs/>
          <w:iCs/>
          <w:sz w:val="20"/>
          <w:szCs w:val="20"/>
          <w:lang w:val="id-ID"/>
        </w:rPr>
        <w:t xml:space="preserve"> </w:t>
      </w:r>
      <w:r w:rsidRPr="00BF1E5B">
        <w:rPr>
          <w:rFonts w:ascii="Garamond" w:hAnsi="Garamond"/>
          <w:bCs/>
          <w:iCs/>
          <w:sz w:val="20"/>
          <w:szCs w:val="20"/>
          <w:lang w:val="id-ID"/>
        </w:rPr>
        <w:t>Muslimah was involved in all aspects of the study. Nina Anggraeni Noviasari and Satriya Pranata were supervisors, Sri Wahyuni, Swasty and Machmudah reviewed the literature and final-</w:t>
      </w:r>
      <w:r w:rsidRPr="00BF1E5B">
        <w:rPr>
          <w:rFonts w:ascii="Garamond" w:hAnsi="Garamond"/>
          <w:bCs/>
          <w:iCs/>
          <w:sz w:val="20"/>
          <w:szCs w:val="20"/>
          <w:lang w:val="id-ID"/>
        </w:rPr>
        <w:lastRenderedPageBreak/>
        <w:t>checked the draft.  Muslimah and Satriya Pranata</w:t>
      </w:r>
      <w:r w:rsidRPr="00BF1E5B">
        <w:rPr>
          <w:rFonts w:ascii="Garamond" w:hAnsi="Garamond"/>
          <w:bCs/>
          <w:iCs/>
          <w:sz w:val="20"/>
          <w:szCs w:val="20"/>
          <w:vertAlign w:val="superscript"/>
          <w:lang w:val="id-ID"/>
        </w:rPr>
        <w:t xml:space="preserve"> </w:t>
      </w:r>
      <w:r w:rsidRPr="00BF1E5B">
        <w:rPr>
          <w:rFonts w:ascii="Garamond" w:hAnsi="Garamond"/>
          <w:bCs/>
          <w:iCs/>
          <w:sz w:val="20"/>
          <w:szCs w:val="20"/>
          <w:lang w:val="id-ID"/>
        </w:rPr>
        <w:t xml:space="preserve">were data curation. </w:t>
      </w:r>
    </w:p>
    <w:p w14:paraId="219F9F52" w14:textId="77777777" w:rsidR="00BF1E5B" w:rsidRDefault="00BF1E5B" w:rsidP="00BF1E5B">
      <w:pPr>
        <w:spacing w:line="259" w:lineRule="auto"/>
        <w:jc w:val="both"/>
        <w:rPr>
          <w:rFonts w:ascii="Garamond" w:hAnsi="Garamond"/>
          <w:b/>
          <w:bCs/>
          <w:iCs/>
          <w:sz w:val="20"/>
          <w:szCs w:val="20"/>
          <w:lang w:val="id-ID"/>
        </w:rPr>
      </w:pPr>
    </w:p>
    <w:p w14:paraId="51F21E80" w14:textId="129AA8EF" w:rsidR="00BF1E5B" w:rsidRPr="007265BD" w:rsidRDefault="00BF1E5B" w:rsidP="00BF1E5B">
      <w:pPr>
        <w:spacing w:line="259" w:lineRule="auto"/>
        <w:jc w:val="both"/>
        <w:rPr>
          <w:rFonts w:ascii="Garamond" w:hAnsi="Garamond"/>
          <w:b/>
          <w:bCs/>
          <w:iCs/>
          <w:sz w:val="20"/>
          <w:szCs w:val="20"/>
          <w:lang w:val="id-ID"/>
        </w:rPr>
      </w:pPr>
      <w:r w:rsidRPr="007265BD">
        <w:rPr>
          <w:rFonts w:ascii="Garamond" w:hAnsi="Garamond"/>
          <w:b/>
          <w:bCs/>
          <w:i/>
          <w:sz w:val="20"/>
          <w:szCs w:val="20"/>
          <w:lang w:val="id-ID"/>
        </w:rPr>
        <w:t>Funding</w:t>
      </w:r>
      <w:r w:rsidR="007265BD">
        <w:rPr>
          <w:rFonts w:ascii="Garamond" w:hAnsi="Garamond"/>
          <w:b/>
          <w:bCs/>
          <w:iCs/>
          <w:sz w:val="20"/>
          <w:szCs w:val="20"/>
          <w:lang w:val="id-ID"/>
        </w:rPr>
        <w:t xml:space="preserve">: </w:t>
      </w:r>
      <w:r w:rsidR="007265BD" w:rsidRPr="00AD770A">
        <w:rPr>
          <w:rFonts w:ascii="Garamond" w:hAnsi="Garamond" w:cs="Times New Roman"/>
          <w:sz w:val="20"/>
          <w:szCs w:val="20"/>
        </w:rPr>
        <w:t>To the Institute for Research and Community Service (LPPM) of Universitas Muhammadiyah Semarang for funding the 2023 PKLN (National Student Internship) program: Contract No.: 114/UNIMUS.L/PG/PJ.INT/2023</w:t>
      </w:r>
    </w:p>
    <w:p w14:paraId="6923FDF8" w14:textId="679F0BC3" w:rsidR="00BF1E5B" w:rsidRPr="007265BD" w:rsidRDefault="00BF1E5B" w:rsidP="00BF1E5B">
      <w:pPr>
        <w:spacing w:line="259" w:lineRule="auto"/>
        <w:jc w:val="both"/>
        <w:rPr>
          <w:rFonts w:ascii="Garamond" w:hAnsi="Garamond"/>
          <w:b/>
          <w:bCs/>
          <w:iCs/>
          <w:sz w:val="20"/>
          <w:szCs w:val="20"/>
          <w:lang w:val="id-ID"/>
        </w:rPr>
      </w:pPr>
      <w:proofErr w:type="spellStart"/>
      <w:r w:rsidRPr="007265BD">
        <w:rPr>
          <w:rFonts w:ascii="Garamond" w:hAnsi="Garamond"/>
          <w:b/>
          <w:bCs/>
          <w:i/>
          <w:sz w:val="20"/>
          <w:szCs w:val="20"/>
          <w:lang w:val="id-ID"/>
        </w:rPr>
        <w:t>Acknowledgement</w:t>
      </w:r>
      <w:proofErr w:type="spellEnd"/>
      <w:r w:rsidR="007265BD" w:rsidRPr="007265BD">
        <w:rPr>
          <w:rFonts w:ascii="Garamond" w:hAnsi="Garamond"/>
          <w:b/>
          <w:bCs/>
          <w:i/>
          <w:sz w:val="20"/>
          <w:szCs w:val="20"/>
          <w:lang w:val="id-ID"/>
        </w:rPr>
        <w:t>:</w:t>
      </w:r>
      <w:r w:rsidR="007265BD">
        <w:rPr>
          <w:rFonts w:ascii="Garamond" w:hAnsi="Garamond"/>
          <w:b/>
          <w:bCs/>
          <w:iCs/>
          <w:sz w:val="20"/>
          <w:szCs w:val="20"/>
          <w:lang w:val="id-ID"/>
        </w:rPr>
        <w:t xml:space="preserve"> </w:t>
      </w:r>
      <w:r w:rsidRPr="00BF1E5B">
        <w:rPr>
          <w:rFonts w:ascii="Garamond" w:hAnsi="Garamond"/>
          <w:iCs/>
          <w:sz w:val="20"/>
          <w:szCs w:val="20"/>
          <w:lang w:val="id-ID"/>
        </w:rPr>
        <w:t xml:space="preserve">We </w:t>
      </w:r>
      <w:proofErr w:type="spellStart"/>
      <w:r w:rsidRPr="00BF1E5B">
        <w:rPr>
          <w:rFonts w:ascii="Garamond" w:hAnsi="Garamond"/>
          <w:iCs/>
          <w:sz w:val="20"/>
          <w:szCs w:val="20"/>
          <w:lang w:val="id-ID"/>
        </w:rPr>
        <w:t>express</w:t>
      </w:r>
      <w:proofErr w:type="spellEnd"/>
      <w:r w:rsidRPr="00BF1E5B">
        <w:rPr>
          <w:rFonts w:ascii="Garamond" w:hAnsi="Garamond"/>
          <w:iCs/>
          <w:sz w:val="20"/>
          <w:szCs w:val="20"/>
          <w:lang w:val="id-ID"/>
        </w:rPr>
        <w:t xml:space="preserve"> </w:t>
      </w:r>
      <w:proofErr w:type="spellStart"/>
      <w:r w:rsidRPr="00BF1E5B">
        <w:rPr>
          <w:rFonts w:ascii="Garamond" w:hAnsi="Garamond"/>
          <w:iCs/>
          <w:sz w:val="20"/>
          <w:szCs w:val="20"/>
          <w:lang w:val="id-ID"/>
        </w:rPr>
        <w:t>our</w:t>
      </w:r>
      <w:proofErr w:type="spellEnd"/>
      <w:r w:rsidRPr="00BF1E5B">
        <w:rPr>
          <w:rFonts w:ascii="Garamond" w:hAnsi="Garamond"/>
          <w:iCs/>
          <w:sz w:val="20"/>
          <w:szCs w:val="20"/>
          <w:lang w:val="id-ID"/>
        </w:rPr>
        <w:t xml:space="preserve"> </w:t>
      </w:r>
      <w:proofErr w:type="spellStart"/>
      <w:r w:rsidRPr="00BF1E5B">
        <w:rPr>
          <w:rFonts w:ascii="Garamond" w:hAnsi="Garamond"/>
          <w:iCs/>
          <w:sz w:val="20"/>
          <w:szCs w:val="20"/>
          <w:lang w:val="id-ID"/>
        </w:rPr>
        <w:t>gratitude</w:t>
      </w:r>
      <w:proofErr w:type="spellEnd"/>
      <w:r w:rsidRPr="00BF1E5B">
        <w:rPr>
          <w:rFonts w:ascii="Garamond" w:hAnsi="Garamond"/>
          <w:iCs/>
          <w:sz w:val="20"/>
          <w:szCs w:val="20"/>
          <w:lang w:val="id-ID"/>
        </w:rPr>
        <w:t xml:space="preserve"> </w:t>
      </w:r>
      <w:proofErr w:type="spellStart"/>
      <w:r w:rsidRPr="00BF1E5B">
        <w:rPr>
          <w:rFonts w:ascii="Garamond" w:hAnsi="Garamond"/>
          <w:iCs/>
          <w:sz w:val="20"/>
          <w:szCs w:val="20"/>
          <w:lang w:val="id-ID"/>
        </w:rPr>
        <w:t>to</w:t>
      </w:r>
      <w:proofErr w:type="spellEnd"/>
      <w:r w:rsidRPr="00BF1E5B">
        <w:rPr>
          <w:rFonts w:ascii="Garamond" w:hAnsi="Garamond"/>
          <w:iCs/>
          <w:sz w:val="20"/>
          <w:szCs w:val="20"/>
          <w:lang w:val="id-ID"/>
        </w:rPr>
        <w:t xml:space="preserve"> </w:t>
      </w:r>
      <w:proofErr w:type="spellStart"/>
      <w:r w:rsidRPr="00BF1E5B">
        <w:rPr>
          <w:rFonts w:ascii="Garamond" w:hAnsi="Garamond"/>
          <w:iCs/>
          <w:sz w:val="20"/>
          <w:szCs w:val="20"/>
          <w:lang w:val="id-ID"/>
        </w:rPr>
        <w:t>all</w:t>
      </w:r>
      <w:proofErr w:type="spellEnd"/>
      <w:r w:rsidRPr="00BF1E5B">
        <w:rPr>
          <w:rFonts w:ascii="Garamond" w:hAnsi="Garamond"/>
          <w:iCs/>
          <w:sz w:val="20"/>
          <w:szCs w:val="20"/>
          <w:lang w:val="id-ID"/>
        </w:rPr>
        <w:t xml:space="preserve"> </w:t>
      </w:r>
      <w:proofErr w:type="spellStart"/>
      <w:r w:rsidRPr="00BF1E5B">
        <w:rPr>
          <w:rFonts w:ascii="Garamond" w:hAnsi="Garamond"/>
          <w:iCs/>
          <w:sz w:val="20"/>
          <w:szCs w:val="20"/>
          <w:lang w:val="id-ID"/>
        </w:rPr>
        <w:t>participants</w:t>
      </w:r>
      <w:proofErr w:type="spellEnd"/>
      <w:r w:rsidRPr="00BF1E5B">
        <w:rPr>
          <w:rFonts w:ascii="Garamond" w:hAnsi="Garamond"/>
          <w:iCs/>
          <w:sz w:val="20"/>
          <w:szCs w:val="20"/>
          <w:lang w:val="id-ID"/>
        </w:rPr>
        <w:t xml:space="preserve"> and any parties who contributed to this study. </w:t>
      </w:r>
    </w:p>
    <w:p w14:paraId="0475329C" w14:textId="21760FDB" w:rsidR="002D7048" w:rsidRDefault="00BF1E5B" w:rsidP="00BF1E5B">
      <w:pPr>
        <w:spacing w:line="259" w:lineRule="auto"/>
        <w:jc w:val="both"/>
        <w:rPr>
          <w:rFonts w:ascii="Garamond" w:hAnsi="Garamond"/>
          <w:bCs/>
          <w:iCs/>
          <w:sz w:val="20"/>
          <w:szCs w:val="20"/>
          <w:lang w:val="id-ID"/>
        </w:rPr>
      </w:pPr>
      <w:proofErr w:type="spellStart"/>
      <w:r w:rsidRPr="007265BD">
        <w:rPr>
          <w:rFonts w:ascii="Garamond" w:hAnsi="Garamond"/>
          <w:b/>
          <w:bCs/>
          <w:i/>
          <w:sz w:val="20"/>
          <w:szCs w:val="20"/>
          <w:lang w:val="id-ID"/>
        </w:rPr>
        <w:t>Conflict</w:t>
      </w:r>
      <w:proofErr w:type="spellEnd"/>
      <w:r w:rsidRPr="007265BD">
        <w:rPr>
          <w:rFonts w:ascii="Garamond" w:hAnsi="Garamond"/>
          <w:b/>
          <w:bCs/>
          <w:i/>
          <w:sz w:val="20"/>
          <w:szCs w:val="20"/>
          <w:lang w:val="id-ID"/>
        </w:rPr>
        <w:t xml:space="preserve"> </w:t>
      </w:r>
      <w:proofErr w:type="spellStart"/>
      <w:r w:rsidRPr="007265BD">
        <w:rPr>
          <w:rFonts w:ascii="Garamond" w:hAnsi="Garamond"/>
          <w:b/>
          <w:bCs/>
          <w:i/>
          <w:sz w:val="20"/>
          <w:szCs w:val="20"/>
          <w:lang w:val="id-ID"/>
        </w:rPr>
        <w:t>of</w:t>
      </w:r>
      <w:proofErr w:type="spellEnd"/>
      <w:r w:rsidRPr="007265BD">
        <w:rPr>
          <w:rFonts w:ascii="Garamond" w:hAnsi="Garamond"/>
          <w:b/>
          <w:bCs/>
          <w:i/>
          <w:sz w:val="20"/>
          <w:szCs w:val="20"/>
          <w:lang w:val="id-ID"/>
        </w:rPr>
        <w:t xml:space="preserve"> </w:t>
      </w:r>
      <w:proofErr w:type="spellStart"/>
      <w:r w:rsidRPr="007265BD">
        <w:rPr>
          <w:rFonts w:ascii="Garamond" w:hAnsi="Garamond"/>
          <w:b/>
          <w:bCs/>
          <w:i/>
          <w:sz w:val="20"/>
          <w:szCs w:val="20"/>
          <w:lang w:val="id-ID"/>
        </w:rPr>
        <w:t>Interest</w:t>
      </w:r>
      <w:proofErr w:type="spellEnd"/>
      <w:r w:rsidR="007265BD" w:rsidRPr="007265BD">
        <w:rPr>
          <w:rFonts w:ascii="Garamond" w:hAnsi="Garamond"/>
          <w:b/>
          <w:bCs/>
          <w:i/>
          <w:sz w:val="20"/>
          <w:szCs w:val="20"/>
          <w:lang w:val="id-ID"/>
        </w:rPr>
        <w:t>:</w:t>
      </w:r>
      <w:r w:rsidR="007265BD">
        <w:rPr>
          <w:rFonts w:ascii="Garamond" w:hAnsi="Garamond"/>
          <w:b/>
          <w:bCs/>
          <w:iCs/>
          <w:sz w:val="20"/>
          <w:szCs w:val="20"/>
          <w:lang w:val="id-ID"/>
        </w:rPr>
        <w:t xml:space="preserve"> </w:t>
      </w:r>
      <w:r w:rsidRPr="00BF1E5B">
        <w:rPr>
          <w:rFonts w:ascii="Garamond" w:hAnsi="Garamond"/>
          <w:bCs/>
          <w:iCs/>
          <w:sz w:val="20"/>
          <w:szCs w:val="20"/>
          <w:lang w:val="id-ID"/>
        </w:rPr>
        <w:t>The authors affirm no conflict of interest in this study</w:t>
      </w:r>
    </w:p>
    <w:p w14:paraId="24D7D7B4" w14:textId="77777777" w:rsidR="00BF1E5B" w:rsidRDefault="00BF1E5B" w:rsidP="00BF1E5B">
      <w:pPr>
        <w:spacing w:line="259" w:lineRule="auto"/>
        <w:jc w:val="both"/>
        <w:rPr>
          <w:rFonts w:ascii="Garamond" w:hAnsi="Garamond"/>
          <w:bCs/>
          <w:iCs/>
          <w:sz w:val="20"/>
          <w:szCs w:val="20"/>
          <w:lang w:val="id-ID"/>
        </w:rPr>
      </w:pPr>
    </w:p>
    <w:p w14:paraId="349FA96A" w14:textId="0A4D49EE" w:rsidR="00BF1E5B" w:rsidRPr="00BF1E5B" w:rsidRDefault="00F03324" w:rsidP="00BF1E5B">
      <w:pPr>
        <w:spacing w:line="259" w:lineRule="auto"/>
        <w:jc w:val="both"/>
        <w:rPr>
          <w:rFonts w:ascii="Garamond" w:hAnsi="Garamond"/>
          <w:b/>
          <w:bCs/>
          <w:iCs/>
          <w:sz w:val="22"/>
          <w:szCs w:val="22"/>
        </w:rPr>
      </w:pPr>
      <w:r w:rsidRPr="00BF1E5B">
        <w:rPr>
          <w:rFonts w:ascii="Garamond" w:hAnsi="Garamond"/>
          <w:b/>
          <w:bCs/>
          <w:iCs/>
          <w:sz w:val="22"/>
          <w:szCs w:val="22"/>
        </w:rPr>
        <w:t xml:space="preserve">REFERENCES </w:t>
      </w:r>
    </w:p>
    <w:p w14:paraId="6C331428"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fldChar w:fldCharType="begin" w:fldLock="1"/>
      </w:r>
      <w:r w:rsidRPr="00BF1E5B">
        <w:rPr>
          <w:rFonts w:ascii="Garamond" w:hAnsi="Garamond"/>
          <w:bCs/>
          <w:iCs/>
          <w:sz w:val="20"/>
          <w:szCs w:val="20"/>
          <w:lang w:val="id-ID"/>
        </w:rPr>
        <w:instrText xml:space="preserve">ADDIN Mendeley Bibliography CSL_BIBLIOGRAPHY </w:instrText>
      </w:r>
      <w:r w:rsidRPr="00BF1E5B">
        <w:rPr>
          <w:rFonts w:ascii="Garamond" w:hAnsi="Garamond"/>
          <w:bCs/>
          <w:iCs/>
          <w:sz w:val="20"/>
          <w:szCs w:val="20"/>
          <w:lang w:val="id-ID"/>
        </w:rPr>
        <w:fldChar w:fldCharType="separate"/>
      </w:r>
      <w:r w:rsidRPr="00BF1E5B">
        <w:rPr>
          <w:rFonts w:ascii="Garamond" w:hAnsi="Garamond"/>
          <w:bCs/>
          <w:iCs/>
          <w:sz w:val="20"/>
          <w:szCs w:val="20"/>
          <w:lang w:val="id-ID"/>
        </w:rPr>
        <w:t xml:space="preserve">1. </w:t>
      </w:r>
      <w:r w:rsidRPr="00BF1E5B">
        <w:rPr>
          <w:rFonts w:ascii="Garamond" w:hAnsi="Garamond"/>
          <w:bCs/>
          <w:iCs/>
          <w:sz w:val="20"/>
          <w:szCs w:val="20"/>
          <w:lang w:val="id-ID"/>
        </w:rPr>
        <w:tab/>
        <w:t xml:space="preserve">Omote Y, Deguchi K, Tian F, Kawai H, Kurata T, Yamashita T, et al. Clinical and pathological improvement in stroke-prone spontaneous hypertensive rats related to the pleiotropic effect of cilostazol. Stroke. 2012;43(6):1639–46. </w:t>
      </w:r>
    </w:p>
    <w:p w14:paraId="7E993BC3"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 </w:t>
      </w:r>
      <w:r w:rsidRPr="00BF1E5B">
        <w:rPr>
          <w:rFonts w:ascii="Garamond" w:hAnsi="Garamond"/>
          <w:bCs/>
          <w:iCs/>
          <w:sz w:val="20"/>
          <w:szCs w:val="20"/>
          <w:lang w:val="id-ID"/>
        </w:rPr>
        <w:tab/>
        <w:t xml:space="preserve">Organization WH. World health statistics 2015. Geneva: World Health Organization; 2015. </w:t>
      </w:r>
    </w:p>
    <w:p w14:paraId="5796A425"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3. </w:t>
      </w:r>
      <w:r w:rsidRPr="00BF1E5B">
        <w:rPr>
          <w:rFonts w:ascii="Garamond" w:hAnsi="Garamond"/>
          <w:bCs/>
          <w:iCs/>
          <w:sz w:val="20"/>
          <w:szCs w:val="20"/>
          <w:lang w:val="id-ID"/>
        </w:rPr>
        <w:tab/>
        <w:t xml:space="preserve">Chang KC, Tseng MC, Weng HH, Lin YH, Liou CW, Tan TY. Prediction of Length of Stay of First-Ever Ischemic Stroke. Stroke. 2002 Sep;33(11):2670–4. </w:t>
      </w:r>
    </w:p>
    <w:p w14:paraId="49240678"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4. </w:t>
      </w:r>
      <w:r w:rsidRPr="00BF1E5B">
        <w:rPr>
          <w:rFonts w:ascii="Garamond" w:hAnsi="Garamond"/>
          <w:bCs/>
          <w:iCs/>
          <w:sz w:val="20"/>
          <w:szCs w:val="20"/>
          <w:lang w:val="id-ID"/>
        </w:rPr>
        <w:tab/>
        <w:t xml:space="preserve">Purbaningsih S, Wahyono D, Suparniati E. Cost of illness pasien stroke. J Manag Pharm Pract. 2015;5(2):95–103. </w:t>
      </w:r>
    </w:p>
    <w:p w14:paraId="0618FA12"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5. </w:t>
      </w:r>
      <w:r w:rsidRPr="00BF1E5B">
        <w:rPr>
          <w:rFonts w:ascii="Garamond" w:hAnsi="Garamond"/>
          <w:bCs/>
          <w:iCs/>
          <w:sz w:val="20"/>
          <w:szCs w:val="20"/>
          <w:lang w:val="id-ID"/>
        </w:rPr>
        <w:tab/>
        <w:t xml:space="preserve">Pinzon Mkes  dr R, Asanti SpS  dr LA. Awas stroke! Pengertian, Gejala, Tindakan, Perawatan dan Pencegahan. Penerbit Andi; 2010. 84 p. </w:t>
      </w:r>
    </w:p>
    <w:p w14:paraId="073E3B2A"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6. </w:t>
      </w:r>
      <w:r w:rsidRPr="00BF1E5B">
        <w:rPr>
          <w:rFonts w:ascii="Garamond" w:hAnsi="Garamond"/>
          <w:bCs/>
          <w:iCs/>
          <w:sz w:val="20"/>
          <w:szCs w:val="20"/>
          <w:lang w:val="id-ID"/>
        </w:rPr>
        <w:tab/>
        <w:t xml:space="preserve">Goldstein LB, Bushnell CD, Adams RJ, Appel LJ, Braun LT, Chaturvedi S, et al. Guidelines for the Primary Prevention of Stroke: A Guideline for Healthcare Professionals From the American Heart Association/American Stroke Association. Stroke. 2011 May;42(2):517–84. </w:t>
      </w:r>
    </w:p>
    <w:p w14:paraId="79707DB1"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7. </w:t>
      </w:r>
      <w:r w:rsidRPr="00BF1E5B">
        <w:rPr>
          <w:rFonts w:ascii="Garamond" w:hAnsi="Garamond"/>
          <w:bCs/>
          <w:iCs/>
          <w:sz w:val="20"/>
          <w:szCs w:val="20"/>
          <w:lang w:val="id-ID"/>
        </w:rPr>
        <w:tab/>
        <w:t xml:space="preserve">Leal J, Luengo-Fernández R, Gray A, Petersen S, Rayner M. Economic burden of cardiovascular diseases in the enlarged European Union. 27(13):1610–9. </w:t>
      </w:r>
    </w:p>
    <w:p w14:paraId="6B92DB6C"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8. </w:t>
      </w:r>
      <w:r w:rsidRPr="00BF1E5B">
        <w:rPr>
          <w:rFonts w:ascii="Garamond" w:hAnsi="Garamond"/>
          <w:bCs/>
          <w:iCs/>
          <w:sz w:val="20"/>
          <w:szCs w:val="20"/>
          <w:lang w:val="id-ID"/>
        </w:rPr>
        <w:tab/>
        <w:t xml:space="preserve">Permenkes. PERMENKES Nomor 76 Tahun 2016 Tentang Pedoman INACBG Dalam Pelaksanaan JKN. 2016. </w:t>
      </w:r>
    </w:p>
    <w:p w14:paraId="7BF89C44"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9. </w:t>
      </w:r>
      <w:r w:rsidRPr="00BF1E5B">
        <w:rPr>
          <w:rFonts w:ascii="Garamond" w:hAnsi="Garamond"/>
          <w:bCs/>
          <w:iCs/>
          <w:sz w:val="20"/>
          <w:szCs w:val="20"/>
          <w:lang w:val="id-ID"/>
        </w:rPr>
        <w:tab/>
        <w:t xml:space="preserve">Heeley E, Anderson CS, Huang Y, Jan S, Li Y, Liu M, et al. Role of health insurance in averting economic hardship in families after acute stroke in China. Stroke. 2009;40(6):2149–56. </w:t>
      </w:r>
    </w:p>
    <w:p w14:paraId="0B8FDB69"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10. </w:t>
      </w:r>
      <w:r w:rsidRPr="00BF1E5B">
        <w:rPr>
          <w:rFonts w:ascii="Garamond" w:hAnsi="Garamond"/>
          <w:bCs/>
          <w:iCs/>
          <w:sz w:val="20"/>
          <w:szCs w:val="20"/>
          <w:lang w:val="id-ID"/>
        </w:rPr>
        <w:tab/>
        <w:t xml:space="preserve">van Eeden M, van Heugten C, van Mastrigt G, van Mierlo M, Visser-Meily JMA, Evers S. The burden of stroke in the Netherlands: estimating quality of </w:t>
      </w:r>
      <w:r w:rsidRPr="00BF1E5B">
        <w:rPr>
          <w:rFonts w:ascii="Garamond" w:hAnsi="Garamond"/>
          <w:bCs/>
          <w:iCs/>
          <w:sz w:val="20"/>
          <w:szCs w:val="20"/>
          <w:lang w:val="id-ID"/>
        </w:rPr>
        <w:t xml:space="preserve">life and costs for 1 year poststroke. BMJ Open. 2015 Mar;5(11):e008220. </w:t>
      </w:r>
    </w:p>
    <w:p w14:paraId="28E1049E"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11. </w:t>
      </w:r>
      <w:r w:rsidRPr="00BF1E5B">
        <w:rPr>
          <w:rFonts w:ascii="Garamond" w:hAnsi="Garamond"/>
          <w:bCs/>
          <w:iCs/>
          <w:sz w:val="20"/>
          <w:szCs w:val="20"/>
          <w:lang w:val="id-ID"/>
        </w:rPr>
        <w:tab/>
        <w:t xml:space="preserve">Wu Y, Zheng H, Hu S, Chen X, Chen Y, Liu J, et al. The impact of metabolic diseases and their comorbidities for stroke in a middle-income area of China: a case-control study. Int J Neurosci. 2022 Apr;133(9):1055–63. </w:t>
      </w:r>
    </w:p>
    <w:p w14:paraId="5B7AE116"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12. </w:t>
      </w:r>
      <w:r w:rsidRPr="00BF1E5B">
        <w:rPr>
          <w:rFonts w:ascii="Garamond" w:hAnsi="Garamond"/>
          <w:bCs/>
          <w:iCs/>
          <w:sz w:val="20"/>
          <w:szCs w:val="20"/>
          <w:lang w:val="id-ID"/>
        </w:rPr>
        <w:tab/>
        <w:t xml:space="preserve">Hum B, Taneja K, Bunachita S, Ashor H, Shin J, Bright A, et al. Unveiling the evolving landscape of stroke care costs: A time-driven analysis. J Stroke Cerebrovasc Dis. 2024 Apr;33(6):107663. </w:t>
      </w:r>
    </w:p>
    <w:p w14:paraId="1419F1F8"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13. </w:t>
      </w:r>
      <w:r w:rsidRPr="00BF1E5B">
        <w:rPr>
          <w:rFonts w:ascii="Garamond" w:hAnsi="Garamond"/>
          <w:bCs/>
          <w:iCs/>
          <w:sz w:val="20"/>
          <w:szCs w:val="20"/>
          <w:lang w:val="id-ID"/>
        </w:rPr>
        <w:tab/>
        <w:t xml:space="preserve">Lv W, Wang A, Wang Q, Wang R, Xu Q, Wu S, et al. One-year direct and indirect costs of ischaemic stroke in China. Stroke Vasc Neurol. 2023 Apr;svn-2023. </w:t>
      </w:r>
    </w:p>
    <w:p w14:paraId="42647CED"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14. </w:t>
      </w:r>
      <w:r w:rsidRPr="00BF1E5B">
        <w:rPr>
          <w:rFonts w:ascii="Garamond" w:hAnsi="Garamond"/>
          <w:bCs/>
          <w:iCs/>
          <w:sz w:val="20"/>
          <w:szCs w:val="20"/>
          <w:lang w:val="id-ID"/>
        </w:rPr>
        <w:tab/>
        <w:t xml:space="preserve">Sidelnikov E, Dornstauder E, Jacob C, Maas C, Pinto L, Leidl R, et al. Healthcare resource utilization and costs of cardiovascular events in patients with atherosclerotic cardiovascular disease in Germany – results of a claims database study. J Med Econ. 2022 Apr;25(1):1199–206. </w:t>
      </w:r>
    </w:p>
    <w:p w14:paraId="24197507"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15. </w:t>
      </w:r>
      <w:r w:rsidRPr="00BF1E5B">
        <w:rPr>
          <w:rFonts w:ascii="Garamond" w:hAnsi="Garamond"/>
          <w:bCs/>
          <w:iCs/>
          <w:sz w:val="20"/>
          <w:szCs w:val="20"/>
          <w:lang w:val="id-ID"/>
        </w:rPr>
        <w:tab/>
        <w:t xml:space="preserve">Cheon S, Li CY, Jeng JS, Wang JD, Ku LJE. The lifetime burden following stroke: Long term impact of stroke on survival and quality of life. Int J Stroke. 2023 Apr;18(7):795–803. </w:t>
      </w:r>
    </w:p>
    <w:p w14:paraId="7FAB5AB7"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16. </w:t>
      </w:r>
      <w:r w:rsidRPr="00BF1E5B">
        <w:rPr>
          <w:rFonts w:ascii="Garamond" w:hAnsi="Garamond"/>
          <w:bCs/>
          <w:iCs/>
          <w:sz w:val="20"/>
          <w:szCs w:val="20"/>
          <w:lang w:val="id-ID"/>
        </w:rPr>
        <w:tab/>
        <w:t xml:space="preserve">Billioti de Gage S, Bertrand M, Grimaldi S, Zureik M. Risk of Myocardial Infarction, Stroke, or Death in New Users of Intravitreal Aflibercept Versus Ranibizumab: A Nationwide Cohort Study. Ophthalmol Ther. 2022 Apr;11(2):587–602. </w:t>
      </w:r>
    </w:p>
    <w:p w14:paraId="6BC42221"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17. </w:t>
      </w:r>
      <w:r w:rsidRPr="00BF1E5B">
        <w:rPr>
          <w:rFonts w:ascii="Garamond" w:hAnsi="Garamond"/>
          <w:bCs/>
          <w:iCs/>
          <w:sz w:val="20"/>
          <w:szCs w:val="20"/>
          <w:lang w:val="id-ID"/>
        </w:rPr>
        <w:tab/>
        <w:t xml:space="preserve">Lucas-Noll J, Clua-Espuny JL, Lleixà-Fortuño M, Gavaldà-Espelta E, Queralt-Tomas L, Panisello-Tafalla A, et al. The costs associated with stroke care continuum: a systematic review. Health Econ Rev. 2023;13(1):1–18. </w:t>
      </w:r>
    </w:p>
    <w:p w14:paraId="5E5E2B5F"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18. </w:t>
      </w:r>
      <w:r w:rsidRPr="00BF1E5B">
        <w:rPr>
          <w:rFonts w:ascii="Garamond" w:hAnsi="Garamond"/>
          <w:bCs/>
          <w:iCs/>
          <w:sz w:val="20"/>
          <w:szCs w:val="20"/>
          <w:lang w:val="id-ID"/>
        </w:rPr>
        <w:tab/>
        <w:t xml:space="preserve">Noto S, Murata T, Saito S, Watanabe T, Kobayashi M. Preferences for Rehabilitation in Persons with a History of Stroke: A Discrete Choice Experiment. Patient Prefer Adherence. 2023 Apr;17:1611–20. </w:t>
      </w:r>
    </w:p>
    <w:p w14:paraId="5DB2BE31"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19. </w:t>
      </w:r>
      <w:r w:rsidRPr="00BF1E5B">
        <w:rPr>
          <w:rFonts w:ascii="Garamond" w:hAnsi="Garamond"/>
          <w:bCs/>
          <w:iCs/>
          <w:sz w:val="20"/>
          <w:szCs w:val="20"/>
          <w:lang w:val="id-ID"/>
        </w:rPr>
        <w:tab/>
        <w:t xml:space="preserve">Zhi M, Hu L, Geng F, Shao N, Liu Y. Analysis of the Cost and Case-mix of Post-acute Stroke Patients in China Using Quantile Regression and the Decision-tree Models. Risk Manag Healthc Policy. 2022 Apr;15:1113–27. </w:t>
      </w:r>
    </w:p>
    <w:p w14:paraId="2D37401C"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20. </w:t>
      </w:r>
      <w:r w:rsidRPr="00BF1E5B">
        <w:rPr>
          <w:rFonts w:ascii="Garamond" w:hAnsi="Garamond"/>
          <w:bCs/>
          <w:iCs/>
          <w:sz w:val="20"/>
          <w:szCs w:val="20"/>
          <w:lang w:val="id-ID"/>
        </w:rPr>
        <w:tab/>
        <w:t xml:space="preserve">Wirbka L, Ruff C, Haefeli WE, Meid AD. A prediction model for nonpersistence or nonadherence to direct oral anticoagulants in hospitalized patients with atrial fibrillation. J Manag Care Spec Pharm. 2022 Apr;28(10):10.18553/jmcp.2022.28.10.1161. </w:t>
      </w:r>
    </w:p>
    <w:p w14:paraId="3BA331A3"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21. </w:t>
      </w:r>
      <w:r w:rsidRPr="00BF1E5B">
        <w:rPr>
          <w:rFonts w:ascii="Garamond" w:hAnsi="Garamond"/>
          <w:bCs/>
          <w:iCs/>
          <w:sz w:val="20"/>
          <w:szCs w:val="20"/>
          <w:lang w:val="id-ID"/>
        </w:rPr>
        <w:tab/>
        <w:t xml:space="preserve">Wenger NK, Lloyd-Jones DM, Elkind MS V, Fonarow GC, Warner JJ, Alger HM, et al. Call to Action for Cardiovascular Disease in Women: </w:t>
      </w:r>
      <w:r w:rsidRPr="00BF1E5B">
        <w:rPr>
          <w:rFonts w:ascii="Garamond" w:hAnsi="Garamond"/>
          <w:bCs/>
          <w:iCs/>
          <w:sz w:val="20"/>
          <w:szCs w:val="20"/>
          <w:lang w:val="id-ID"/>
        </w:rPr>
        <w:lastRenderedPageBreak/>
        <w:t xml:space="preserve">Epidemiology, Awareness, Access, and Delivery of Equitable Health Care: A Presidential Advisory From the American Heart Association. Circulation. 2022 Apr;145(23):e1059–71. </w:t>
      </w:r>
    </w:p>
    <w:p w14:paraId="7EB40E48"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22. </w:t>
      </w:r>
      <w:r w:rsidRPr="00BF1E5B">
        <w:rPr>
          <w:rFonts w:ascii="Garamond" w:hAnsi="Garamond"/>
          <w:bCs/>
          <w:iCs/>
          <w:sz w:val="20"/>
          <w:szCs w:val="20"/>
          <w:lang w:val="id-ID"/>
        </w:rPr>
        <w:tab/>
        <w:t xml:space="preserve">Chen R, Zhang S, Li J, Guo D, Zhang W, Wang X, et al. A study on predicting the length of hospital stay for Chinese patients with ischemic stroke based on the XGBoost algorithm. BMC Med Inform Decis Mak. 2023 Apr;23(1):49. </w:t>
      </w:r>
    </w:p>
    <w:p w14:paraId="5C94D8B7"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23. </w:t>
      </w:r>
      <w:r w:rsidRPr="00BF1E5B">
        <w:rPr>
          <w:rFonts w:ascii="Garamond" w:hAnsi="Garamond"/>
          <w:bCs/>
          <w:iCs/>
          <w:sz w:val="20"/>
          <w:szCs w:val="20"/>
          <w:lang w:val="id-ID"/>
        </w:rPr>
        <w:tab/>
        <w:t xml:space="preserve">Ferreira NC, Luvizutto GJ, Bazan SGZ, Bonome LAM, Winckler FC, dos Santos DFB, et al. Challenges in adapting a stroke unit in a middle-income country: warning about costs and underfunding to achieve the Brazilian Ministry of Health’s benchmark. Front Public Heal. 2024 Apr;12:1264292. </w:t>
      </w:r>
    </w:p>
    <w:p w14:paraId="554AC85C"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24. </w:t>
      </w:r>
      <w:r w:rsidRPr="00BF1E5B">
        <w:rPr>
          <w:rFonts w:ascii="Garamond" w:hAnsi="Garamond"/>
          <w:bCs/>
          <w:iCs/>
          <w:sz w:val="20"/>
          <w:szCs w:val="20"/>
          <w:lang w:val="id-ID"/>
        </w:rPr>
        <w:tab/>
        <w:t xml:space="preserve">Abrignani MG, Lombardo A, Braschi A, Renda N, Abrignani V, Lombardo RM. Time trends in antithrombotic therapy prescription patterns: Real-world monocentric study in hospitalized patients with atrial fibrillation. World J Cardiol. 2022 Apr;14(11):576–98. </w:t>
      </w:r>
    </w:p>
    <w:p w14:paraId="30F55022"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25. </w:t>
      </w:r>
      <w:r w:rsidRPr="00BF1E5B">
        <w:rPr>
          <w:rFonts w:ascii="Garamond" w:hAnsi="Garamond"/>
          <w:bCs/>
          <w:iCs/>
          <w:sz w:val="20"/>
          <w:szCs w:val="20"/>
          <w:lang w:val="id-ID"/>
        </w:rPr>
        <w:tab/>
        <w:t xml:space="preserve">Kumluang S, Wu O, Langhorne P, Geue C. Stroke resource utilisation and all-cause mortality in Thailand 2017–2020: A retrospective, cross-sectional study. BMJ Open. 2023 Apr;13(6):e072259. </w:t>
      </w:r>
    </w:p>
    <w:p w14:paraId="4E0FF29B"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26. </w:t>
      </w:r>
      <w:r w:rsidRPr="00BF1E5B">
        <w:rPr>
          <w:rFonts w:ascii="Garamond" w:hAnsi="Garamond"/>
          <w:bCs/>
          <w:iCs/>
          <w:sz w:val="20"/>
          <w:szCs w:val="20"/>
          <w:lang w:val="id-ID"/>
        </w:rPr>
        <w:tab/>
        <w:t xml:space="preserve">Kim J, Grimley R, Kilkenny MF, Cadigan G, Johnston T, Andrew NE, et al. Costs of acute hospitalisation for stroke and transient ischaemic attack in Australia. Heal Inf Manag J. 2022 Apr;52(3):176–84. </w:t>
      </w:r>
    </w:p>
    <w:p w14:paraId="54DAFE5F"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27. </w:t>
      </w:r>
      <w:r w:rsidRPr="00BF1E5B">
        <w:rPr>
          <w:rFonts w:ascii="Garamond" w:hAnsi="Garamond"/>
          <w:bCs/>
          <w:iCs/>
          <w:sz w:val="20"/>
          <w:szCs w:val="20"/>
          <w:lang w:val="id-ID"/>
        </w:rPr>
        <w:tab/>
        <w:t xml:space="preserve">Cygańska M, Kludacz-Alessandri M, Pyke C. Healthcare Costs and Health Status: Insights from the SHARE Survey. Int J Environ Res Public Health. 2023 Apr;20(2):1418. </w:t>
      </w:r>
    </w:p>
    <w:p w14:paraId="705D6916"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28. </w:t>
      </w:r>
      <w:r w:rsidRPr="00BF1E5B">
        <w:rPr>
          <w:rFonts w:ascii="Garamond" w:hAnsi="Garamond"/>
          <w:bCs/>
          <w:iCs/>
          <w:sz w:val="20"/>
          <w:szCs w:val="20"/>
          <w:lang w:val="id-ID"/>
        </w:rPr>
        <w:tab/>
        <w:t xml:space="preserve">Pohan VY, Yanto A, Pranata S. Correlation of the Caring Behaviour of Nurses With the Motivation of Patients Undergoing Haemodialysis. 2024; </w:t>
      </w:r>
    </w:p>
    <w:p w14:paraId="4A956462"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29. </w:t>
      </w:r>
      <w:r w:rsidRPr="00BF1E5B">
        <w:rPr>
          <w:rFonts w:ascii="Garamond" w:hAnsi="Garamond"/>
          <w:bCs/>
          <w:iCs/>
          <w:sz w:val="20"/>
          <w:szCs w:val="20"/>
          <w:lang w:val="id-ID"/>
        </w:rPr>
        <w:tab/>
        <w:t xml:space="preserve">Chanif C, Nursalam N, Sriyono S, Yuniasari L, Pranata S, Armiyati Y. The Correlation Between Nurses’ Knowledge of Triage and the Accuracy of Triage Level Interpretation in the Emergency Department. Scr Medica (Banja Luka). 2023;54(4):385–8. </w:t>
      </w:r>
    </w:p>
    <w:p w14:paraId="6038D2F3"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30. </w:t>
      </w:r>
      <w:r w:rsidRPr="00BF1E5B">
        <w:rPr>
          <w:rFonts w:ascii="Garamond" w:hAnsi="Garamond"/>
          <w:bCs/>
          <w:iCs/>
          <w:sz w:val="20"/>
          <w:szCs w:val="20"/>
          <w:lang w:val="id-ID"/>
        </w:rPr>
        <w:tab/>
        <w:t xml:space="preserve">Joan Imanuella Hanna Pangaemanan. Perbedaan BPJS kelas 1,2,3 dan cara pindah kelas. https://mediaindonesia.com/humaniora/632187/. 2023. p. https://mediaindonesia.com/humaniora/632187/perbed. </w:t>
      </w:r>
    </w:p>
    <w:p w14:paraId="7F019BD3" w14:textId="77777777" w:rsidR="00BF1E5B" w:rsidRP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t xml:space="preserve">31. </w:t>
      </w:r>
      <w:r w:rsidRPr="00BF1E5B">
        <w:rPr>
          <w:rFonts w:ascii="Garamond" w:hAnsi="Garamond"/>
          <w:bCs/>
          <w:iCs/>
          <w:sz w:val="20"/>
          <w:szCs w:val="20"/>
          <w:lang w:val="id-ID"/>
        </w:rPr>
        <w:tab/>
        <w:t xml:space="preserve">Nisa. Perbedaan Faskes BPJS Tingkat 1, 2, 3 yang Harus Diketahui. metro news. 2023. </w:t>
      </w:r>
    </w:p>
    <w:p w14:paraId="5A83A679" w14:textId="7BC3EEE6" w:rsidR="00BF1E5B" w:rsidRDefault="00BF1E5B" w:rsidP="00F03324">
      <w:pPr>
        <w:ind w:left="284" w:hanging="284"/>
        <w:rPr>
          <w:rFonts w:ascii="Garamond" w:hAnsi="Garamond"/>
          <w:bCs/>
          <w:iCs/>
          <w:sz w:val="20"/>
          <w:szCs w:val="20"/>
          <w:lang w:val="id-ID"/>
        </w:rPr>
      </w:pPr>
      <w:r w:rsidRPr="00BF1E5B">
        <w:rPr>
          <w:rFonts w:ascii="Garamond" w:hAnsi="Garamond"/>
          <w:bCs/>
          <w:iCs/>
          <w:sz w:val="20"/>
          <w:szCs w:val="20"/>
          <w:lang w:val="id-ID"/>
        </w:rPr>
        <w:fldChar w:fldCharType="end"/>
      </w:r>
    </w:p>
    <w:p w14:paraId="11F5F263" w14:textId="77777777" w:rsidR="00A44F8C" w:rsidRDefault="00A44F8C" w:rsidP="00F03324">
      <w:pPr>
        <w:ind w:left="284" w:hanging="284"/>
        <w:rPr>
          <w:rFonts w:ascii="Garamond" w:hAnsi="Garamond"/>
          <w:bCs/>
          <w:iCs/>
          <w:sz w:val="20"/>
          <w:szCs w:val="20"/>
          <w:lang w:val="id-ID"/>
        </w:rPr>
      </w:pPr>
    </w:p>
    <w:sectPr w:rsidR="00A44F8C" w:rsidSect="00E80F6B">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0ED3" w14:textId="77777777" w:rsidR="00A2431E" w:rsidRDefault="00A2431E" w:rsidP="00202B90">
      <w:r>
        <w:separator/>
      </w:r>
    </w:p>
  </w:endnote>
  <w:endnote w:type="continuationSeparator" w:id="0">
    <w:p w14:paraId="25969D40" w14:textId="77777777" w:rsidR="00A2431E" w:rsidRDefault="00A2431E"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talics">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8" w:name="_Hlk114232143"/>
    <w:bookmarkStart w:id="9"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8"/>
    <w:bookmarkEnd w:id="9"/>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7D6CF875"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147D38">
      <w:rPr>
        <w:rFonts w:ascii="Garamond" w:hAnsi="Garamond"/>
        <w:sz w:val="18"/>
        <w:szCs w:val="18"/>
      </w:rPr>
      <w:t>6</w:t>
    </w:r>
    <w:r>
      <w:rPr>
        <w:rFonts w:ascii="Garamond" w:hAnsi="Garamond"/>
        <w:sz w:val="18"/>
        <w:szCs w:val="18"/>
      </w:rPr>
      <w:t xml:space="preserve">, Issue </w:t>
    </w:r>
    <w:r w:rsidR="00147D38">
      <w:rPr>
        <w:rFonts w:ascii="Garamond" w:hAnsi="Garamond"/>
        <w:sz w:val="18"/>
        <w:szCs w:val="18"/>
      </w:rPr>
      <w:t>1</w:t>
    </w:r>
    <w:r>
      <w:rPr>
        <w:rFonts w:ascii="Garamond" w:hAnsi="Garamond"/>
        <w:sz w:val="18"/>
        <w:szCs w:val="18"/>
      </w:rPr>
      <w:t xml:space="preserve"> </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2C222B26"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147D38">
      <w:rPr>
        <w:rFonts w:ascii="Garamond" w:hAnsi="Garamond"/>
        <w:sz w:val="18"/>
        <w:szCs w:val="18"/>
      </w:rPr>
      <w:t>6</w:t>
    </w:r>
    <w:r>
      <w:rPr>
        <w:rFonts w:ascii="Garamond" w:hAnsi="Garamond"/>
        <w:sz w:val="18"/>
        <w:szCs w:val="18"/>
      </w:rPr>
      <w:t xml:space="preserve">, Issue </w:t>
    </w:r>
    <w:r w:rsidR="00147D38">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131FF76B"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147D38">
      <w:rPr>
        <w:rFonts w:ascii="Garamond" w:hAnsi="Garamond"/>
        <w:sz w:val="18"/>
        <w:szCs w:val="18"/>
      </w:rPr>
      <w:t>6</w:t>
    </w:r>
    <w:r>
      <w:rPr>
        <w:rFonts w:ascii="Garamond" w:hAnsi="Garamond"/>
        <w:sz w:val="18"/>
        <w:szCs w:val="18"/>
      </w:rPr>
      <w:t xml:space="preserve">, Issue </w:t>
    </w:r>
    <w:r w:rsidR="00147D38">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C6635" w14:textId="77777777" w:rsidR="00A2431E" w:rsidRDefault="00A2431E" w:rsidP="00202B90">
      <w:bookmarkStart w:id="0" w:name="_Hlk191386689"/>
      <w:bookmarkEnd w:id="0"/>
      <w:r>
        <w:separator/>
      </w:r>
    </w:p>
  </w:footnote>
  <w:footnote w:type="continuationSeparator" w:id="0">
    <w:p w14:paraId="0EA80329" w14:textId="77777777" w:rsidR="00A2431E" w:rsidRDefault="00A2431E"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4AD02C32"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7"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Volume 2</w:t>
    </w:r>
    <w:r w:rsidR="00147D38">
      <w:rPr>
        <w:rFonts w:ascii="Garamond" w:hAnsi="Garamond"/>
        <w:sz w:val="20"/>
        <w:szCs w:val="22"/>
      </w:rPr>
      <w:t>6</w:t>
    </w:r>
    <w:r w:rsidR="006914B1">
      <w:rPr>
        <w:rFonts w:ascii="Garamond" w:hAnsi="Garamond"/>
        <w:sz w:val="20"/>
        <w:szCs w:val="22"/>
      </w:rPr>
      <w:t xml:space="preserve">, Issue </w:t>
    </w:r>
    <w:r w:rsidR="00147D38">
      <w:rPr>
        <w:rFonts w:ascii="Garamond" w:hAnsi="Garamond"/>
        <w:sz w:val="20"/>
        <w:szCs w:val="22"/>
      </w:rPr>
      <w:t>1</w:t>
    </w:r>
    <w:r w:rsidR="006914B1">
      <w:rPr>
        <w:rFonts w:ascii="Garamond" w:hAnsi="Garamond"/>
        <w:sz w:val="20"/>
        <w:szCs w:val="22"/>
      </w:rPr>
      <w:t xml:space="preserve"> – </w:t>
    </w:r>
    <w:r w:rsidR="00147D38">
      <w:rPr>
        <w:rFonts w:ascii="Garamond" w:hAnsi="Garamond"/>
        <w:sz w:val="20"/>
        <w:szCs w:val="22"/>
      </w:rPr>
      <w:t>March</w:t>
    </w:r>
    <w:r w:rsidR="006914B1">
      <w:rPr>
        <w:rFonts w:ascii="Garamond" w:hAnsi="Garamond"/>
        <w:sz w:val="20"/>
        <w:szCs w:val="22"/>
      </w:rPr>
      <w:t>, 202</w:t>
    </w:r>
    <w:r w:rsidR="00147D38">
      <w:rPr>
        <w:rFonts w:ascii="Garamond" w:hAnsi="Garamond"/>
        <w:sz w:val="20"/>
        <w:szCs w:val="22"/>
      </w:rPr>
      <w:t>6</w:t>
    </w:r>
  </w:p>
  <w:bookmarkEnd w:id="7"/>
  <w:p w14:paraId="056193DF" w14:textId="77777777" w:rsidR="00892480" w:rsidRPr="00892480" w:rsidRDefault="00892480" w:rsidP="00892480">
    <w:pPr>
      <w:pStyle w:val="Header"/>
      <w:tabs>
        <w:tab w:val="left" w:pos="630"/>
      </w:tabs>
      <w:rPr>
        <w:rFonts w:ascii="Garamond" w:hAnsi="Garamond"/>
        <w:sz w:val="20"/>
        <w:szCs w:val="22"/>
        <w:lang w:val="id-ID"/>
      </w:rPr>
    </w:pPr>
    <w:r w:rsidRPr="00892480">
      <w:rPr>
        <w:rFonts w:ascii="Garamond" w:hAnsi="Garamond"/>
        <w:sz w:val="20"/>
        <w:szCs w:val="22"/>
      </w:rPr>
      <w:t>Factors Related to The</w:t>
    </w:r>
    <w:r w:rsidRPr="00892480">
      <w:rPr>
        <w:rFonts w:ascii="Garamond" w:hAnsi="Garamond"/>
        <w:sz w:val="20"/>
        <w:szCs w:val="22"/>
        <w:lang w:val="zh-CN"/>
      </w:rPr>
      <w:t xml:space="preserve"> </w:t>
    </w:r>
    <w:r w:rsidRPr="00892480">
      <w:rPr>
        <w:rFonts w:ascii="Garamond" w:hAnsi="Garamond"/>
        <w:sz w:val="20"/>
        <w:szCs w:val="22"/>
        <w:lang w:val="zh-CN"/>
      </w:rPr>
      <w:t xml:space="preserve">Real Costs </w:t>
    </w:r>
    <w:r w:rsidRPr="00892480">
      <w:rPr>
        <w:rFonts w:ascii="Garamond" w:hAnsi="Garamond"/>
        <w:sz w:val="20"/>
        <w:szCs w:val="22"/>
      </w:rPr>
      <w:t>for</w:t>
    </w:r>
    <w:r w:rsidRPr="00892480">
      <w:rPr>
        <w:rFonts w:ascii="Garamond" w:hAnsi="Garamond"/>
        <w:sz w:val="20"/>
        <w:szCs w:val="22"/>
        <w:lang w:val="zh-CN"/>
      </w:rPr>
      <w:t xml:space="preserve"> Stroke Patients </w:t>
    </w:r>
    <w:proofErr w:type="spellStart"/>
    <w:r w:rsidRPr="00892480">
      <w:rPr>
        <w:rFonts w:ascii="Garamond" w:hAnsi="Garamond"/>
        <w:sz w:val="20"/>
        <w:szCs w:val="22"/>
      </w:rPr>
      <w:t>i</w:t>
    </w:r>
    <w:proofErr w:type="spellEnd"/>
    <w:r w:rsidRPr="00892480">
      <w:rPr>
        <w:rFonts w:ascii="Garamond" w:hAnsi="Garamond"/>
        <w:sz w:val="20"/>
        <w:szCs w:val="22"/>
        <w:lang w:val="zh-CN"/>
      </w:rPr>
      <w:t xml:space="preserve">n </w:t>
    </w:r>
    <w:r w:rsidRPr="00892480">
      <w:rPr>
        <w:rFonts w:ascii="Garamond" w:hAnsi="Garamond"/>
        <w:sz w:val="20"/>
        <w:szCs w:val="22"/>
      </w:rPr>
      <w:t xml:space="preserve">The </w:t>
    </w:r>
    <w:r w:rsidRPr="00892480">
      <w:rPr>
        <w:rFonts w:ascii="Garamond" w:hAnsi="Garamond"/>
        <w:sz w:val="20"/>
        <w:szCs w:val="22"/>
        <w:lang w:val="zh-CN"/>
      </w:rPr>
      <w:t>Hospitals</w:t>
    </w:r>
    <w:r w:rsidRPr="00892480">
      <w:rPr>
        <w:rFonts w:ascii="Garamond" w:hAnsi="Garamond"/>
        <w:sz w:val="20"/>
        <w:szCs w:val="22"/>
      </w:rPr>
      <w:t>,</w:t>
    </w:r>
    <w:r w:rsidRPr="00892480">
      <w:rPr>
        <w:rFonts w:ascii="Garamond" w:hAnsi="Garamond"/>
        <w:sz w:val="20"/>
        <w:szCs w:val="22"/>
        <w:lang w:val="zh-CN"/>
      </w:rPr>
      <w:t xml:space="preserve"> Yogyakarta </w:t>
    </w:r>
    <w:r w:rsidRPr="00892480">
      <w:rPr>
        <w:rFonts w:ascii="Garamond" w:hAnsi="Garamond"/>
        <w:sz w:val="20"/>
        <w:szCs w:val="22"/>
      </w:rPr>
      <w:t>City, Indonesia</w:t>
    </w:r>
  </w:p>
  <w:p w14:paraId="5D172485" w14:textId="48E46DBE" w:rsidR="002238CA" w:rsidRDefault="00892480" w:rsidP="00E94E49">
    <w:pPr>
      <w:pStyle w:val="Header"/>
      <w:tabs>
        <w:tab w:val="clear" w:pos="4320"/>
        <w:tab w:val="clear" w:pos="8640"/>
        <w:tab w:val="left" w:pos="630"/>
      </w:tabs>
      <w:jc w:val="both"/>
      <w:rPr>
        <w:rFonts w:ascii="Garamond" w:hAnsi="Garamond"/>
        <w:sz w:val="20"/>
        <w:szCs w:val="22"/>
        <w:lang w:val="en-GB"/>
      </w:rPr>
    </w:pPr>
    <w:r w:rsidRPr="00892480">
      <w:rPr>
        <w:rFonts w:ascii="Garamond" w:hAnsi="Garamond"/>
        <w:sz w:val="20"/>
        <w:szCs w:val="22"/>
        <w:lang w:val="zh-CN"/>
      </w:rPr>
      <w:t>Muslimah</w:t>
    </w:r>
    <w:r w:rsidRPr="00892480">
      <w:rPr>
        <w:rFonts w:ascii="Garamond" w:hAnsi="Garamond"/>
        <w:sz w:val="20"/>
        <w:szCs w:val="22"/>
      </w:rPr>
      <w:t xml:space="preserve"> </w:t>
    </w:r>
    <w:r w:rsidR="008134A3">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D584" w14:textId="201FB4E9"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 xml:space="preserve">The </w:t>
    </w:r>
    <w:r w:rsidR="00147D38">
      <w:rPr>
        <w:rFonts w:ascii="Garamond" w:hAnsi="Garamond"/>
        <w:sz w:val="20"/>
        <w:szCs w:val="22"/>
      </w:rPr>
      <w:t>Nigerian Health Journal</w:t>
    </w:r>
    <w:r w:rsidR="00147D38">
      <w:rPr>
        <w:rFonts w:ascii="Garamond" w:hAnsi="Garamond"/>
        <w:sz w:val="20"/>
        <w:szCs w:val="22"/>
      </w:rPr>
      <w:tab/>
      <w:t>; Volume 26, Issue 1 – March, 2026</w:t>
    </w:r>
  </w:p>
  <w:p w14:paraId="0294E013" w14:textId="77777777" w:rsidR="00892480" w:rsidRPr="00892480" w:rsidRDefault="00892480" w:rsidP="00892480">
    <w:pPr>
      <w:pStyle w:val="Header"/>
      <w:tabs>
        <w:tab w:val="left" w:pos="630"/>
      </w:tabs>
      <w:rPr>
        <w:rFonts w:ascii="Garamond" w:hAnsi="Garamond"/>
        <w:sz w:val="20"/>
        <w:szCs w:val="22"/>
        <w:lang w:val="id-ID"/>
      </w:rPr>
    </w:pPr>
    <w:r w:rsidRPr="00892480">
      <w:rPr>
        <w:rFonts w:ascii="Garamond" w:hAnsi="Garamond"/>
        <w:sz w:val="20"/>
        <w:szCs w:val="22"/>
      </w:rPr>
      <w:t>Factors Related to The</w:t>
    </w:r>
    <w:r w:rsidRPr="00892480">
      <w:rPr>
        <w:rFonts w:ascii="Garamond" w:hAnsi="Garamond"/>
        <w:sz w:val="20"/>
        <w:szCs w:val="22"/>
        <w:lang w:val="zh-CN"/>
      </w:rPr>
      <w:t xml:space="preserve"> </w:t>
    </w:r>
    <w:r w:rsidRPr="00892480">
      <w:rPr>
        <w:rFonts w:ascii="Garamond" w:hAnsi="Garamond"/>
        <w:sz w:val="20"/>
        <w:szCs w:val="22"/>
        <w:lang w:val="zh-CN"/>
      </w:rPr>
      <w:t xml:space="preserve">Real Costs </w:t>
    </w:r>
    <w:r w:rsidRPr="00892480">
      <w:rPr>
        <w:rFonts w:ascii="Garamond" w:hAnsi="Garamond"/>
        <w:sz w:val="20"/>
        <w:szCs w:val="22"/>
      </w:rPr>
      <w:t>for</w:t>
    </w:r>
    <w:r w:rsidRPr="00892480">
      <w:rPr>
        <w:rFonts w:ascii="Garamond" w:hAnsi="Garamond"/>
        <w:sz w:val="20"/>
        <w:szCs w:val="22"/>
        <w:lang w:val="zh-CN"/>
      </w:rPr>
      <w:t xml:space="preserve"> Stroke Patients </w:t>
    </w:r>
    <w:proofErr w:type="spellStart"/>
    <w:r w:rsidRPr="00892480">
      <w:rPr>
        <w:rFonts w:ascii="Garamond" w:hAnsi="Garamond"/>
        <w:sz w:val="20"/>
        <w:szCs w:val="22"/>
      </w:rPr>
      <w:t>i</w:t>
    </w:r>
    <w:proofErr w:type="spellEnd"/>
    <w:r w:rsidRPr="00892480">
      <w:rPr>
        <w:rFonts w:ascii="Garamond" w:hAnsi="Garamond"/>
        <w:sz w:val="20"/>
        <w:szCs w:val="22"/>
        <w:lang w:val="zh-CN"/>
      </w:rPr>
      <w:t xml:space="preserve">n </w:t>
    </w:r>
    <w:r w:rsidRPr="00892480">
      <w:rPr>
        <w:rFonts w:ascii="Garamond" w:hAnsi="Garamond"/>
        <w:sz w:val="20"/>
        <w:szCs w:val="22"/>
      </w:rPr>
      <w:t xml:space="preserve">The </w:t>
    </w:r>
    <w:r w:rsidRPr="00892480">
      <w:rPr>
        <w:rFonts w:ascii="Garamond" w:hAnsi="Garamond"/>
        <w:sz w:val="20"/>
        <w:szCs w:val="22"/>
        <w:lang w:val="zh-CN"/>
      </w:rPr>
      <w:t>Hospitals</w:t>
    </w:r>
    <w:r w:rsidRPr="00892480">
      <w:rPr>
        <w:rFonts w:ascii="Garamond" w:hAnsi="Garamond"/>
        <w:sz w:val="20"/>
        <w:szCs w:val="22"/>
      </w:rPr>
      <w:t>,</w:t>
    </w:r>
    <w:r w:rsidRPr="00892480">
      <w:rPr>
        <w:rFonts w:ascii="Garamond" w:hAnsi="Garamond"/>
        <w:sz w:val="20"/>
        <w:szCs w:val="22"/>
        <w:lang w:val="zh-CN"/>
      </w:rPr>
      <w:t xml:space="preserve"> Yogyakarta </w:t>
    </w:r>
    <w:r w:rsidRPr="00892480">
      <w:rPr>
        <w:rFonts w:ascii="Garamond" w:hAnsi="Garamond"/>
        <w:sz w:val="20"/>
        <w:szCs w:val="22"/>
      </w:rPr>
      <w:t>City, Indonesia</w:t>
    </w:r>
  </w:p>
  <w:p w14:paraId="2464D8D3" w14:textId="77777777" w:rsidR="00892480" w:rsidRDefault="00892480" w:rsidP="00892480">
    <w:pPr>
      <w:pStyle w:val="Header"/>
      <w:tabs>
        <w:tab w:val="clear" w:pos="4320"/>
        <w:tab w:val="clear" w:pos="8640"/>
        <w:tab w:val="left" w:pos="630"/>
      </w:tabs>
      <w:jc w:val="both"/>
      <w:rPr>
        <w:rFonts w:ascii="Garamond" w:hAnsi="Garamond"/>
        <w:sz w:val="20"/>
        <w:szCs w:val="22"/>
        <w:lang w:val="en-GB"/>
      </w:rPr>
    </w:pPr>
    <w:r w:rsidRPr="00892480">
      <w:rPr>
        <w:rFonts w:ascii="Garamond" w:hAnsi="Garamond"/>
        <w:sz w:val="20"/>
        <w:szCs w:val="22"/>
        <w:lang w:val="zh-CN"/>
      </w:rPr>
      <w:t>Muslimah</w:t>
    </w:r>
    <w:r w:rsidRPr="00892480">
      <w:rPr>
        <w:rFonts w:ascii="Garamond" w:hAnsi="Garamond"/>
        <w:sz w:val="20"/>
        <w:szCs w:val="22"/>
      </w:rPr>
      <w:t xml:space="preserve"> </w:t>
    </w:r>
    <w:r>
      <w:rPr>
        <w:rFonts w:ascii="Garamond" w:hAnsi="Garamond"/>
        <w:sz w:val="20"/>
        <w:szCs w:val="22"/>
      </w:rPr>
      <w:t>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6FC337C7"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 xml:space="preserve">The </w:t>
    </w:r>
    <w:r w:rsidR="00147D38">
      <w:rPr>
        <w:rFonts w:ascii="Garamond" w:hAnsi="Garamond"/>
        <w:sz w:val="20"/>
        <w:szCs w:val="22"/>
      </w:rPr>
      <w:t>Nigerian Health Journal</w:t>
    </w:r>
    <w:r w:rsidR="00147D38">
      <w:rPr>
        <w:rFonts w:ascii="Garamond" w:hAnsi="Garamond"/>
        <w:sz w:val="20"/>
        <w:szCs w:val="22"/>
      </w:rPr>
      <w:tab/>
      <w:t>; Volume 26, Issue 1 – March, 2026</w:t>
    </w:r>
  </w:p>
  <w:p w14:paraId="2B74D7AD" w14:textId="77777777" w:rsidR="00892480" w:rsidRPr="00892480" w:rsidRDefault="00892480" w:rsidP="00892480">
    <w:pPr>
      <w:pStyle w:val="Header"/>
      <w:tabs>
        <w:tab w:val="left" w:pos="630"/>
      </w:tabs>
      <w:rPr>
        <w:rFonts w:ascii="Garamond" w:hAnsi="Garamond"/>
        <w:sz w:val="20"/>
        <w:szCs w:val="22"/>
        <w:lang w:val="id-ID"/>
      </w:rPr>
    </w:pPr>
    <w:r w:rsidRPr="00892480">
      <w:rPr>
        <w:rFonts w:ascii="Garamond" w:hAnsi="Garamond"/>
        <w:sz w:val="20"/>
        <w:szCs w:val="22"/>
      </w:rPr>
      <w:t>Factors Related to The</w:t>
    </w:r>
    <w:r w:rsidRPr="00892480">
      <w:rPr>
        <w:rFonts w:ascii="Garamond" w:hAnsi="Garamond"/>
        <w:sz w:val="20"/>
        <w:szCs w:val="22"/>
        <w:lang w:val="zh-CN"/>
      </w:rPr>
      <w:t xml:space="preserve"> </w:t>
    </w:r>
    <w:r w:rsidRPr="00892480">
      <w:rPr>
        <w:rFonts w:ascii="Garamond" w:hAnsi="Garamond"/>
        <w:sz w:val="20"/>
        <w:szCs w:val="22"/>
        <w:lang w:val="zh-CN"/>
      </w:rPr>
      <w:t xml:space="preserve">Real Costs </w:t>
    </w:r>
    <w:r w:rsidRPr="00892480">
      <w:rPr>
        <w:rFonts w:ascii="Garamond" w:hAnsi="Garamond"/>
        <w:sz w:val="20"/>
        <w:szCs w:val="22"/>
      </w:rPr>
      <w:t>for</w:t>
    </w:r>
    <w:r w:rsidRPr="00892480">
      <w:rPr>
        <w:rFonts w:ascii="Garamond" w:hAnsi="Garamond"/>
        <w:sz w:val="20"/>
        <w:szCs w:val="22"/>
        <w:lang w:val="zh-CN"/>
      </w:rPr>
      <w:t xml:space="preserve"> Stroke Patients </w:t>
    </w:r>
    <w:proofErr w:type="spellStart"/>
    <w:r w:rsidRPr="00892480">
      <w:rPr>
        <w:rFonts w:ascii="Garamond" w:hAnsi="Garamond"/>
        <w:sz w:val="20"/>
        <w:szCs w:val="22"/>
      </w:rPr>
      <w:t>i</w:t>
    </w:r>
    <w:proofErr w:type="spellEnd"/>
    <w:r w:rsidRPr="00892480">
      <w:rPr>
        <w:rFonts w:ascii="Garamond" w:hAnsi="Garamond"/>
        <w:sz w:val="20"/>
        <w:szCs w:val="22"/>
        <w:lang w:val="zh-CN"/>
      </w:rPr>
      <w:t xml:space="preserve">n </w:t>
    </w:r>
    <w:r w:rsidRPr="00892480">
      <w:rPr>
        <w:rFonts w:ascii="Garamond" w:hAnsi="Garamond"/>
        <w:sz w:val="20"/>
        <w:szCs w:val="22"/>
      </w:rPr>
      <w:t xml:space="preserve">The </w:t>
    </w:r>
    <w:r w:rsidRPr="00892480">
      <w:rPr>
        <w:rFonts w:ascii="Garamond" w:hAnsi="Garamond"/>
        <w:sz w:val="20"/>
        <w:szCs w:val="22"/>
        <w:lang w:val="zh-CN"/>
      </w:rPr>
      <w:t>Hospitals</w:t>
    </w:r>
    <w:r w:rsidRPr="00892480">
      <w:rPr>
        <w:rFonts w:ascii="Garamond" w:hAnsi="Garamond"/>
        <w:sz w:val="20"/>
        <w:szCs w:val="22"/>
      </w:rPr>
      <w:t>,</w:t>
    </w:r>
    <w:r w:rsidRPr="00892480">
      <w:rPr>
        <w:rFonts w:ascii="Garamond" w:hAnsi="Garamond"/>
        <w:sz w:val="20"/>
        <w:szCs w:val="22"/>
        <w:lang w:val="zh-CN"/>
      </w:rPr>
      <w:t xml:space="preserve"> Yogyakarta </w:t>
    </w:r>
    <w:r w:rsidRPr="00892480">
      <w:rPr>
        <w:rFonts w:ascii="Garamond" w:hAnsi="Garamond"/>
        <w:sz w:val="20"/>
        <w:szCs w:val="22"/>
      </w:rPr>
      <w:t>City, Indonesia</w:t>
    </w:r>
  </w:p>
  <w:p w14:paraId="3C82D792" w14:textId="77777777" w:rsidR="00892480" w:rsidRDefault="00892480" w:rsidP="00892480">
    <w:pPr>
      <w:pStyle w:val="Header"/>
      <w:tabs>
        <w:tab w:val="clear" w:pos="4320"/>
        <w:tab w:val="clear" w:pos="8640"/>
        <w:tab w:val="left" w:pos="630"/>
      </w:tabs>
      <w:jc w:val="both"/>
      <w:rPr>
        <w:rFonts w:ascii="Garamond" w:hAnsi="Garamond"/>
        <w:sz w:val="20"/>
        <w:szCs w:val="22"/>
        <w:lang w:val="en-GB"/>
      </w:rPr>
    </w:pPr>
    <w:r w:rsidRPr="00892480">
      <w:rPr>
        <w:rFonts w:ascii="Garamond" w:hAnsi="Garamond"/>
        <w:sz w:val="20"/>
        <w:szCs w:val="22"/>
        <w:lang w:val="zh-CN"/>
      </w:rPr>
      <w:t>Muslimah</w:t>
    </w:r>
    <w:r w:rsidRPr="00892480">
      <w:rPr>
        <w:rFonts w:ascii="Garamond" w:hAnsi="Garamond"/>
        <w:sz w:val="20"/>
        <w:szCs w:val="22"/>
      </w:rPr>
      <w:t xml:space="preserve"> </w:t>
    </w:r>
    <w:r>
      <w:rPr>
        <w:rFonts w:ascii="Garamond" w:hAnsi="Garamond"/>
        <w:sz w:val="20"/>
        <w:szCs w:val="22"/>
      </w:rPr>
      <w:t>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7874"/>
    <w:rsid w:val="00030449"/>
    <w:rsid w:val="00030481"/>
    <w:rsid w:val="000304B6"/>
    <w:rsid w:val="000364C9"/>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025A"/>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47D38"/>
    <w:rsid w:val="001530D1"/>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5BC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B38"/>
    <w:rsid w:val="002C5D0E"/>
    <w:rsid w:val="002C6DD9"/>
    <w:rsid w:val="002D2DC8"/>
    <w:rsid w:val="002D7048"/>
    <w:rsid w:val="002E1E5C"/>
    <w:rsid w:val="002E2DB5"/>
    <w:rsid w:val="002E4C28"/>
    <w:rsid w:val="00300343"/>
    <w:rsid w:val="0030052D"/>
    <w:rsid w:val="00300F04"/>
    <w:rsid w:val="00303569"/>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0948"/>
    <w:rsid w:val="00346176"/>
    <w:rsid w:val="00346DBC"/>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40C"/>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113D"/>
    <w:rsid w:val="004E4397"/>
    <w:rsid w:val="004E5FAE"/>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E5FC6"/>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7957"/>
    <w:rsid w:val="00627E1F"/>
    <w:rsid w:val="00627F71"/>
    <w:rsid w:val="00633617"/>
    <w:rsid w:val="006337C2"/>
    <w:rsid w:val="0063483A"/>
    <w:rsid w:val="00634896"/>
    <w:rsid w:val="006359CB"/>
    <w:rsid w:val="0064187E"/>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50B"/>
    <w:rsid w:val="006739B3"/>
    <w:rsid w:val="006767E6"/>
    <w:rsid w:val="00677628"/>
    <w:rsid w:val="00682AD5"/>
    <w:rsid w:val="0068559D"/>
    <w:rsid w:val="006914B1"/>
    <w:rsid w:val="006A11FA"/>
    <w:rsid w:val="006A2484"/>
    <w:rsid w:val="006A3912"/>
    <w:rsid w:val="006A60E9"/>
    <w:rsid w:val="006B0F53"/>
    <w:rsid w:val="006B1305"/>
    <w:rsid w:val="006B1C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265BD"/>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43A4"/>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2480"/>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A75CF"/>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431E"/>
    <w:rsid w:val="00A277A9"/>
    <w:rsid w:val="00A33286"/>
    <w:rsid w:val="00A337ED"/>
    <w:rsid w:val="00A36667"/>
    <w:rsid w:val="00A41D2E"/>
    <w:rsid w:val="00A41DF1"/>
    <w:rsid w:val="00A421BC"/>
    <w:rsid w:val="00A44D5D"/>
    <w:rsid w:val="00A44F8C"/>
    <w:rsid w:val="00A46D12"/>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D612E"/>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17E75"/>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407E"/>
    <w:rsid w:val="00B62091"/>
    <w:rsid w:val="00B67F2A"/>
    <w:rsid w:val="00B71A3D"/>
    <w:rsid w:val="00B73997"/>
    <w:rsid w:val="00B74637"/>
    <w:rsid w:val="00B82472"/>
    <w:rsid w:val="00B85DFB"/>
    <w:rsid w:val="00B865B0"/>
    <w:rsid w:val="00B8785C"/>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E5B"/>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4267E"/>
    <w:rsid w:val="00C500F6"/>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36CA"/>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BFC"/>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0F6B"/>
    <w:rsid w:val="00E835D9"/>
    <w:rsid w:val="00E937A4"/>
    <w:rsid w:val="00E94E49"/>
    <w:rsid w:val="00EA40AB"/>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3324"/>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limah@unimus.ac.id"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909"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909"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20654</Words>
  <Characters>117729</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2026-04-04T17:44:00Z</dcterms:created>
  <dcterms:modified xsi:type="dcterms:W3CDTF">2026-04-06T05:48:00Z</dcterms:modified>
</cp:coreProperties>
</file>