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7747420D" w:rsidR="006732D7" w:rsidRPr="000931E7" w:rsidRDefault="00690BCD"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Case series</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04C8EB88">
                <wp:simplePos x="0" y="0"/>
                <wp:positionH relativeFrom="column">
                  <wp:posOffset>-238539</wp:posOffset>
                </wp:positionH>
                <wp:positionV relativeFrom="paragraph">
                  <wp:posOffset>122997</wp:posOffset>
                </wp:positionV>
                <wp:extent cx="6419850" cy="954156"/>
                <wp:effectExtent l="0" t="0" r="19050" b="1778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954156"/>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79B06AF" id="Round Diagonal Corner Rectangle 262" o:spid="_x0000_s1026" style="position:absolute;margin-left:-18.8pt;margin-top:9.7pt;width:505.5pt;height:75.1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954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" path="m159029,l6419850,r,l6419850,795127v,87829,-71200,159029,-159029,159029l,954156r,l,159029c,71200,71200,,159029,xe" fillcolor="#1a601c" strokecolor="#385723" strokeweight="1pt">
                <v:stroke joinstyle="miter"/>
                <v:path arrowok="t" o:connecttype="custom" o:connectlocs="159029,0;6419850,0;6419850,0;6419850,795127;6260821,954156;0,954156;0,954156;0,159029;159029,0" o:connectangles="0,0,0,0,0,0,0,0,0"/>
              </v:shape>
            </w:pict>
          </mc:Fallback>
        </mc:AlternateContent>
      </w:r>
    </w:p>
    <w:p w14:paraId="15C19BC8" w14:textId="1BDBDDB8" w:rsidR="00690BCD" w:rsidRDefault="00690BCD" w:rsidP="00690BCD">
      <w:pPr>
        <w:pBdr>
          <w:bottom w:val="single" w:sz="6" w:space="1" w:color="auto"/>
        </w:pBdr>
        <w:jc w:val="both"/>
        <w:rPr>
          <w:rFonts w:ascii="Garamond" w:hAnsi="Garamond" w:cs="Times New Roman"/>
          <w:b/>
          <w:bCs/>
          <w:color w:val="FFFFFF" w:themeColor="background1"/>
          <w:sz w:val="32"/>
          <w:szCs w:val="32"/>
          <w:lang w:val="en-GB"/>
        </w:rPr>
      </w:pPr>
      <w:bookmarkStart w:id="1" w:name="_top"/>
      <w:bookmarkStart w:id="2" w:name="_Hlk192762964"/>
      <w:bookmarkStart w:id="3" w:name="_Hlk192836332"/>
      <w:bookmarkEnd w:id="1"/>
      <w:r w:rsidRPr="00690BCD">
        <w:rPr>
          <w:rFonts w:ascii="Garamond" w:hAnsi="Garamond" w:cs="Times New Roman"/>
          <w:b/>
          <w:bCs/>
          <w:color w:val="FFFFFF" w:themeColor="background1"/>
          <w:sz w:val="32"/>
          <w:szCs w:val="32"/>
          <w:lang w:val="en-GB"/>
        </w:rPr>
        <w:t xml:space="preserve">Intestinal Obstruction </w:t>
      </w:r>
      <w:r>
        <w:rPr>
          <w:rFonts w:ascii="Garamond" w:hAnsi="Garamond" w:cs="Times New Roman"/>
          <w:b/>
          <w:bCs/>
          <w:color w:val="FFFFFF" w:themeColor="background1"/>
          <w:sz w:val="32"/>
          <w:szCs w:val="32"/>
          <w:lang w:val="en-GB"/>
        </w:rPr>
        <w:t>i</w:t>
      </w:r>
      <w:r w:rsidRPr="00690BCD">
        <w:rPr>
          <w:rFonts w:ascii="Garamond" w:hAnsi="Garamond" w:cs="Times New Roman"/>
          <w:b/>
          <w:bCs/>
          <w:color w:val="FFFFFF" w:themeColor="background1"/>
          <w:sz w:val="32"/>
          <w:szCs w:val="32"/>
          <w:lang w:val="en-GB"/>
        </w:rPr>
        <w:t xml:space="preserve">n Childhood Caused </w:t>
      </w:r>
      <w:r w:rsidR="000479FB" w:rsidRPr="00690BCD">
        <w:rPr>
          <w:rFonts w:ascii="Garamond" w:hAnsi="Garamond" w:cs="Times New Roman"/>
          <w:b/>
          <w:bCs/>
          <w:color w:val="FFFFFF" w:themeColor="background1"/>
          <w:sz w:val="32"/>
          <w:szCs w:val="32"/>
          <w:lang w:val="en-GB"/>
        </w:rPr>
        <w:t>by</w:t>
      </w:r>
      <w:r w:rsidRPr="00690BCD">
        <w:rPr>
          <w:rFonts w:ascii="Garamond" w:hAnsi="Garamond" w:cs="Times New Roman"/>
          <w:b/>
          <w:bCs/>
          <w:color w:val="FFFFFF" w:themeColor="background1"/>
          <w:sz w:val="32"/>
          <w:szCs w:val="32"/>
          <w:lang w:val="en-GB"/>
        </w:rPr>
        <w:t xml:space="preserve"> Intussusception: Experience </w:t>
      </w:r>
      <w:r>
        <w:rPr>
          <w:rFonts w:ascii="Garamond" w:hAnsi="Garamond" w:cs="Times New Roman"/>
          <w:b/>
          <w:bCs/>
          <w:color w:val="FFFFFF" w:themeColor="background1"/>
          <w:sz w:val="32"/>
          <w:szCs w:val="32"/>
          <w:lang w:val="en-GB"/>
        </w:rPr>
        <w:t>a</w:t>
      </w:r>
      <w:r w:rsidRPr="00690BCD">
        <w:rPr>
          <w:rFonts w:ascii="Garamond" w:hAnsi="Garamond" w:cs="Times New Roman"/>
          <w:b/>
          <w:bCs/>
          <w:color w:val="FFFFFF" w:themeColor="background1"/>
          <w:sz w:val="32"/>
          <w:szCs w:val="32"/>
          <w:lang w:val="en-GB"/>
        </w:rPr>
        <w:t>t A Tertiary Hospital</w:t>
      </w:r>
      <w:r>
        <w:rPr>
          <w:rFonts w:ascii="Garamond" w:hAnsi="Garamond" w:cs="Times New Roman"/>
          <w:b/>
          <w:bCs/>
          <w:color w:val="FFFFFF" w:themeColor="background1"/>
          <w:sz w:val="32"/>
          <w:szCs w:val="32"/>
          <w:lang w:val="en-GB"/>
        </w:rPr>
        <w:t xml:space="preserve"> i</w:t>
      </w:r>
      <w:r w:rsidRPr="00690BCD">
        <w:rPr>
          <w:rFonts w:ascii="Garamond" w:hAnsi="Garamond" w:cs="Times New Roman"/>
          <w:b/>
          <w:bCs/>
          <w:color w:val="FFFFFF" w:themeColor="background1"/>
          <w:sz w:val="32"/>
          <w:szCs w:val="32"/>
          <w:lang w:val="en-GB"/>
        </w:rPr>
        <w:t>n Southern Nigeria</w:t>
      </w:r>
    </w:p>
    <w:p w14:paraId="0D3FA2BA" w14:textId="60F0F0F4" w:rsidR="000368E5" w:rsidRDefault="0024597C" w:rsidP="00F20CA0">
      <w:pPr>
        <w:pBdr>
          <w:bottom w:val="single" w:sz="6" w:space="1" w:color="auto"/>
        </w:pBdr>
        <w:jc w:val="both"/>
        <w:rPr>
          <w:rFonts w:ascii="Garamond" w:hAnsi="Garamond"/>
          <w:b/>
          <w:bCs/>
          <w:i/>
          <w:iCs/>
          <w:color w:val="FFFFFF" w:themeColor="background1"/>
          <w:sz w:val="22"/>
          <w:szCs w:val="22"/>
        </w:rPr>
      </w:pPr>
      <w:r w:rsidRPr="0024597C">
        <w:rPr>
          <w:rFonts w:ascii="Garamond" w:hAnsi="Garamond"/>
          <w:b/>
          <w:bCs/>
          <w:i/>
          <w:iCs/>
          <w:color w:val="FFFFFF" w:themeColor="background1"/>
          <w:sz w:val="22"/>
          <w:szCs w:val="22"/>
          <w:vertAlign w:val="superscript"/>
        </w:rPr>
        <w:t>1</w:t>
      </w:r>
      <w:r w:rsidR="0056280E" w:rsidRPr="0056280E">
        <w:rPr>
          <w:rFonts w:ascii="Garamond" w:hAnsi="Garamond"/>
          <w:b/>
          <w:bCs/>
          <w:i/>
          <w:iCs/>
          <w:color w:val="FFFFFF" w:themeColor="background1"/>
          <w:sz w:val="22"/>
          <w:szCs w:val="22"/>
        </w:rPr>
        <w:t>C</w:t>
      </w:r>
      <w:proofErr w:type="spellStart"/>
      <w:r w:rsidR="0056280E" w:rsidRPr="0056280E">
        <w:rPr>
          <w:rFonts w:ascii="Garamond" w:hAnsi="Garamond"/>
          <w:b/>
          <w:bCs/>
          <w:i/>
          <w:iCs/>
          <w:color w:val="FFFFFF" w:themeColor="background1"/>
          <w:sz w:val="22"/>
          <w:szCs w:val="22"/>
          <w:lang w:val="en-GB"/>
        </w:rPr>
        <w:t>higbundu</w:t>
      </w:r>
      <w:proofErr w:type="spellEnd"/>
      <w:r w:rsidR="0056280E" w:rsidRPr="0056280E">
        <w:rPr>
          <w:rFonts w:ascii="Garamond" w:hAnsi="Garamond"/>
          <w:b/>
          <w:bCs/>
          <w:i/>
          <w:iCs/>
          <w:color w:val="FFFFFF" w:themeColor="background1"/>
          <w:sz w:val="22"/>
          <w:szCs w:val="22"/>
          <w:lang w:val="en-GB"/>
        </w:rPr>
        <w:t xml:space="preserve"> </w:t>
      </w:r>
      <w:r w:rsidR="0056280E" w:rsidRPr="0056280E">
        <w:rPr>
          <w:rFonts w:ascii="Garamond" w:hAnsi="Garamond"/>
          <w:b/>
          <w:bCs/>
          <w:i/>
          <w:iCs/>
          <w:color w:val="FFFFFF" w:themeColor="background1"/>
          <w:sz w:val="22"/>
          <w:szCs w:val="22"/>
        </w:rPr>
        <w:t>C</w:t>
      </w:r>
      <w:r w:rsidR="0056280E">
        <w:rPr>
          <w:rFonts w:ascii="Garamond" w:hAnsi="Garamond"/>
          <w:b/>
          <w:bCs/>
          <w:i/>
          <w:iCs/>
          <w:color w:val="FFFFFF" w:themeColor="background1"/>
          <w:sz w:val="22"/>
          <w:szCs w:val="22"/>
        </w:rPr>
        <w:t>.</w:t>
      </w:r>
      <w:r w:rsidR="0056280E" w:rsidRPr="0056280E">
        <w:rPr>
          <w:rFonts w:ascii="Garamond" w:hAnsi="Garamond"/>
          <w:b/>
          <w:bCs/>
          <w:i/>
          <w:iCs/>
          <w:color w:val="FFFFFF" w:themeColor="background1"/>
          <w:sz w:val="22"/>
          <w:szCs w:val="22"/>
        </w:rPr>
        <w:t xml:space="preserve"> </w:t>
      </w:r>
      <w:proofErr w:type="spellStart"/>
      <w:r w:rsidR="0056280E">
        <w:rPr>
          <w:rFonts w:ascii="Garamond" w:hAnsi="Garamond"/>
          <w:b/>
          <w:bCs/>
          <w:i/>
          <w:iCs/>
          <w:color w:val="FFFFFF" w:themeColor="background1"/>
          <w:sz w:val="22"/>
          <w:szCs w:val="22"/>
        </w:rPr>
        <w:t>Nwokoro</w:t>
      </w:r>
      <w:proofErr w:type="spellEnd"/>
      <w:r w:rsidR="002265FA">
        <w:rPr>
          <w:rFonts w:ascii="Garamond" w:hAnsi="Garamond"/>
          <w:b/>
          <w:bCs/>
          <w:i/>
          <w:iCs/>
          <w:color w:val="FFFFFF" w:themeColor="background1"/>
          <w:sz w:val="22"/>
          <w:szCs w:val="22"/>
        </w:rPr>
        <w:t xml:space="preserve">, </w:t>
      </w:r>
      <w:r w:rsidR="002265FA" w:rsidRPr="002265FA">
        <w:rPr>
          <w:rFonts w:ascii="Garamond" w:hAnsi="Garamond"/>
          <w:b/>
          <w:bCs/>
          <w:i/>
          <w:iCs/>
          <w:color w:val="FFFFFF" w:themeColor="background1"/>
          <w:sz w:val="22"/>
          <w:szCs w:val="22"/>
          <w:vertAlign w:val="superscript"/>
        </w:rPr>
        <w:t>2</w:t>
      </w:r>
      <w:r w:rsidR="0056280E" w:rsidRPr="0056280E">
        <w:rPr>
          <w:rFonts w:ascii="Garamond" w:hAnsi="Garamond"/>
          <w:b/>
          <w:bCs/>
          <w:i/>
          <w:iCs/>
          <w:color w:val="FFFFFF" w:themeColor="background1"/>
          <w:sz w:val="22"/>
          <w:szCs w:val="22"/>
        </w:rPr>
        <w:t>Lukmon O</w:t>
      </w:r>
      <w:r w:rsidR="0056280E">
        <w:rPr>
          <w:rFonts w:ascii="Garamond" w:hAnsi="Garamond"/>
          <w:b/>
          <w:bCs/>
          <w:i/>
          <w:iCs/>
          <w:color w:val="FFFFFF" w:themeColor="background1"/>
          <w:sz w:val="22"/>
          <w:szCs w:val="22"/>
        </w:rPr>
        <w:t xml:space="preserve">. </w:t>
      </w:r>
      <w:proofErr w:type="spellStart"/>
      <w:r w:rsidR="0056280E">
        <w:rPr>
          <w:rFonts w:ascii="Garamond" w:hAnsi="Garamond"/>
          <w:b/>
          <w:bCs/>
          <w:i/>
          <w:iCs/>
          <w:color w:val="FFFFFF" w:themeColor="background1"/>
          <w:sz w:val="22"/>
          <w:szCs w:val="22"/>
        </w:rPr>
        <w:t>Amosu</w:t>
      </w:r>
      <w:proofErr w:type="spellEnd"/>
      <w:r w:rsidR="002265FA">
        <w:rPr>
          <w:rFonts w:ascii="Garamond" w:hAnsi="Garamond"/>
          <w:b/>
          <w:bCs/>
          <w:i/>
          <w:iCs/>
          <w:color w:val="FFFFFF" w:themeColor="background1"/>
          <w:sz w:val="22"/>
          <w:szCs w:val="22"/>
        </w:rPr>
        <w:t xml:space="preserve">, </w:t>
      </w:r>
      <w:r w:rsidR="0056280E">
        <w:rPr>
          <w:rFonts w:ascii="Garamond" w:hAnsi="Garamond"/>
          <w:b/>
          <w:bCs/>
          <w:i/>
          <w:iCs/>
          <w:color w:val="FFFFFF" w:themeColor="background1"/>
          <w:sz w:val="22"/>
          <w:szCs w:val="22"/>
          <w:vertAlign w:val="superscript"/>
        </w:rPr>
        <w:t>2</w:t>
      </w:r>
      <w:r w:rsidR="0056280E" w:rsidRPr="0056280E">
        <w:rPr>
          <w:rFonts w:ascii="Garamond" w:hAnsi="Garamond"/>
          <w:b/>
          <w:bCs/>
          <w:i/>
          <w:iCs/>
          <w:color w:val="FFFFFF" w:themeColor="background1"/>
          <w:sz w:val="22"/>
          <w:szCs w:val="22"/>
        </w:rPr>
        <w:t>I</w:t>
      </w:r>
      <w:r w:rsidR="00F427D0">
        <w:rPr>
          <w:rFonts w:ascii="Garamond" w:hAnsi="Garamond"/>
          <w:b/>
          <w:bCs/>
          <w:i/>
          <w:iCs/>
          <w:color w:val="FFFFFF" w:themeColor="background1"/>
          <w:sz w:val="22"/>
          <w:szCs w:val="22"/>
        </w:rPr>
        <w:t xml:space="preserve">bukunoluwa O. Ogundele, </w:t>
      </w:r>
      <w:r w:rsidR="0056280E">
        <w:rPr>
          <w:rFonts w:ascii="Garamond" w:hAnsi="Garamond"/>
          <w:b/>
          <w:bCs/>
          <w:i/>
          <w:iCs/>
          <w:color w:val="FFFFFF" w:themeColor="background1"/>
          <w:sz w:val="22"/>
          <w:szCs w:val="22"/>
          <w:vertAlign w:val="superscript"/>
        </w:rPr>
        <w:t>3</w:t>
      </w:r>
      <w:r w:rsidR="00F427D0">
        <w:rPr>
          <w:rFonts w:ascii="Garamond" w:hAnsi="Garamond"/>
          <w:b/>
          <w:bCs/>
          <w:i/>
          <w:iCs/>
          <w:color w:val="FFFFFF" w:themeColor="background1"/>
          <w:sz w:val="22"/>
          <w:szCs w:val="22"/>
        </w:rPr>
        <w:t xml:space="preserve">Adewusi </w:t>
      </w:r>
      <w:r w:rsidR="00F53556">
        <w:rPr>
          <w:rFonts w:ascii="Garamond" w:hAnsi="Garamond"/>
          <w:b/>
          <w:bCs/>
          <w:i/>
          <w:iCs/>
          <w:color w:val="FFFFFF" w:themeColor="background1"/>
          <w:sz w:val="22"/>
          <w:szCs w:val="22"/>
        </w:rPr>
        <w:t>Oluwar</w:t>
      </w:r>
      <w:r w:rsidR="00F427D0">
        <w:rPr>
          <w:rFonts w:ascii="Garamond" w:hAnsi="Garamond"/>
          <w:b/>
          <w:bCs/>
          <w:i/>
          <w:iCs/>
          <w:color w:val="FFFFFF" w:themeColor="background1"/>
          <w:sz w:val="22"/>
          <w:szCs w:val="22"/>
        </w:rPr>
        <w:t xml:space="preserve">otimi Oso, </w:t>
      </w:r>
      <w:bookmarkStart w:id="4" w:name="_Hlk209348096"/>
      <w:bookmarkEnd w:id="2"/>
      <w:bookmarkEnd w:id="3"/>
      <w:r w:rsidR="000368E5">
        <w:rPr>
          <w:rFonts w:ascii="Garamond" w:hAnsi="Garamond"/>
          <w:b/>
          <w:bCs/>
          <w:i/>
          <w:iCs/>
          <w:color w:val="FFFFFF" w:themeColor="background1"/>
          <w:sz w:val="22"/>
          <w:szCs w:val="22"/>
          <w:vertAlign w:val="superscript"/>
        </w:rPr>
        <w:t>2</w:t>
      </w:r>
      <w:r w:rsidR="000368E5">
        <w:rPr>
          <w:rFonts w:ascii="Garamond" w:hAnsi="Garamond"/>
          <w:b/>
          <w:bCs/>
          <w:i/>
          <w:iCs/>
          <w:color w:val="FFFFFF" w:themeColor="background1"/>
          <w:sz w:val="22"/>
          <w:szCs w:val="22"/>
        </w:rPr>
        <w:t>A</w:t>
      </w:r>
      <w:r w:rsidR="00F427D0">
        <w:rPr>
          <w:rFonts w:ascii="Garamond" w:hAnsi="Garamond"/>
          <w:b/>
          <w:bCs/>
          <w:i/>
          <w:iCs/>
          <w:color w:val="FFFFFF" w:themeColor="background1"/>
          <w:sz w:val="22"/>
          <w:szCs w:val="22"/>
        </w:rPr>
        <w:t xml:space="preserve">dekunle A. Ajayi, </w:t>
      </w:r>
      <w:r w:rsidR="00F427D0">
        <w:rPr>
          <w:rFonts w:ascii="Garamond" w:hAnsi="Garamond"/>
          <w:b/>
          <w:bCs/>
          <w:i/>
          <w:iCs/>
          <w:color w:val="FFFFFF" w:themeColor="background1"/>
          <w:sz w:val="22"/>
          <w:szCs w:val="22"/>
          <w:vertAlign w:val="superscript"/>
        </w:rPr>
        <w:t>2</w:t>
      </w:r>
      <w:r w:rsidR="00F427D0">
        <w:rPr>
          <w:rFonts w:ascii="Garamond" w:hAnsi="Garamond"/>
          <w:b/>
          <w:bCs/>
          <w:i/>
          <w:iCs/>
          <w:color w:val="FFFFFF" w:themeColor="background1"/>
          <w:sz w:val="22"/>
          <w:szCs w:val="22"/>
        </w:rPr>
        <w:t xml:space="preserve">Abiodun B. </w:t>
      </w:r>
      <w:proofErr w:type="spellStart"/>
      <w:r w:rsidR="00F427D0">
        <w:rPr>
          <w:rFonts w:ascii="Garamond" w:hAnsi="Garamond"/>
          <w:b/>
          <w:bCs/>
          <w:i/>
          <w:iCs/>
          <w:color w:val="FFFFFF" w:themeColor="background1"/>
          <w:sz w:val="22"/>
          <w:szCs w:val="22"/>
        </w:rPr>
        <w:t>Igbagbolere</w:t>
      </w:r>
      <w:proofErr w:type="spellEnd"/>
      <w:r w:rsidR="00F427D0">
        <w:rPr>
          <w:rFonts w:ascii="Garamond" w:hAnsi="Garamond"/>
          <w:b/>
          <w:bCs/>
          <w:i/>
          <w:iCs/>
          <w:color w:val="FFFFFF" w:themeColor="background1"/>
          <w:sz w:val="22"/>
          <w:szCs w:val="22"/>
        </w:rPr>
        <w:t xml:space="preserve">, </w:t>
      </w:r>
      <w:r w:rsidR="00F427D0">
        <w:rPr>
          <w:rFonts w:ascii="Garamond" w:hAnsi="Garamond"/>
          <w:b/>
          <w:bCs/>
          <w:i/>
          <w:iCs/>
          <w:color w:val="FFFFFF" w:themeColor="background1"/>
          <w:sz w:val="22"/>
          <w:szCs w:val="22"/>
          <w:vertAlign w:val="superscript"/>
        </w:rPr>
        <w:t>2</w:t>
      </w:r>
      <w:r w:rsidR="00F427D0">
        <w:rPr>
          <w:rFonts w:ascii="Garamond" w:hAnsi="Garamond"/>
          <w:b/>
          <w:bCs/>
          <w:i/>
          <w:iCs/>
          <w:color w:val="FFFFFF" w:themeColor="background1"/>
          <w:sz w:val="22"/>
          <w:szCs w:val="22"/>
        </w:rPr>
        <w:t xml:space="preserve">Emmanuel </w:t>
      </w:r>
      <w:proofErr w:type="spellStart"/>
      <w:r w:rsidR="00F427D0">
        <w:rPr>
          <w:rFonts w:ascii="Garamond" w:hAnsi="Garamond"/>
          <w:b/>
          <w:bCs/>
          <w:i/>
          <w:iCs/>
          <w:color w:val="FFFFFF" w:themeColor="background1"/>
          <w:sz w:val="22"/>
          <w:szCs w:val="22"/>
        </w:rPr>
        <w:t>Kalesanwo</w:t>
      </w:r>
      <w:proofErr w:type="spellEnd"/>
      <w:r w:rsidR="00F427D0">
        <w:rPr>
          <w:rFonts w:ascii="Garamond" w:hAnsi="Garamond"/>
          <w:b/>
          <w:bCs/>
          <w:i/>
          <w:iCs/>
          <w:color w:val="FFFFFF" w:themeColor="background1"/>
          <w:sz w:val="22"/>
          <w:szCs w:val="22"/>
        </w:rPr>
        <w:t xml:space="preserve">, </w:t>
      </w:r>
      <w:r w:rsidR="00F427D0">
        <w:rPr>
          <w:rFonts w:ascii="Garamond" w:hAnsi="Garamond"/>
          <w:b/>
          <w:bCs/>
          <w:i/>
          <w:iCs/>
          <w:color w:val="FFFFFF" w:themeColor="background1"/>
          <w:sz w:val="22"/>
          <w:szCs w:val="22"/>
          <w:vertAlign w:val="superscript"/>
        </w:rPr>
        <w:t>2</w:t>
      </w:r>
      <w:r w:rsidR="00F427D0">
        <w:rPr>
          <w:rFonts w:ascii="Garamond" w:hAnsi="Garamond"/>
          <w:b/>
          <w:bCs/>
          <w:i/>
          <w:iCs/>
          <w:color w:val="FFFFFF" w:themeColor="background1"/>
          <w:sz w:val="22"/>
          <w:szCs w:val="22"/>
        </w:rPr>
        <w:t xml:space="preserve">Ayodeji </w:t>
      </w:r>
      <w:proofErr w:type="spellStart"/>
      <w:r w:rsidR="00F427D0">
        <w:rPr>
          <w:rFonts w:ascii="Garamond" w:hAnsi="Garamond"/>
          <w:b/>
          <w:bCs/>
          <w:i/>
          <w:iCs/>
          <w:color w:val="FFFFFF" w:themeColor="background1"/>
          <w:sz w:val="22"/>
          <w:szCs w:val="22"/>
        </w:rPr>
        <w:t>Ayegbusi</w:t>
      </w:r>
      <w:proofErr w:type="spellEnd"/>
      <w:r w:rsidR="00F427D0">
        <w:rPr>
          <w:rFonts w:ascii="Garamond" w:hAnsi="Garamond"/>
          <w:b/>
          <w:bCs/>
          <w:i/>
          <w:iCs/>
          <w:color w:val="FFFFFF" w:themeColor="background1"/>
          <w:sz w:val="22"/>
          <w:szCs w:val="22"/>
        </w:rPr>
        <w:t xml:space="preserve">, </w:t>
      </w:r>
      <w:r w:rsidR="00F427D0">
        <w:rPr>
          <w:rFonts w:ascii="Garamond" w:hAnsi="Garamond"/>
          <w:b/>
          <w:bCs/>
          <w:i/>
          <w:iCs/>
          <w:color w:val="FFFFFF" w:themeColor="background1"/>
          <w:sz w:val="22"/>
          <w:szCs w:val="22"/>
          <w:vertAlign w:val="superscript"/>
        </w:rPr>
        <w:t>3</w:t>
      </w:r>
      <w:r w:rsidR="00F427D0">
        <w:rPr>
          <w:rFonts w:ascii="Garamond" w:hAnsi="Garamond"/>
          <w:b/>
          <w:bCs/>
          <w:i/>
          <w:iCs/>
          <w:color w:val="FFFFFF" w:themeColor="background1"/>
          <w:sz w:val="22"/>
          <w:szCs w:val="22"/>
        </w:rPr>
        <w:t>Adeleke D. Adewole</w:t>
      </w:r>
      <w:r w:rsidR="00DA62A5">
        <w:rPr>
          <w:rFonts w:ascii="Garamond" w:hAnsi="Garamond"/>
          <w:b/>
          <w:bCs/>
          <w:i/>
          <w:iCs/>
          <w:color w:val="FFFFFF" w:themeColor="background1"/>
          <w:sz w:val="22"/>
          <w:szCs w:val="22"/>
        </w:rPr>
        <w:t xml:space="preserve"> </w:t>
      </w:r>
    </w:p>
    <w:p w14:paraId="42F82965" w14:textId="77777777" w:rsidR="00F53556" w:rsidRPr="009D609F" w:rsidRDefault="00F53556" w:rsidP="00F53556">
      <w:pPr>
        <w:rPr>
          <w:rFonts w:ascii="Garamond" w:hAnsi="Garamond" w:cs="Times New Roman"/>
          <w:i/>
          <w:iCs/>
          <w:sz w:val="20"/>
          <w:szCs w:val="20"/>
          <w:lang w:val="en-GB"/>
        </w:rPr>
      </w:pPr>
      <w:r w:rsidRPr="00F53556">
        <w:rPr>
          <w:rFonts w:ascii="Garamond" w:hAnsi="Garamond" w:cs="Times New Roman"/>
          <w:i/>
          <w:iCs/>
          <w:sz w:val="20"/>
          <w:szCs w:val="20"/>
          <w:vertAlign w:val="superscript"/>
          <w:lang w:val="en-GB"/>
        </w:rPr>
        <w:t>1</w:t>
      </w:r>
      <w:r w:rsidRPr="009D609F">
        <w:rPr>
          <w:rFonts w:ascii="Garamond" w:hAnsi="Garamond" w:cs="Times New Roman"/>
          <w:i/>
          <w:iCs/>
          <w:sz w:val="20"/>
          <w:szCs w:val="20"/>
          <w:lang w:val="en-GB"/>
        </w:rPr>
        <w:t xml:space="preserve">Olabisi Onabanjo University/Olabisi Onabanjo University Teaching Hospital, </w:t>
      </w:r>
      <w:r w:rsidRPr="009D609F">
        <w:rPr>
          <w:rFonts w:ascii="Garamond" w:eastAsia="SimSun" w:hAnsi="Garamond" w:cs="Times New Roman"/>
          <w:i/>
          <w:iCs/>
          <w:sz w:val="20"/>
          <w:szCs w:val="20"/>
        </w:rPr>
        <w:t>Sagamu, Ogun State, Nigeria</w:t>
      </w:r>
    </w:p>
    <w:p w14:paraId="4558CCDA" w14:textId="77777777" w:rsidR="00F53556" w:rsidRPr="009D609F" w:rsidRDefault="00F53556" w:rsidP="00F53556">
      <w:pPr>
        <w:rPr>
          <w:rFonts w:ascii="Garamond" w:hAnsi="Garamond" w:cs="Times New Roman"/>
          <w:i/>
          <w:iCs/>
          <w:sz w:val="20"/>
          <w:szCs w:val="20"/>
          <w:lang w:val="en-GB"/>
        </w:rPr>
      </w:pPr>
      <w:r w:rsidRPr="00F53556">
        <w:rPr>
          <w:rFonts w:ascii="Garamond" w:hAnsi="Garamond" w:cs="Times New Roman"/>
          <w:i/>
          <w:iCs/>
          <w:sz w:val="20"/>
          <w:szCs w:val="20"/>
          <w:vertAlign w:val="superscript"/>
          <w:lang w:val="en-GB"/>
        </w:rPr>
        <w:t>2</w:t>
      </w:r>
      <w:r w:rsidRPr="009D609F">
        <w:rPr>
          <w:rFonts w:ascii="Garamond" w:hAnsi="Garamond" w:cs="Times New Roman"/>
          <w:i/>
          <w:iCs/>
          <w:sz w:val="20"/>
          <w:szCs w:val="20"/>
          <w:lang w:val="en-GB"/>
        </w:rPr>
        <w:t xml:space="preserve">Olabisi Onabanjo University Teaching Hospital, </w:t>
      </w:r>
      <w:r w:rsidRPr="009D609F">
        <w:rPr>
          <w:rFonts w:ascii="Garamond" w:eastAsia="SimSun" w:hAnsi="Garamond" w:cs="Times New Roman"/>
          <w:i/>
          <w:iCs/>
          <w:sz w:val="20"/>
          <w:szCs w:val="20"/>
        </w:rPr>
        <w:t>Sagamu, Ogun State, Nigeria</w:t>
      </w:r>
      <w:r w:rsidRPr="009D609F">
        <w:rPr>
          <w:rFonts w:ascii="Garamond" w:hAnsi="Garamond" w:cs="Times New Roman"/>
          <w:i/>
          <w:iCs/>
          <w:sz w:val="20"/>
          <w:szCs w:val="20"/>
          <w:lang w:val="en-GB"/>
        </w:rPr>
        <w:t xml:space="preserve"> </w:t>
      </w:r>
    </w:p>
    <w:p w14:paraId="52E3C372" w14:textId="7AB793C5" w:rsidR="0056280E" w:rsidRDefault="00F53556" w:rsidP="00F53556">
      <w:pPr>
        <w:pBdr>
          <w:bottom w:val="single" w:sz="6" w:space="1" w:color="auto"/>
        </w:pBdr>
        <w:jc w:val="both"/>
        <w:rPr>
          <w:rFonts w:ascii="Garamond" w:hAnsi="Garamond"/>
          <w:b/>
          <w:i/>
          <w:iCs/>
          <w:sz w:val="20"/>
          <w:szCs w:val="20"/>
          <w:lang w:val="en-GB"/>
        </w:rPr>
      </w:pPr>
      <w:r w:rsidRPr="00F53556">
        <w:rPr>
          <w:rFonts w:ascii="Garamond" w:hAnsi="Garamond" w:cs="Times New Roman"/>
          <w:i/>
          <w:iCs/>
          <w:sz w:val="20"/>
          <w:szCs w:val="20"/>
          <w:vertAlign w:val="superscript"/>
          <w:lang w:val="en-GB"/>
        </w:rPr>
        <w:t>3</w:t>
      </w:r>
      <w:r w:rsidRPr="009D609F">
        <w:rPr>
          <w:rFonts w:ascii="Garamond" w:hAnsi="Garamond" w:cs="Times New Roman"/>
          <w:i/>
          <w:iCs/>
          <w:sz w:val="20"/>
          <w:szCs w:val="20"/>
          <w:lang w:val="en-GB"/>
        </w:rPr>
        <w:t>Lagos State University Teaching Hospital, Lagos, Lagos state Nigeria</w:t>
      </w:r>
    </w:p>
    <w:bookmarkEnd w:id="4"/>
    <w:p w14:paraId="413CFD05" w14:textId="5E426C17" w:rsidR="00855308" w:rsidRPr="00CF4569" w:rsidRDefault="001D4D3C" w:rsidP="00855308">
      <w:pPr>
        <w:pBdr>
          <w:bottom w:val="single" w:sz="6" w:space="1" w:color="auto"/>
        </w:pBdr>
        <w:jc w:val="both"/>
        <w:rPr>
          <w:rFonts w:ascii="Garamond" w:hAnsi="Garamond"/>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CF4569" w:rsidRPr="00CF4569">
        <w:rPr>
          <w:rFonts w:ascii="Garamond" w:hAnsi="Garamond" w:cs="Segoe UI"/>
          <w:b/>
          <w:bCs/>
          <w:i/>
          <w:iCs/>
          <w:sz w:val="20"/>
          <w:szCs w:val="20"/>
          <w:shd w:val="clear" w:color="auto" w:fill="FFFFFF"/>
        </w:rPr>
        <w:t>C</w:t>
      </w:r>
      <w:proofErr w:type="spellStart"/>
      <w:r w:rsidR="00CF4569" w:rsidRPr="00CF4569">
        <w:rPr>
          <w:rFonts w:ascii="Garamond" w:hAnsi="Garamond" w:cs="Segoe UI"/>
          <w:b/>
          <w:bCs/>
          <w:i/>
          <w:iCs/>
          <w:sz w:val="20"/>
          <w:szCs w:val="20"/>
          <w:shd w:val="clear" w:color="auto" w:fill="FFFFFF"/>
          <w:lang w:val="en-GB"/>
        </w:rPr>
        <w:t>higbundu</w:t>
      </w:r>
      <w:proofErr w:type="spellEnd"/>
      <w:r w:rsidR="00CF4569" w:rsidRPr="00CF4569">
        <w:rPr>
          <w:rFonts w:ascii="Garamond" w:hAnsi="Garamond" w:cs="Segoe UI"/>
          <w:b/>
          <w:bCs/>
          <w:i/>
          <w:iCs/>
          <w:sz w:val="20"/>
          <w:szCs w:val="20"/>
          <w:shd w:val="clear" w:color="auto" w:fill="FFFFFF"/>
          <w:lang w:val="en-GB"/>
        </w:rPr>
        <w:t xml:space="preserve"> </w:t>
      </w:r>
      <w:r w:rsidR="00CF4569" w:rsidRPr="00CF4569">
        <w:rPr>
          <w:rFonts w:ascii="Garamond" w:hAnsi="Garamond" w:cs="Segoe UI"/>
          <w:b/>
          <w:bCs/>
          <w:i/>
          <w:iCs/>
          <w:sz w:val="20"/>
          <w:szCs w:val="20"/>
          <w:shd w:val="clear" w:color="auto" w:fill="FFFFFF"/>
        </w:rPr>
        <w:t xml:space="preserve">C. </w:t>
      </w:r>
      <w:proofErr w:type="spellStart"/>
      <w:r w:rsidR="00CF4569" w:rsidRPr="00CF4569">
        <w:rPr>
          <w:rFonts w:ascii="Garamond" w:hAnsi="Garamond" w:cs="Segoe UI"/>
          <w:b/>
          <w:bCs/>
          <w:i/>
          <w:iCs/>
          <w:sz w:val="20"/>
          <w:szCs w:val="20"/>
          <w:shd w:val="clear" w:color="auto" w:fill="FFFFFF"/>
        </w:rPr>
        <w:t>Nwokoro</w:t>
      </w:r>
      <w:proofErr w:type="spellEnd"/>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CF4569" w:rsidRPr="00CF4569">
        <w:rPr>
          <w:rFonts w:ascii="Garamond" w:hAnsi="Garamond"/>
          <w:i/>
          <w:iCs/>
          <w:sz w:val="20"/>
          <w:szCs w:val="20"/>
          <w:lang w:val="en-GB"/>
        </w:rPr>
        <w:t xml:space="preserve">Olabisi Onabanjo University Hospital/Olabisi Onabanjo University, Sagamu, Ogun State, Nigeria. </w:t>
      </w:r>
      <w:hyperlink r:id="rId8" w:history="1">
        <w:r w:rsidR="00CF4569" w:rsidRPr="00823BFA">
          <w:rPr>
            <w:rStyle w:val="Hyperlink"/>
            <w:rFonts w:ascii="Garamond" w:hAnsi="Garamond"/>
            <w:sz w:val="20"/>
            <w:szCs w:val="20"/>
            <w:lang w:val="en-GB"/>
          </w:rPr>
          <w:t>collinsnwokoro@gmail.com</w:t>
        </w:r>
      </w:hyperlink>
      <w:r w:rsidR="00CF4569">
        <w:rPr>
          <w:rFonts w:ascii="Garamond" w:hAnsi="Garamond"/>
          <w:bCs/>
          <w:sz w:val="20"/>
          <w:szCs w:val="20"/>
        </w:rPr>
        <w:t xml:space="preserve">; </w:t>
      </w:r>
      <w:r w:rsidR="00CF4569" w:rsidRPr="00CF4569">
        <w:rPr>
          <w:rFonts w:ascii="Garamond" w:hAnsi="Garamond"/>
          <w:sz w:val="20"/>
          <w:szCs w:val="20"/>
          <w:lang w:val="en-GB"/>
        </w:rPr>
        <w:t>+2348033453067</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1FB4BAF9"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w:t>
      </w:r>
      <w:r w:rsidR="00943E61" w:rsidRPr="00B643BC">
        <w:rPr>
          <w:rFonts w:ascii="Garamond" w:hAnsi="Garamond"/>
          <w:sz w:val="16"/>
          <w:szCs w:val="16"/>
        </w:rPr>
        <w:t xml:space="preserve">Received </w:t>
      </w:r>
      <w:r w:rsidR="00E34213" w:rsidRPr="00B643BC">
        <w:rPr>
          <w:rFonts w:ascii="Garamond" w:hAnsi="Garamond"/>
          <w:sz w:val="16"/>
          <w:szCs w:val="16"/>
        </w:rPr>
        <w:t>30</w:t>
      </w:r>
      <w:r w:rsidR="00943E61" w:rsidRPr="00B643BC">
        <w:rPr>
          <w:rFonts w:ascii="Garamond" w:hAnsi="Garamond"/>
          <w:sz w:val="16"/>
          <w:szCs w:val="16"/>
        </w:rPr>
        <w:t xml:space="preserve"> </w:t>
      </w:r>
      <w:r w:rsidR="005D69B0" w:rsidRPr="00B643BC">
        <w:rPr>
          <w:rFonts w:ascii="Garamond" w:hAnsi="Garamond"/>
          <w:sz w:val="16"/>
          <w:szCs w:val="16"/>
        </w:rPr>
        <w:t>September</w:t>
      </w:r>
      <w:r w:rsidR="00943E61" w:rsidRPr="00B643BC">
        <w:rPr>
          <w:rFonts w:ascii="Garamond" w:hAnsi="Garamond"/>
          <w:sz w:val="16"/>
          <w:szCs w:val="16"/>
        </w:rPr>
        <w:t xml:space="preserve"> 202</w:t>
      </w:r>
      <w:r w:rsidR="006E1FEB" w:rsidRPr="00B643BC">
        <w:rPr>
          <w:rFonts w:ascii="Garamond" w:hAnsi="Garamond"/>
          <w:sz w:val="16"/>
          <w:szCs w:val="16"/>
        </w:rPr>
        <w:t>5</w:t>
      </w:r>
      <w:r w:rsidR="00943E61" w:rsidRPr="00B643BC">
        <w:rPr>
          <w:rFonts w:ascii="Garamond" w:hAnsi="Garamond"/>
          <w:sz w:val="16"/>
          <w:szCs w:val="16"/>
        </w:rPr>
        <w:t xml:space="preserve">, Reviewed </w:t>
      </w:r>
      <w:r w:rsidR="00154D8F" w:rsidRPr="00B643BC">
        <w:rPr>
          <w:rFonts w:ascii="Garamond" w:hAnsi="Garamond"/>
          <w:sz w:val="16"/>
          <w:szCs w:val="16"/>
        </w:rPr>
        <w:t>2</w:t>
      </w:r>
      <w:r w:rsidR="00E34213" w:rsidRPr="00B643BC">
        <w:rPr>
          <w:rFonts w:ascii="Garamond" w:hAnsi="Garamond"/>
          <w:sz w:val="16"/>
          <w:szCs w:val="16"/>
        </w:rPr>
        <w:t>3</w:t>
      </w:r>
      <w:r w:rsidR="00943E61" w:rsidRPr="00B643BC">
        <w:rPr>
          <w:rFonts w:ascii="Garamond" w:hAnsi="Garamond"/>
          <w:sz w:val="16"/>
          <w:szCs w:val="16"/>
        </w:rPr>
        <w:t xml:space="preserve"> </w:t>
      </w:r>
      <w:r w:rsidR="005D69B0" w:rsidRPr="00B643BC">
        <w:rPr>
          <w:rFonts w:ascii="Garamond" w:hAnsi="Garamond"/>
          <w:sz w:val="16"/>
          <w:szCs w:val="16"/>
        </w:rPr>
        <w:t>November</w:t>
      </w:r>
      <w:r w:rsidR="00943E61" w:rsidRPr="00B643BC">
        <w:rPr>
          <w:rFonts w:ascii="Garamond" w:hAnsi="Garamond"/>
          <w:sz w:val="16"/>
          <w:szCs w:val="16"/>
        </w:rPr>
        <w:t xml:space="preserve"> 202</w:t>
      </w:r>
      <w:r w:rsidR="00F30FAF" w:rsidRPr="00B643BC">
        <w:rPr>
          <w:rFonts w:ascii="Garamond" w:hAnsi="Garamond"/>
          <w:sz w:val="16"/>
          <w:szCs w:val="16"/>
        </w:rPr>
        <w:t>5</w:t>
      </w:r>
      <w:r w:rsidRPr="00B643BC">
        <w:rPr>
          <w:rFonts w:ascii="Garamond" w:hAnsi="Garamond"/>
          <w:sz w:val="16"/>
          <w:szCs w:val="16"/>
        </w:rPr>
        <w:t>, Accepted for pub</w:t>
      </w:r>
      <w:r w:rsidR="00943E61" w:rsidRPr="00B643BC">
        <w:rPr>
          <w:rFonts w:ascii="Garamond" w:hAnsi="Garamond"/>
          <w:sz w:val="16"/>
          <w:szCs w:val="16"/>
        </w:rPr>
        <w:t xml:space="preserve">lication </w:t>
      </w:r>
      <w:r w:rsidR="005D69B0" w:rsidRPr="00B643BC">
        <w:rPr>
          <w:rFonts w:ascii="Garamond" w:hAnsi="Garamond"/>
          <w:sz w:val="16"/>
          <w:szCs w:val="16"/>
        </w:rPr>
        <w:t>11</w:t>
      </w:r>
      <w:r w:rsidR="0023667C" w:rsidRPr="00B643BC">
        <w:rPr>
          <w:rFonts w:ascii="Garamond" w:hAnsi="Garamond"/>
          <w:sz w:val="16"/>
          <w:szCs w:val="16"/>
        </w:rPr>
        <w:t xml:space="preserve"> </w:t>
      </w:r>
      <w:r w:rsidR="007E2794" w:rsidRPr="00B643BC">
        <w:rPr>
          <w:rFonts w:ascii="Garamond" w:hAnsi="Garamond"/>
          <w:sz w:val="16"/>
          <w:szCs w:val="16"/>
        </w:rPr>
        <w:t>December</w:t>
      </w:r>
      <w:r w:rsidRPr="00B643BC">
        <w:rPr>
          <w:rFonts w:ascii="Garamond" w:hAnsi="Garamond"/>
          <w:sz w:val="16"/>
          <w:szCs w:val="16"/>
        </w:rPr>
        <w:t xml:space="preserve"> 202</w:t>
      </w:r>
      <w:r w:rsidR="00491DAB" w:rsidRPr="00B643BC">
        <w:rPr>
          <w:rFonts w:ascii="Garamond" w:hAnsi="Garamond"/>
          <w:sz w:val="16"/>
          <w:szCs w:val="16"/>
        </w:rPr>
        <w:t>5</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77777777" w:rsidR="006732D7" w:rsidRPr="000931E7" w:rsidRDefault="006732D7" w:rsidP="006732D7">
      <w:pPr>
        <w:jc w:val="both"/>
        <w:rPr>
          <w:rFonts w:ascii="Garamond" w:hAnsi="Garamond"/>
          <w:sz w:val="22"/>
          <w:szCs w:val="22"/>
        </w:rPr>
      </w:pPr>
      <w:r w:rsidRPr="000931E7">
        <w:rPr>
          <w:rFonts w:ascii="Garamond" w:hAnsi="Garamond"/>
          <w:b/>
          <w:sz w:val="22"/>
          <w:szCs w:val="20"/>
        </w:rPr>
        <w:t>Abstract</w:t>
      </w:r>
    </w:p>
    <w:p w14:paraId="0D39B2AD" w14:textId="3D77A470" w:rsidR="00CF4569" w:rsidRPr="00DA62A5" w:rsidRDefault="0017507F" w:rsidP="00CF4569">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bookmarkStart w:id="5" w:name="_Hlk182138271"/>
      <w:r w:rsidR="00CF4569" w:rsidRPr="00CF4569">
        <w:rPr>
          <w:rFonts w:ascii="Garamond" w:eastAsiaTheme="minorHAnsi" w:hAnsi="Garamond" w:cstheme="minorHAnsi"/>
          <w:bCs/>
          <w:sz w:val="20"/>
          <w:szCs w:val="20"/>
          <w:lang w:val="en-GB"/>
        </w:rPr>
        <w:t xml:space="preserve"> </w:t>
      </w:r>
      <w:r w:rsidR="00CF4569" w:rsidRPr="00CF4569">
        <w:rPr>
          <w:rFonts w:ascii="Garamond" w:eastAsiaTheme="minorHAnsi" w:hAnsi="Garamond" w:cstheme="minorHAnsi"/>
          <w:bCs/>
          <w:sz w:val="20"/>
          <w:szCs w:val="20"/>
          <w:u w:val="single"/>
          <w:lang w:val="en-GB"/>
        </w:rPr>
        <w:t>I</w:t>
      </w:r>
      <w:r w:rsidR="00CF4569" w:rsidRPr="00CF4569">
        <w:rPr>
          <w:rFonts w:ascii="Garamond" w:eastAsiaTheme="minorHAnsi" w:hAnsi="Garamond" w:cstheme="minorHAnsi"/>
          <w:bCs/>
          <w:sz w:val="20"/>
          <w:szCs w:val="20"/>
          <w:lang w:val="en-GB"/>
        </w:rPr>
        <w:t xml:space="preserve">ntestinal obstruction in children is the commonest cause of acute abdominal conditions in this age group. </w:t>
      </w:r>
      <w:r w:rsidR="00CF4569" w:rsidRPr="00CF4569">
        <w:rPr>
          <w:rFonts w:ascii="Garamond" w:eastAsiaTheme="minorHAnsi" w:hAnsi="Garamond" w:cstheme="minorHAnsi"/>
          <w:bCs/>
          <w:sz w:val="20"/>
          <w:szCs w:val="20"/>
        </w:rPr>
        <w:t xml:space="preserve">Intussusception </w:t>
      </w:r>
      <w:r w:rsidR="00CF4569" w:rsidRPr="00CF4569">
        <w:rPr>
          <w:rFonts w:ascii="Garamond" w:eastAsiaTheme="minorHAnsi" w:hAnsi="Garamond" w:cstheme="minorHAnsi"/>
          <w:bCs/>
          <w:sz w:val="20"/>
          <w:szCs w:val="20"/>
          <w:lang w:val="en-GB"/>
        </w:rPr>
        <w:t xml:space="preserve">represents the commonest cause of intestinal obstruction in children aged between 3 months and 3 years with a peak age of incidence at 6 months. </w:t>
      </w:r>
      <w:bookmarkStart w:id="6" w:name="_Hlk182138394"/>
      <w:bookmarkStart w:id="7" w:name="_Hlk182137483"/>
      <w:bookmarkEnd w:id="5"/>
      <w:r w:rsidR="00CF4569" w:rsidRPr="00CF4569">
        <w:rPr>
          <w:rFonts w:ascii="Garamond" w:eastAsiaTheme="minorHAnsi" w:hAnsi="Garamond" w:cstheme="minorHAnsi"/>
          <w:bCs/>
          <w:sz w:val="20"/>
          <w:szCs w:val="20"/>
          <w:lang w:val="en-GB"/>
        </w:rPr>
        <w:t>The aim of this study was to determine the prevalence of intussusception amongst Children managed for intestinal obstruction at Olabisi Onabanjo University Teaching Hospital Sagamu.</w:t>
      </w:r>
      <w:bookmarkEnd w:id="6"/>
    </w:p>
    <w:p w14:paraId="0007BC41" w14:textId="2DA8BD6C" w:rsidR="00CF4569" w:rsidRPr="00CF4569" w:rsidRDefault="00CF4569" w:rsidP="00CF4569">
      <w:pPr>
        <w:jc w:val="both"/>
        <w:rPr>
          <w:rFonts w:ascii="Garamond" w:eastAsiaTheme="minorHAnsi" w:hAnsi="Garamond" w:cstheme="minorHAnsi"/>
          <w:bCs/>
          <w:sz w:val="20"/>
          <w:szCs w:val="20"/>
          <w:lang w:val="en-GB"/>
        </w:rPr>
      </w:pPr>
      <w:r w:rsidRPr="00CF4569">
        <w:rPr>
          <w:rFonts w:ascii="Garamond" w:eastAsiaTheme="minorHAnsi" w:hAnsi="Garamond" w:cstheme="minorHAnsi"/>
          <w:b/>
          <w:bCs/>
          <w:sz w:val="20"/>
          <w:szCs w:val="20"/>
          <w:lang w:val="en-GB"/>
        </w:rPr>
        <w:t>Methods:</w:t>
      </w:r>
      <w:r w:rsidRPr="00CF4569">
        <w:rPr>
          <w:rFonts w:ascii="Garamond" w:eastAsiaTheme="minorHAnsi" w:hAnsi="Garamond" w:cstheme="minorHAnsi"/>
          <w:bCs/>
          <w:sz w:val="20"/>
          <w:szCs w:val="20"/>
          <w:lang w:val="en-GB"/>
        </w:rPr>
        <w:t xml:space="preserve">  Case Series </w:t>
      </w:r>
      <w:bookmarkEnd w:id="7"/>
    </w:p>
    <w:p w14:paraId="47886545" w14:textId="0C10B5F7" w:rsidR="00CF4569" w:rsidRPr="00CF4569" w:rsidRDefault="00CF4569" w:rsidP="00CF4569">
      <w:pPr>
        <w:jc w:val="both"/>
        <w:rPr>
          <w:rFonts w:ascii="Garamond" w:eastAsiaTheme="minorHAnsi" w:hAnsi="Garamond" w:cstheme="minorHAnsi"/>
          <w:bCs/>
          <w:sz w:val="20"/>
          <w:szCs w:val="20"/>
          <w:lang w:val="en-GB"/>
        </w:rPr>
      </w:pPr>
      <w:r w:rsidRPr="00CF4569">
        <w:rPr>
          <w:rFonts w:ascii="Garamond" w:eastAsiaTheme="minorHAnsi" w:hAnsi="Garamond" w:cstheme="minorHAnsi"/>
          <w:b/>
          <w:bCs/>
          <w:sz w:val="20"/>
          <w:szCs w:val="20"/>
          <w:lang w:val="en-GB"/>
        </w:rPr>
        <w:t>Results:</w:t>
      </w:r>
      <w:r w:rsidRPr="00CF4569">
        <w:rPr>
          <w:rFonts w:ascii="Garamond" w:eastAsiaTheme="minorHAnsi" w:hAnsi="Garamond" w:cstheme="minorHAnsi"/>
          <w:bCs/>
          <w:sz w:val="20"/>
          <w:szCs w:val="20"/>
          <w:lang w:val="en-GB"/>
        </w:rPr>
        <w:t xml:space="preserve"> Case records of 870 children managed for intestinal obstruction during the study period were assessed. A total of 452 cases (52%) of intussusception were responsible for intestinal obstruction during the study period. </w:t>
      </w:r>
    </w:p>
    <w:p w14:paraId="56A1DE02" w14:textId="77777777" w:rsidR="00CF4569" w:rsidRPr="00CF4569" w:rsidRDefault="00CF4569" w:rsidP="00CF4569">
      <w:pPr>
        <w:jc w:val="both"/>
        <w:rPr>
          <w:rFonts w:ascii="Garamond" w:eastAsiaTheme="minorHAnsi" w:hAnsi="Garamond" w:cstheme="minorHAnsi"/>
          <w:bCs/>
          <w:sz w:val="20"/>
          <w:szCs w:val="20"/>
          <w:lang w:val="en-GB"/>
        </w:rPr>
      </w:pPr>
      <w:r w:rsidRPr="00CF4569">
        <w:rPr>
          <w:rFonts w:ascii="Garamond" w:eastAsiaTheme="minorHAnsi" w:hAnsi="Garamond" w:cstheme="minorHAnsi"/>
          <w:b/>
          <w:bCs/>
          <w:sz w:val="20"/>
          <w:szCs w:val="20"/>
          <w:lang w:val="en-GB"/>
        </w:rPr>
        <w:t xml:space="preserve">Conclusion: </w:t>
      </w:r>
      <w:r w:rsidRPr="00CF4569">
        <w:rPr>
          <w:rFonts w:ascii="Garamond" w:eastAsiaTheme="minorHAnsi" w:hAnsi="Garamond" w:cstheme="minorHAnsi"/>
          <w:bCs/>
          <w:sz w:val="20"/>
          <w:szCs w:val="20"/>
          <w:lang w:val="en-GB"/>
        </w:rPr>
        <w:t>Intussusception was the commonest cause of intestinal obstruction amongst children who presented with intestinal obstruction during the study period.</w:t>
      </w:r>
    </w:p>
    <w:p w14:paraId="1ACED9AE" w14:textId="77777777" w:rsidR="00CF4569" w:rsidRPr="00CF4569" w:rsidRDefault="00CF4569" w:rsidP="00CF4569">
      <w:pPr>
        <w:jc w:val="both"/>
        <w:rPr>
          <w:rFonts w:ascii="Garamond" w:eastAsiaTheme="minorHAnsi" w:hAnsi="Garamond" w:cstheme="minorHAnsi"/>
          <w:bCs/>
          <w:sz w:val="20"/>
          <w:szCs w:val="20"/>
          <w:lang w:val="en-GB"/>
        </w:rPr>
      </w:pPr>
    </w:p>
    <w:p w14:paraId="0C81B1B8" w14:textId="77777777" w:rsidR="00CF4569" w:rsidRPr="00CF4569" w:rsidRDefault="00CF4569" w:rsidP="00CF4569">
      <w:pPr>
        <w:jc w:val="both"/>
        <w:rPr>
          <w:rFonts w:ascii="Garamond" w:eastAsiaTheme="minorHAnsi" w:hAnsi="Garamond" w:cstheme="minorHAnsi"/>
          <w:b/>
          <w:bCs/>
          <w:sz w:val="20"/>
          <w:szCs w:val="20"/>
          <w:lang w:val="en-GB"/>
        </w:rPr>
      </w:pPr>
      <w:r w:rsidRPr="00CF4569">
        <w:rPr>
          <w:rFonts w:ascii="Garamond" w:eastAsiaTheme="minorHAnsi" w:hAnsi="Garamond" w:cstheme="minorHAnsi"/>
          <w:b/>
          <w:bCs/>
          <w:sz w:val="20"/>
          <w:szCs w:val="20"/>
          <w:lang w:val="en-GB"/>
        </w:rPr>
        <w:t>Key words:</w:t>
      </w:r>
      <w:r w:rsidRPr="00CF4569">
        <w:rPr>
          <w:rFonts w:ascii="Garamond" w:eastAsiaTheme="minorHAnsi" w:hAnsi="Garamond" w:cstheme="minorHAnsi"/>
          <w:bCs/>
          <w:sz w:val="20"/>
          <w:szCs w:val="20"/>
          <w:lang w:val="en-GB"/>
        </w:rPr>
        <w:t xml:space="preserve"> Childhood, Intestinal Obstruction, Intussusception, Tertiary Hospital, South-West, Nigeria.</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8D73B9">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9"/>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22DC3ACD"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5FD95514">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r w:rsidR="00DA62A5">
        <w:rPr>
          <w:rFonts w:ascii="Garamond" w:hAnsi="Garamond"/>
          <w:b/>
          <w:bCs/>
          <w:sz w:val="22"/>
          <w:szCs w:val="20"/>
        </w:rPr>
        <w:t xml:space="preserve"> </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1C466160">
                <wp:simplePos x="0" y="0"/>
                <wp:positionH relativeFrom="margin">
                  <wp:posOffset>3254829</wp:posOffset>
                </wp:positionH>
                <wp:positionV relativeFrom="paragraph">
                  <wp:posOffset>24946</wp:posOffset>
                </wp:positionV>
                <wp:extent cx="2671639" cy="1121229"/>
                <wp:effectExtent l="0" t="0" r="8255" b="9525"/>
                <wp:wrapNone/>
                <wp:docPr id="8" name="Text Box 8"/>
                <wp:cNvGraphicFramePr/>
                <a:graphic xmlns:a="http://schemas.openxmlformats.org/drawingml/2006/main">
                  <a:graphicData uri="http://schemas.microsoft.com/office/word/2010/wordprocessingShape">
                    <wps:wsp>
                      <wps:cNvSpPr txBox="1"/>
                      <wps:spPr>
                        <a:xfrm>
                          <a:off x="0" y="0"/>
                          <a:ext cx="2671639" cy="1121229"/>
                        </a:xfrm>
                        <a:prstGeom prst="rect">
                          <a:avLst/>
                        </a:prstGeom>
                        <a:solidFill>
                          <a:sysClr val="window" lastClr="FFFFFF"/>
                        </a:solidFill>
                        <a:ln w="6350">
                          <a:solidFill>
                            <a:srgbClr val="70AD47">
                              <a:lumMod val="75000"/>
                            </a:srgbClr>
                          </a:solidFill>
                        </a:ln>
                      </wps:spPr>
                      <wps:txbx>
                        <w:txbxContent>
                          <w:p w14:paraId="65562D4D" w14:textId="5ABAC11B" w:rsidR="00576722" w:rsidRPr="008D638C" w:rsidRDefault="0056280E" w:rsidP="00D26558">
                            <w:pPr>
                              <w:pBdr>
                                <w:bottom w:val="single" w:sz="6" w:space="1" w:color="auto"/>
                              </w:pBdr>
                              <w:jc w:val="both"/>
                              <w:rPr>
                                <w:rFonts w:ascii="Garamond" w:hAnsi="Garamond" w:cs="Segoe UI"/>
                                <w:color w:val="000000" w:themeColor="text1"/>
                                <w:sz w:val="20"/>
                                <w:szCs w:val="20"/>
                                <w:shd w:val="clear" w:color="auto" w:fill="FFFFFF"/>
                              </w:rPr>
                            </w:pPr>
                            <w:proofErr w:type="spellStart"/>
                            <w:r w:rsidRPr="008D638C">
                              <w:rPr>
                                <w:rFonts w:ascii="Garamond" w:hAnsi="Garamond" w:cs="Segoe UI"/>
                                <w:i/>
                                <w:iCs/>
                                <w:sz w:val="20"/>
                                <w:szCs w:val="20"/>
                                <w:shd w:val="clear" w:color="auto" w:fill="FFFFFF"/>
                              </w:rPr>
                              <w:t>Nwokoro</w:t>
                            </w:r>
                            <w:proofErr w:type="spellEnd"/>
                            <w:r w:rsidRPr="008D638C">
                              <w:rPr>
                                <w:rFonts w:ascii="Garamond" w:hAnsi="Garamond" w:cs="Segoe UI"/>
                                <w:i/>
                                <w:iCs/>
                                <w:sz w:val="20"/>
                                <w:szCs w:val="20"/>
                                <w:shd w:val="clear" w:color="auto" w:fill="FFFFFF"/>
                              </w:rPr>
                              <w:t xml:space="preserve"> CC,</w:t>
                            </w:r>
                            <w:r w:rsidR="008D638C" w:rsidRPr="008D638C">
                              <w:rPr>
                                <w:rFonts w:ascii="Garamond" w:hAnsi="Garamond" w:cs="Segoe UI"/>
                                <w:i/>
                                <w:iCs/>
                                <w:sz w:val="20"/>
                                <w:szCs w:val="20"/>
                                <w:shd w:val="clear" w:color="auto" w:fill="FFFFFF"/>
                              </w:rPr>
                              <w:t xml:space="preserve"> </w:t>
                            </w:r>
                            <w:proofErr w:type="spellStart"/>
                            <w:r w:rsidR="008D638C" w:rsidRPr="008D638C">
                              <w:rPr>
                                <w:rFonts w:ascii="Garamond" w:hAnsi="Garamond" w:cs="Segoe UI"/>
                                <w:i/>
                                <w:iCs/>
                                <w:sz w:val="20"/>
                                <w:szCs w:val="20"/>
                                <w:shd w:val="clear" w:color="auto" w:fill="FFFFFF"/>
                              </w:rPr>
                              <w:t>Amosu</w:t>
                            </w:r>
                            <w:proofErr w:type="spellEnd"/>
                            <w:r w:rsidR="008D638C" w:rsidRPr="008D638C">
                              <w:rPr>
                                <w:rFonts w:ascii="Garamond" w:hAnsi="Garamond" w:cs="Segoe UI"/>
                                <w:i/>
                                <w:iCs/>
                                <w:sz w:val="20"/>
                                <w:szCs w:val="20"/>
                                <w:shd w:val="clear" w:color="auto" w:fill="FFFFFF"/>
                              </w:rPr>
                              <w:t xml:space="preserve"> LO, Ogundele IO, Oso </w:t>
                            </w:r>
                            <w:r w:rsidR="00F53556">
                              <w:rPr>
                                <w:rFonts w:ascii="Garamond" w:hAnsi="Garamond" w:cs="Segoe UI"/>
                                <w:i/>
                                <w:iCs/>
                                <w:sz w:val="20"/>
                                <w:szCs w:val="20"/>
                                <w:shd w:val="clear" w:color="auto" w:fill="FFFFFF"/>
                              </w:rPr>
                              <w:t>OA</w:t>
                            </w:r>
                            <w:r w:rsidR="008D638C" w:rsidRPr="008D638C">
                              <w:rPr>
                                <w:rFonts w:ascii="Garamond" w:hAnsi="Garamond" w:cs="Segoe UI"/>
                                <w:i/>
                                <w:iCs/>
                                <w:sz w:val="20"/>
                                <w:szCs w:val="20"/>
                                <w:shd w:val="clear" w:color="auto" w:fill="FFFFFF"/>
                              </w:rPr>
                              <w:t xml:space="preserve">, Ajayi AA, </w:t>
                            </w:r>
                            <w:proofErr w:type="spellStart"/>
                            <w:r w:rsidR="008D638C" w:rsidRPr="008D638C">
                              <w:rPr>
                                <w:rFonts w:ascii="Garamond" w:hAnsi="Garamond" w:cs="Segoe UI"/>
                                <w:i/>
                                <w:iCs/>
                                <w:sz w:val="20"/>
                                <w:szCs w:val="20"/>
                                <w:shd w:val="clear" w:color="auto" w:fill="FFFFFF"/>
                              </w:rPr>
                              <w:t>Igbagbolere</w:t>
                            </w:r>
                            <w:proofErr w:type="spellEnd"/>
                            <w:r w:rsidR="008D638C" w:rsidRPr="008D638C">
                              <w:rPr>
                                <w:rFonts w:ascii="Garamond" w:hAnsi="Garamond" w:cs="Segoe UI"/>
                                <w:i/>
                                <w:iCs/>
                                <w:sz w:val="20"/>
                                <w:szCs w:val="20"/>
                                <w:shd w:val="clear" w:color="auto" w:fill="FFFFFF"/>
                              </w:rPr>
                              <w:t xml:space="preserve"> AB, </w:t>
                            </w:r>
                            <w:proofErr w:type="spellStart"/>
                            <w:r w:rsidR="008D638C" w:rsidRPr="008D638C">
                              <w:rPr>
                                <w:rFonts w:ascii="Garamond" w:hAnsi="Garamond" w:cs="Segoe UI"/>
                                <w:i/>
                                <w:iCs/>
                                <w:sz w:val="20"/>
                                <w:szCs w:val="20"/>
                                <w:shd w:val="clear" w:color="auto" w:fill="FFFFFF"/>
                              </w:rPr>
                              <w:t>Kalesanwo</w:t>
                            </w:r>
                            <w:proofErr w:type="spellEnd"/>
                            <w:r w:rsidR="008D638C" w:rsidRPr="008D638C">
                              <w:rPr>
                                <w:rFonts w:ascii="Garamond" w:hAnsi="Garamond" w:cs="Segoe UI"/>
                                <w:i/>
                                <w:iCs/>
                                <w:sz w:val="20"/>
                                <w:szCs w:val="20"/>
                                <w:shd w:val="clear" w:color="auto" w:fill="FFFFFF"/>
                              </w:rPr>
                              <w:t xml:space="preserve"> E, </w:t>
                            </w:r>
                            <w:proofErr w:type="spellStart"/>
                            <w:r w:rsidR="008D638C" w:rsidRPr="008D638C">
                              <w:rPr>
                                <w:rFonts w:ascii="Garamond" w:hAnsi="Garamond" w:cs="Segoe UI"/>
                                <w:i/>
                                <w:iCs/>
                                <w:sz w:val="20"/>
                                <w:szCs w:val="20"/>
                                <w:shd w:val="clear" w:color="auto" w:fill="FFFFFF"/>
                              </w:rPr>
                              <w:t>Ayegbusi</w:t>
                            </w:r>
                            <w:proofErr w:type="spellEnd"/>
                            <w:r w:rsidR="008D638C" w:rsidRPr="008D638C">
                              <w:rPr>
                                <w:rFonts w:ascii="Garamond" w:hAnsi="Garamond" w:cs="Segoe UI"/>
                                <w:i/>
                                <w:iCs/>
                                <w:sz w:val="20"/>
                                <w:szCs w:val="20"/>
                                <w:shd w:val="clear" w:color="auto" w:fill="FFFFFF"/>
                              </w:rPr>
                              <w:t xml:space="preserve"> A, Adewole AD. </w:t>
                            </w:r>
                            <w:r w:rsidR="008D638C" w:rsidRPr="008D638C">
                              <w:rPr>
                                <w:rFonts w:ascii="Garamond" w:hAnsi="Garamond" w:cs="Segoe UI"/>
                                <w:sz w:val="20"/>
                                <w:szCs w:val="20"/>
                                <w:shd w:val="clear" w:color="auto" w:fill="FFFFFF"/>
                                <w:lang w:val="en-GB"/>
                              </w:rPr>
                              <w:t xml:space="preserve">Intestinal Obstruction in Childhood Caused by Intussusception: Experience at A Tertiary Hospital in Southern Nigeria. </w:t>
                            </w:r>
                            <w:r w:rsidR="00576722" w:rsidRPr="008D638C">
                              <w:rPr>
                                <w:rFonts w:ascii="Garamond" w:hAnsi="Garamond" w:cs="Segoe UI"/>
                                <w:color w:val="000000" w:themeColor="text1"/>
                                <w:sz w:val="20"/>
                                <w:szCs w:val="20"/>
                                <w:shd w:val="clear" w:color="auto" w:fill="FFFFFF"/>
                              </w:rPr>
                              <w:t>The Nigerian Health Journal 202</w:t>
                            </w:r>
                            <w:r w:rsidR="008A672B" w:rsidRPr="008D638C">
                              <w:rPr>
                                <w:rFonts w:ascii="Garamond" w:hAnsi="Garamond" w:cs="Segoe UI"/>
                                <w:color w:val="000000" w:themeColor="text1"/>
                                <w:sz w:val="20"/>
                                <w:szCs w:val="20"/>
                                <w:shd w:val="clear" w:color="auto" w:fill="FFFFFF"/>
                              </w:rPr>
                              <w:t>6</w:t>
                            </w:r>
                            <w:r w:rsidR="00576722" w:rsidRPr="008D638C">
                              <w:rPr>
                                <w:rFonts w:ascii="Garamond" w:hAnsi="Garamond" w:cs="Segoe UI"/>
                                <w:color w:val="000000" w:themeColor="text1"/>
                                <w:sz w:val="20"/>
                                <w:szCs w:val="20"/>
                                <w:shd w:val="clear" w:color="auto" w:fill="FFFFFF"/>
                              </w:rPr>
                              <w:t>; 2</w:t>
                            </w:r>
                            <w:r w:rsidR="008A672B" w:rsidRPr="008D638C">
                              <w:rPr>
                                <w:rFonts w:ascii="Garamond" w:hAnsi="Garamond" w:cs="Segoe UI"/>
                                <w:color w:val="000000" w:themeColor="text1"/>
                                <w:sz w:val="20"/>
                                <w:szCs w:val="20"/>
                                <w:shd w:val="clear" w:color="auto" w:fill="FFFFFF"/>
                              </w:rPr>
                              <w:t>6</w:t>
                            </w:r>
                            <w:r w:rsidR="00576722" w:rsidRPr="008D638C">
                              <w:rPr>
                                <w:rFonts w:ascii="Garamond" w:hAnsi="Garamond" w:cs="Segoe UI"/>
                                <w:color w:val="000000" w:themeColor="text1"/>
                                <w:sz w:val="20"/>
                                <w:szCs w:val="20"/>
                                <w:shd w:val="clear" w:color="auto" w:fill="FFFFFF"/>
                              </w:rPr>
                              <w:t>(</w:t>
                            </w:r>
                            <w:r w:rsidR="008A672B" w:rsidRPr="008D638C">
                              <w:rPr>
                                <w:rFonts w:ascii="Garamond" w:hAnsi="Garamond" w:cs="Segoe UI"/>
                                <w:color w:val="000000" w:themeColor="text1"/>
                                <w:sz w:val="20"/>
                                <w:szCs w:val="20"/>
                                <w:shd w:val="clear" w:color="auto" w:fill="FFFFFF"/>
                              </w:rPr>
                              <w:t>1</w:t>
                            </w:r>
                            <w:r w:rsidR="00576722" w:rsidRPr="008D638C">
                              <w:rPr>
                                <w:rFonts w:ascii="Garamond" w:hAnsi="Garamond" w:cs="Segoe UI"/>
                                <w:color w:val="000000" w:themeColor="text1"/>
                                <w:sz w:val="20"/>
                                <w:szCs w:val="20"/>
                                <w:shd w:val="clear" w:color="auto" w:fill="FFFFFF"/>
                              </w:rPr>
                              <w:t>)</w:t>
                            </w:r>
                            <w:r w:rsidR="008D73B9">
                              <w:rPr>
                                <w:rFonts w:ascii="Garamond" w:hAnsi="Garamond" w:cs="Segoe UI"/>
                                <w:color w:val="000000" w:themeColor="text1"/>
                                <w:sz w:val="20"/>
                                <w:szCs w:val="20"/>
                                <w:shd w:val="clear" w:color="auto" w:fill="FFFFFF"/>
                              </w:rPr>
                              <w:t xml:space="preserve">:9 – 14. </w:t>
                            </w:r>
                            <w:hyperlink r:id="rId22" w:history="1">
                              <w:r w:rsidR="008D73B9" w:rsidRPr="008D4B15">
                                <w:rPr>
                                  <w:rStyle w:val="Hyperlink"/>
                                  <w:rFonts w:ascii="Garamond" w:hAnsi="Garamond" w:cs="Arial"/>
                                  <w:sz w:val="20"/>
                                  <w:szCs w:val="20"/>
                                </w:rPr>
                                <w:t>https://doi.org/10.71637/tnhj.v26i1.912</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1.95pt;width:210.35pt;height:88.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" fillcolor="window" strokecolor="#548235" strokeweight=".5pt">
                <v:textbox>
                  <w:txbxContent>
                    <w:p w14:paraId="65562D4D" w14:textId="5ABAC11B" w:rsidR="00576722" w:rsidRPr="008D638C" w:rsidRDefault="0056280E" w:rsidP="00D26558">
                      <w:pPr>
                        <w:pBdr>
                          <w:bottom w:val="single" w:sz="6" w:space="1" w:color="auto"/>
                        </w:pBdr>
                        <w:jc w:val="both"/>
                        <w:rPr>
                          <w:rFonts w:ascii="Garamond" w:hAnsi="Garamond" w:cs="Segoe UI"/>
                          <w:color w:val="000000" w:themeColor="text1"/>
                          <w:sz w:val="20"/>
                          <w:szCs w:val="20"/>
                          <w:shd w:val="clear" w:color="auto" w:fill="FFFFFF"/>
                        </w:rPr>
                      </w:pPr>
                      <w:proofErr w:type="spellStart"/>
                      <w:r w:rsidRPr="008D638C">
                        <w:rPr>
                          <w:rFonts w:ascii="Garamond" w:hAnsi="Garamond" w:cs="Segoe UI"/>
                          <w:i/>
                          <w:iCs/>
                          <w:sz w:val="20"/>
                          <w:szCs w:val="20"/>
                          <w:shd w:val="clear" w:color="auto" w:fill="FFFFFF"/>
                        </w:rPr>
                        <w:t>Nwokoro</w:t>
                      </w:r>
                      <w:proofErr w:type="spellEnd"/>
                      <w:r w:rsidRPr="008D638C">
                        <w:rPr>
                          <w:rFonts w:ascii="Garamond" w:hAnsi="Garamond" w:cs="Segoe UI"/>
                          <w:i/>
                          <w:iCs/>
                          <w:sz w:val="20"/>
                          <w:szCs w:val="20"/>
                          <w:shd w:val="clear" w:color="auto" w:fill="FFFFFF"/>
                        </w:rPr>
                        <w:t xml:space="preserve"> CC,</w:t>
                      </w:r>
                      <w:r w:rsidR="008D638C" w:rsidRPr="008D638C">
                        <w:rPr>
                          <w:rFonts w:ascii="Garamond" w:hAnsi="Garamond" w:cs="Segoe UI"/>
                          <w:i/>
                          <w:iCs/>
                          <w:sz w:val="20"/>
                          <w:szCs w:val="20"/>
                          <w:shd w:val="clear" w:color="auto" w:fill="FFFFFF"/>
                        </w:rPr>
                        <w:t xml:space="preserve"> </w:t>
                      </w:r>
                      <w:proofErr w:type="spellStart"/>
                      <w:r w:rsidR="008D638C" w:rsidRPr="008D638C">
                        <w:rPr>
                          <w:rFonts w:ascii="Garamond" w:hAnsi="Garamond" w:cs="Segoe UI"/>
                          <w:i/>
                          <w:iCs/>
                          <w:sz w:val="20"/>
                          <w:szCs w:val="20"/>
                          <w:shd w:val="clear" w:color="auto" w:fill="FFFFFF"/>
                        </w:rPr>
                        <w:t>Amosu</w:t>
                      </w:r>
                      <w:proofErr w:type="spellEnd"/>
                      <w:r w:rsidR="008D638C" w:rsidRPr="008D638C">
                        <w:rPr>
                          <w:rFonts w:ascii="Garamond" w:hAnsi="Garamond" w:cs="Segoe UI"/>
                          <w:i/>
                          <w:iCs/>
                          <w:sz w:val="20"/>
                          <w:szCs w:val="20"/>
                          <w:shd w:val="clear" w:color="auto" w:fill="FFFFFF"/>
                        </w:rPr>
                        <w:t xml:space="preserve"> LO, Ogundele IO, Oso </w:t>
                      </w:r>
                      <w:r w:rsidR="00F53556">
                        <w:rPr>
                          <w:rFonts w:ascii="Garamond" w:hAnsi="Garamond" w:cs="Segoe UI"/>
                          <w:i/>
                          <w:iCs/>
                          <w:sz w:val="20"/>
                          <w:szCs w:val="20"/>
                          <w:shd w:val="clear" w:color="auto" w:fill="FFFFFF"/>
                        </w:rPr>
                        <w:t>OA</w:t>
                      </w:r>
                      <w:r w:rsidR="008D638C" w:rsidRPr="008D638C">
                        <w:rPr>
                          <w:rFonts w:ascii="Garamond" w:hAnsi="Garamond" w:cs="Segoe UI"/>
                          <w:i/>
                          <w:iCs/>
                          <w:sz w:val="20"/>
                          <w:szCs w:val="20"/>
                          <w:shd w:val="clear" w:color="auto" w:fill="FFFFFF"/>
                        </w:rPr>
                        <w:t xml:space="preserve">, Ajayi AA, </w:t>
                      </w:r>
                      <w:proofErr w:type="spellStart"/>
                      <w:r w:rsidR="008D638C" w:rsidRPr="008D638C">
                        <w:rPr>
                          <w:rFonts w:ascii="Garamond" w:hAnsi="Garamond" w:cs="Segoe UI"/>
                          <w:i/>
                          <w:iCs/>
                          <w:sz w:val="20"/>
                          <w:szCs w:val="20"/>
                          <w:shd w:val="clear" w:color="auto" w:fill="FFFFFF"/>
                        </w:rPr>
                        <w:t>Igbagbolere</w:t>
                      </w:r>
                      <w:proofErr w:type="spellEnd"/>
                      <w:r w:rsidR="008D638C" w:rsidRPr="008D638C">
                        <w:rPr>
                          <w:rFonts w:ascii="Garamond" w:hAnsi="Garamond" w:cs="Segoe UI"/>
                          <w:i/>
                          <w:iCs/>
                          <w:sz w:val="20"/>
                          <w:szCs w:val="20"/>
                          <w:shd w:val="clear" w:color="auto" w:fill="FFFFFF"/>
                        </w:rPr>
                        <w:t xml:space="preserve"> AB, </w:t>
                      </w:r>
                      <w:proofErr w:type="spellStart"/>
                      <w:r w:rsidR="008D638C" w:rsidRPr="008D638C">
                        <w:rPr>
                          <w:rFonts w:ascii="Garamond" w:hAnsi="Garamond" w:cs="Segoe UI"/>
                          <w:i/>
                          <w:iCs/>
                          <w:sz w:val="20"/>
                          <w:szCs w:val="20"/>
                          <w:shd w:val="clear" w:color="auto" w:fill="FFFFFF"/>
                        </w:rPr>
                        <w:t>Kalesanwo</w:t>
                      </w:r>
                      <w:proofErr w:type="spellEnd"/>
                      <w:r w:rsidR="008D638C" w:rsidRPr="008D638C">
                        <w:rPr>
                          <w:rFonts w:ascii="Garamond" w:hAnsi="Garamond" w:cs="Segoe UI"/>
                          <w:i/>
                          <w:iCs/>
                          <w:sz w:val="20"/>
                          <w:szCs w:val="20"/>
                          <w:shd w:val="clear" w:color="auto" w:fill="FFFFFF"/>
                        </w:rPr>
                        <w:t xml:space="preserve"> E, </w:t>
                      </w:r>
                      <w:proofErr w:type="spellStart"/>
                      <w:r w:rsidR="008D638C" w:rsidRPr="008D638C">
                        <w:rPr>
                          <w:rFonts w:ascii="Garamond" w:hAnsi="Garamond" w:cs="Segoe UI"/>
                          <w:i/>
                          <w:iCs/>
                          <w:sz w:val="20"/>
                          <w:szCs w:val="20"/>
                          <w:shd w:val="clear" w:color="auto" w:fill="FFFFFF"/>
                        </w:rPr>
                        <w:t>Ayegbusi</w:t>
                      </w:r>
                      <w:proofErr w:type="spellEnd"/>
                      <w:r w:rsidR="008D638C" w:rsidRPr="008D638C">
                        <w:rPr>
                          <w:rFonts w:ascii="Garamond" w:hAnsi="Garamond" w:cs="Segoe UI"/>
                          <w:i/>
                          <w:iCs/>
                          <w:sz w:val="20"/>
                          <w:szCs w:val="20"/>
                          <w:shd w:val="clear" w:color="auto" w:fill="FFFFFF"/>
                        </w:rPr>
                        <w:t xml:space="preserve"> A, Adewole AD. </w:t>
                      </w:r>
                      <w:r w:rsidR="008D638C" w:rsidRPr="008D638C">
                        <w:rPr>
                          <w:rFonts w:ascii="Garamond" w:hAnsi="Garamond" w:cs="Segoe UI"/>
                          <w:sz w:val="20"/>
                          <w:szCs w:val="20"/>
                          <w:shd w:val="clear" w:color="auto" w:fill="FFFFFF"/>
                          <w:lang w:val="en-GB"/>
                        </w:rPr>
                        <w:t xml:space="preserve">Intestinal Obstruction in Childhood Caused by Intussusception: Experience at A Tertiary Hospital in Southern Nigeria. </w:t>
                      </w:r>
                      <w:r w:rsidR="00576722" w:rsidRPr="008D638C">
                        <w:rPr>
                          <w:rFonts w:ascii="Garamond" w:hAnsi="Garamond" w:cs="Segoe UI"/>
                          <w:color w:val="000000" w:themeColor="text1"/>
                          <w:sz w:val="20"/>
                          <w:szCs w:val="20"/>
                          <w:shd w:val="clear" w:color="auto" w:fill="FFFFFF"/>
                        </w:rPr>
                        <w:t>The Nigerian Health Journal 202</w:t>
                      </w:r>
                      <w:r w:rsidR="008A672B" w:rsidRPr="008D638C">
                        <w:rPr>
                          <w:rFonts w:ascii="Garamond" w:hAnsi="Garamond" w:cs="Segoe UI"/>
                          <w:color w:val="000000" w:themeColor="text1"/>
                          <w:sz w:val="20"/>
                          <w:szCs w:val="20"/>
                          <w:shd w:val="clear" w:color="auto" w:fill="FFFFFF"/>
                        </w:rPr>
                        <w:t>6</w:t>
                      </w:r>
                      <w:r w:rsidR="00576722" w:rsidRPr="008D638C">
                        <w:rPr>
                          <w:rFonts w:ascii="Garamond" w:hAnsi="Garamond" w:cs="Segoe UI"/>
                          <w:color w:val="000000" w:themeColor="text1"/>
                          <w:sz w:val="20"/>
                          <w:szCs w:val="20"/>
                          <w:shd w:val="clear" w:color="auto" w:fill="FFFFFF"/>
                        </w:rPr>
                        <w:t>; 2</w:t>
                      </w:r>
                      <w:r w:rsidR="008A672B" w:rsidRPr="008D638C">
                        <w:rPr>
                          <w:rFonts w:ascii="Garamond" w:hAnsi="Garamond" w:cs="Segoe UI"/>
                          <w:color w:val="000000" w:themeColor="text1"/>
                          <w:sz w:val="20"/>
                          <w:szCs w:val="20"/>
                          <w:shd w:val="clear" w:color="auto" w:fill="FFFFFF"/>
                        </w:rPr>
                        <w:t>6</w:t>
                      </w:r>
                      <w:r w:rsidR="00576722" w:rsidRPr="008D638C">
                        <w:rPr>
                          <w:rFonts w:ascii="Garamond" w:hAnsi="Garamond" w:cs="Segoe UI"/>
                          <w:color w:val="000000" w:themeColor="text1"/>
                          <w:sz w:val="20"/>
                          <w:szCs w:val="20"/>
                          <w:shd w:val="clear" w:color="auto" w:fill="FFFFFF"/>
                        </w:rPr>
                        <w:t>(</w:t>
                      </w:r>
                      <w:r w:rsidR="008A672B" w:rsidRPr="008D638C">
                        <w:rPr>
                          <w:rFonts w:ascii="Garamond" w:hAnsi="Garamond" w:cs="Segoe UI"/>
                          <w:color w:val="000000" w:themeColor="text1"/>
                          <w:sz w:val="20"/>
                          <w:szCs w:val="20"/>
                          <w:shd w:val="clear" w:color="auto" w:fill="FFFFFF"/>
                        </w:rPr>
                        <w:t>1</w:t>
                      </w:r>
                      <w:r w:rsidR="00576722" w:rsidRPr="008D638C">
                        <w:rPr>
                          <w:rFonts w:ascii="Garamond" w:hAnsi="Garamond" w:cs="Segoe UI"/>
                          <w:color w:val="000000" w:themeColor="text1"/>
                          <w:sz w:val="20"/>
                          <w:szCs w:val="20"/>
                          <w:shd w:val="clear" w:color="auto" w:fill="FFFFFF"/>
                        </w:rPr>
                        <w:t>)</w:t>
                      </w:r>
                      <w:r w:rsidR="008D73B9">
                        <w:rPr>
                          <w:rFonts w:ascii="Garamond" w:hAnsi="Garamond" w:cs="Segoe UI"/>
                          <w:color w:val="000000" w:themeColor="text1"/>
                          <w:sz w:val="20"/>
                          <w:szCs w:val="20"/>
                          <w:shd w:val="clear" w:color="auto" w:fill="FFFFFF"/>
                        </w:rPr>
                        <w:t xml:space="preserve">:9 – 14. </w:t>
                      </w:r>
                      <w:hyperlink r:id="rId23" w:history="1">
                        <w:r w:rsidR="008D73B9" w:rsidRPr="008D4B15">
                          <w:rPr>
                            <w:rStyle w:val="Hyperlink"/>
                            <w:rFonts w:ascii="Garamond" w:hAnsi="Garamond" w:cs="Arial"/>
                            <w:sz w:val="20"/>
                            <w:szCs w:val="20"/>
                          </w:rPr>
                          <w:t>https://doi.org/10.71637/tnhj.v26i1.912</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1C23B05A" w:rsidR="000720E5" w:rsidRDefault="00DA62A5"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772D15C2" w14:textId="0FB8B798" w:rsidR="000D7303" w:rsidRPr="00F53556" w:rsidRDefault="000D7303" w:rsidP="00110A68">
      <w:pPr>
        <w:jc w:val="both"/>
        <w:rPr>
          <w:rFonts w:ascii="Garamond" w:hAnsi="Garamond"/>
          <w:bCs/>
          <w:iCs/>
          <w:sz w:val="20"/>
          <w:szCs w:val="20"/>
          <w:lang w:val="en-GB"/>
        </w:rPr>
      </w:pPr>
      <w:r w:rsidRPr="000D7303">
        <w:rPr>
          <w:rFonts w:ascii="Garamond" w:hAnsi="Garamond"/>
          <w:bCs/>
          <w:iCs/>
          <w:sz w:val="20"/>
          <w:szCs w:val="20"/>
        </w:rPr>
        <w:t>Intussusception is the invagination of one segment of the intestine</w:t>
      </w:r>
      <w:r w:rsidRPr="000D7303">
        <w:rPr>
          <w:rFonts w:ascii="Garamond" w:hAnsi="Garamond"/>
          <w:bCs/>
          <w:iCs/>
          <w:sz w:val="20"/>
          <w:szCs w:val="20"/>
          <w:lang w:val="en-GB"/>
        </w:rPr>
        <w:t>, usually proximal</w:t>
      </w:r>
      <w:r w:rsidRPr="000D7303">
        <w:rPr>
          <w:rFonts w:ascii="Garamond" w:hAnsi="Garamond"/>
          <w:bCs/>
          <w:iCs/>
          <w:sz w:val="20"/>
          <w:szCs w:val="20"/>
        </w:rPr>
        <w:t xml:space="preserve"> </w:t>
      </w:r>
      <w:r w:rsidRPr="000D7303">
        <w:rPr>
          <w:rFonts w:ascii="Garamond" w:hAnsi="Garamond"/>
          <w:bCs/>
          <w:iCs/>
          <w:sz w:val="20"/>
          <w:szCs w:val="20"/>
          <w:lang w:val="en-GB"/>
        </w:rPr>
        <w:t>into</w:t>
      </w:r>
      <w:r w:rsidRPr="000D7303">
        <w:rPr>
          <w:rFonts w:ascii="Garamond" w:hAnsi="Garamond"/>
          <w:bCs/>
          <w:iCs/>
          <w:sz w:val="20"/>
          <w:szCs w:val="20"/>
        </w:rPr>
        <w:t xml:space="preserve"> a more distal segment</w:t>
      </w:r>
      <w:r w:rsidRPr="000D7303">
        <w:rPr>
          <w:rFonts w:ascii="Garamond" w:hAnsi="Garamond"/>
          <w:bCs/>
          <w:iCs/>
          <w:sz w:val="20"/>
          <w:szCs w:val="20"/>
          <w:lang w:val="en-GB"/>
        </w:rPr>
        <w:t>, though sometimes there may be the invagination of a loop of bowel occurring from distal to proximal segment</w:t>
      </w:r>
      <w:r w:rsidRPr="000D7303">
        <w:rPr>
          <w:rFonts w:ascii="Garamond" w:hAnsi="Garamond"/>
          <w:bCs/>
          <w:iCs/>
          <w:sz w:val="20"/>
          <w:szCs w:val="20"/>
        </w:rPr>
        <w:t xml:space="preserve">. It is the most common cause of bowel obstruction in infants, occurring usually between </w:t>
      </w:r>
      <w:r w:rsidRPr="000D7303">
        <w:rPr>
          <w:rFonts w:ascii="Garamond" w:hAnsi="Garamond"/>
          <w:bCs/>
          <w:iCs/>
          <w:sz w:val="20"/>
          <w:szCs w:val="20"/>
          <w:lang w:val="en-GB"/>
        </w:rPr>
        <w:t>three</w:t>
      </w:r>
      <w:r w:rsidRPr="000D7303">
        <w:rPr>
          <w:rFonts w:ascii="Garamond" w:hAnsi="Garamond"/>
          <w:bCs/>
          <w:iCs/>
          <w:sz w:val="20"/>
          <w:szCs w:val="20"/>
        </w:rPr>
        <w:t xml:space="preserve"> and </w:t>
      </w:r>
      <w:r w:rsidRPr="000D7303">
        <w:rPr>
          <w:rFonts w:ascii="Garamond" w:hAnsi="Garamond"/>
          <w:bCs/>
          <w:iCs/>
          <w:sz w:val="20"/>
          <w:szCs w:val="20"/>
          <w:lang w:val="en-GB"/>
        </w:rPr>
        <w:t>eight</w:t>
      </w:r>
      <w:r w:rsidRPr="000D7303">
        <w:rPr>
          <w:rFonts w:ascii="Garamond" w:hAnsi="Garamond"/>
          <w:bCs/>
          <w:iCs/>
          <w:sz w:val="20"/>
          <w:szCs w:val="20"/>
        </w:rPr>
        <w:t xml:space="preserve"> months </w:t>
      </w:r>
      <w:r w:rsidRPr="000D7303">
        <w:rPr>
          <w:rFonts w:ascii="Garamond" w:hAnsi="Garamond"/>
          <w:bCs/>
          <w:iCs/>
          <w:sz w:val="20"/>
          <w:szCs w:val="20"/>
          <w:lang w:val="en-GB"/>
        </w:rPr>
        <w:t xml:space="preserve">with a peak age </w:t>
      </w:r>
      <w:r w:rsidRPr="000D7303">
        <w:rPr>
          <w:rFonts w:ascii="Garamond" w:hAnsi="Garamond"/>
          <w:bCs/>
          <w:iCs/>
          <w:sz w:val="20"/>
          <w:szCs w:val="20"/>
        </w:rPr>
        <w:t xml:space="preserve">of </w:t>
      </w:r>
      <w:r w:rsidRPr="000D7303">
        <w:rPr>
          <w:rFonts w:ascii="Garamond" w:hAnsi="Garamond"/>
          <w:bCs/>
          <w:iCs/>
          <w:sz w:val="20"/>
          <w:szCs w:val="20"/>
          <w:lang w:val="en-GB"/>
        </w:rPr>
        <w:t>incidence at six months</w:t>
      </w:r>
      <w:r w:rsidRPr="000D7303">
        <w:rPr>
          <w:rFonts w:ascii="Garamond" w:hAnsi="Garamond"/>
          <w:bCs/>
          <w:iCs/>
          <w:sz w:val="20"/>
          <w:szCs w:val="20"/>
        </w:rPr>
        <w:t xml:space="preserve">. </w:t>
      </w:r>
      <w:r w:rsidRPr="000D7303">
        <w:rPr>
          <w:rFonts w:ascii="Garamond" w:hAnsi="Garamond"/>
          <w:bCs/>
          <w:iCs/>
          <w:sz w:val="20"/>
          <w:szCs w:val="20"/>
          <w:lang w:val="en-GB"/>
        </w:rPr>
        <w:t xml:space="preserve">The </w:t>
      </w:r>
      <w:r w:rsidRPr="000D7303">
        <w:rPr>
          <w:rFonts w:ascii="Garamond" w:hAnsi="Garamond"/>
          <w:bCs/>
          <w:iCs/>
          <w:sz w:val="20"/>
          <w:szCs w:val="20"/>
        </w:rPr>
        <w:t xml:space="preserve">ileum </w:t>
      </w:r>
      <w:r w:rsidRPr="000D7303">
        <w:rPr>
          <w:rFonts w:ascii="Garamond" w:hAnsi="Garamond"/>
          <w:bCs/>
          <w:iCs/>
          <w:sz w:val="20"/>
          <w:szCs w:val="20"/>
          <w:lang w:val="en-GB"/>
        </w:rPr>
        <w:t xml:space="preserve">usually </w:t>
      </w:r>
      <w:r w:rsidR="00DA62A5" w:rsidRPr="000D7303">
        <w:rPr>
          <w:rFonts w:ascii="Garamond" w:hAnsi="Garamond"/>
          <w:bCs/>
          <w:iCs/>
          <w:sz w:val="20"/>
          <w:szCs w:val="20"/>
        </w:rPr>
        <w:t>invaginates</w:t>
      </w:r>
      <w:r w:rsidRPr="000D7303">
        <w:rPr>
          <w:rFonts w:ascii="Garamond" w:hAnsi="Garamond"/>
          <w:bCs/>
          <w:iCs/>
          <w:sz w:val="20"/>
          <w:szCs w:val="20"/>
        </w:rPr>
        <w:t xml:space="preserve"> through the </w:t>
      </w:r>
      <w:r w:rsidRPr="000D7303">
        <w:rPr>
          <w:rFonts w:ascii="Garamond" w:hAnsi="Garamond"/>
          <w:bCs/>
          <w:iCs/>
          <w:sz w:val="20"/>
          <w:szCs w:val="20"/>
          <w:lang w:val="en-GB"/>
        </w:rPr>
        <w:t xml:space="preserve">caecum and can travel as far as the anal orifice to present as prolapsed </w:t>
      </w:r>
      <w:r w:rsidRPr="000D7303">
        <w:rPr>
          <w:rFonts w:ascii="Garamond" w:hAnsi="Garamond"/>
          <w:bCs/>
          <w:iCs/>
          <w:sz w:val="20"/>
          <w:szCs w:val="20"/>
        </w:rPr>
        <w:t>intussusception</w:t>
      </w:r>
      <w:r w:rsidRPr="000D7303">
        <w:rPr>
          <w:rFonts w:ascii="Garamond" w:hAnsi="Garamond"/>
          <w:bCs/>
          <w:iCs/>
          <w:sz w:val="20"/>
          <w:szCs w:val="20"/>
          <w:lang w:val="en-GB"/>
        </w:rPr>
        <w:t xml:space="preserve">. The aftermath of the process of invagination is loss of blood supply into the </w:t>
      </w:r>
      <w:proofErr w:type="spellStart"/>
      <w:r w:rsidRPr="000D7303">
        <w:rPr>
          <w:rFonts w:ascii="Garamond" w:hAnsi="Garamond"/>
          <w:bCs/>
          <w:iCs/>
          <w:sz w:val="20"/>
          <w:szCs w:val="20"/>
        </w:rPr>
        <w:t>intussuscep</w:t>
      </w:r>
      <w:proofErr w:type="spellEnd"/>
      <w:r w:rsidRPr="000D7303">
        <w:rPr>
          <w:rFonts w:ascii="Garamond" w:hAnsi="Garamond"/>
          <w:bCs/>
          <w:iCs/>
          <w:sz w:val="20"/>
          <w:szCs w:val="20"/>
          <w:lang w:val="en-GB"/>
        </w:rPr>
        <w:t xml:space="preserve">ted loop of bowel. If </w:t>
      </w:r>
      <w:r w:rsidRPr="000D7303">
        <w:rPr>
          <w:rFonts w:ascii="Garamond" w:hAnsi="Garamond"/>
          <w:bCs/>
          <w:iCs/>
          <w:sz w:val="20"/>
          <w:szCs w:val="20"/>
        </w:rPr>
        <w:t>intussusception</w:t>
      </w:r>
      <w:r w:rsidRPr="000D7303">
        <w:rPr>
          <w:rFonts w:ascii="Garamond" w:hAnsi="Garamond"/>
          <w:bCs/>
          <w:iCs/>
          <w:sz w:val="20"/>
          <w:szCs w:val="20"/>
          <w:lang w:val="en-GB"/>
        </w:rPr>
        <w:t xml:space="preserve"> is left unresolved, it would lead to bowel gangrene, perforation and peritonitis.</w:t>
      </w:r>
      <w:r w:rsidRPr="000D7303">
        <w:rPr>
          <w:rFonts w:ascii="Garamond" w:hAnsi="Garamond"/>
          <w:bCs/>
          <w:iCs/>
          <w:sz w:val="20"/>
          <w:szCs w:val="20"/>
          <w:vertAlign w:val="superscript"/>
          <w:lang w:val="en-GB"/>
        </w:rPr>
        <w:t>1,2,3</w:t>
      </w:r>
    </w:p>
    <w:p w14:paraId="17A8B10F" w14:textId="77777777" w:rsidR="000D7303" w:rsidRPr="000D7303" w:rsidRDefault="000D7303" w:rsidP="00110A68">
      <w:pPr>
        <w:jc w:val="both"/>
        <w:rPr>
          <w:rFonts w:ascii="Garamond" w:hAnsi="Garamond"/>
          <w:bCs/>
          <w:iCs/>
          <w:sz w:val="20"/>
          <w:szCs w:val="20"/>
        </w:rPr>
      </w:pPr>
      <w:r w:rsidRPr="000D7303">
        <w:rPr>
          <w:rFonts w:ascii="Garamond" w:hAnsi="Garamond"/>
          <w:bCs/>
          <w:iCs/>
          <w:sz w:val="20"/>
          <w:szCs w:val="20"/>
        </w:rPr>
        <w:t xml:space="preserve">There are approximately 74 intussusceptions per 100,000 infants occurring annually worldwide. The incidence has been reported as high in Vietnam and Korea with 300 </w:t>
      </w:r>
    </w:p>
    <w:p w14:paraId="57229C51" w14:textId="5DF99A91" w:rsidR="000D7303" w:rsidRPr="000D7303" w:rsidRDefault="000D7303" w:rsidP="00110A68">
      <w:pPr>
        <w:jc w:val="both"/>
        <w:rPr>
          <w:rFonts w:ascii="Garamond" w:hAnsi="Garamond"/>
          <w:bCs/>
          <w:iCs/>
          <w:sz w:val="20"/>
          <w:szCs w:val="20"/>
          <w:lang w:val="en-GB"/>
        </w:rPr>
      </w:pPr>
      <w:r w:rsidRPr="000D7303">
        <w:rPr>
          <w:rFonts w:ascii="Garamond" w:hAnsi="Garamond"/>
          <w:bCs/>
          <w:iCs/>
          <w:sz w:val="20"/>
          <w:szCs w:val="20"/>
        </w:rPr>
        <w:t>per 100,000 infants and as low in Bangladesh with nine per 100,000 infants.</w:t>
      </w:r>
      <w:r w:rsidRPr="000D7303">
        <w:rPr>
          <w:rFonts w:ascii="Garamond" w:hAnsi="Garamond"/>
          <w:bCs/>
          <w:iCs/>
          <w:sz w:val="20"/>
          <w:szCs w:val="20"/>
          <w:vertAlign w:val="superscript"/>
          <w:lang w:val="en-GB"/>
        </w:rPr>
        <w:t xml:space="preserve">3,4 </w:t>
      </w:r>
      <w:r w:rsidRPr="000D7303">
        <w:rPr>
          <w:rFonts w:ascii="Garamond" w:hAnsi="Garamond"/>
          <w:bCs/>
          <w:iCs/>
          <w:sz w:val="20"/>
          <w:szCs w:val="20"/>
        </w:rPr>
        <w:t>Usually, acute intussusception present</w:t>
      </w:r>
      <w:r w:rsidRPr="000D7303">
        <w:rPr>
          <w:rFonts w:ascii="Garamond" w:hAnsi="Garamond"/>
          <w:bCs/>
          <w:iCs/>
          <w:sz w:val="20"/>
          <w:szCs w:val="20"/>
          <w:lang w:val="en-GB"/>
        </w:rPr>
        <w:t>s</w:t>
      </w:r>
      <w:r w:rsidRPr="000D7303">
        <w:rPr>
          <w:rFonts w:ascii="Garamond" w:hAnsi="Garamond"/>
          <w:bCs/>
          <w:iCs/>
          <w:sz w:val="20"/>
          <w:szCs w:val="20"/>
        </w:rPr>
        <w:t xml:space="preserve"> with vomiting, colicky abdominal pain, and </w:t>
      </w:r>
      <w:r w:rsidRPr="000D7303">
        <w:rPr>
          <w:rFonts w:ascii="Garamond" w:hAnsi="Garamond"/>
          <w:bCs/>
          <w:iCs/>
          <w:sz w:val="20"/>
          <w:szCs w:val="20"/>
          <w:lang w:val="en-GB"/>
        </w:rPr>
        <w:t xml:space="preserve">passage of </w:t>
      </w:r>
      <w:r w:rsidRPr="000D7303">
        <w:rPr>
          <w:rFonts w:ascii="Garamond" w:hAnsi="Garamond"/>
          <w:bCs/>
          <w:iCs/>
          <w:sz w:val="20"/>
          <w:szCs w:val="20"/>
        </w:rPr>
        <w:t>bloody stool. T</w:t>
      </w:r>
      <w:r w:rsidRPr="000D7303">
        <w:rPr>
          <w:rFonts w:ascii="Garamond" w:hAnsi="Garamond"/>
          <w:bCs/>
          <w:iCs/>
          <w:sz w:val="20"/>
          <w:szCs w:val="20"/>
          <w:lang w:val="en-GB"/>
        </w:rPr>
        <w:t>he diagnosis of intussusception is most clinical but can be aided with the use of abdominal ultrasonography, plain abdominal radiography, computerized tomography scan</w:t>
      </w:r>
      <w:r w:rsidRPr="000D7303">
        <w:rPr>
          <w:rFonts w:ascii="Garamond" w:hAnsi="Garamond"/>
          <w:bCs/>
          <w:iCs/>
          <w:sz w:val="20"/>
          <w:szCs w:val="20"/>
        </w:rPr>
        <w:t xml:space="preserve"> </w:t>
      </w:r>
      <w:r w:rsidRPr="000D7303">
        <w:rPr>
          <w:rFonts w:ascii="Garamond" w:hAnsi="Garamond"/>
          <w:bCs/>
          <w:iCs/>
          <w:sz w:val="20"/>
          <w:szCs w:val="20"/>
          <w:lang w:val="en-GB"/>
        </w:rPr>
        <w:t>and</w:t>
      </w:r>
      <w:r w:rsidRPr="000D7303">
        <w:rPr>
          <w:rFonts w:ascii="Garamond" w:hAnsi="Garamond"/>
          <w:bCs/>
          <w:iCs/>
          <w:sz w:val="20"/>
          <w:szCs w:val="20"/>
        </w:rPr>
        <w:t xml:space="preserve"> barium</w:t>
      </w:r>
      <w:r w:rsidRPr="000D7303">
        <w:rPr>
          <w:rFonts w:ascii="Garamond" w:hAnsi="Garamond"/>
          <w:bCs/>
          <w:iCs/>
          <w:sz w:val="20"/>
          <w:szCs w:val="20"/>
          <w:lang w:val="en-GB"/>
        </w:rPr>
        <w:t xml:space="preserve"> emema.</w:t>
      </w:r>
      <w:r w:rsidRPr="000D7303">
        <w:rPr>
          <w:rFonts w:ascii="Garamond" w:hAnsi="Garamond"/>
          <w:bCs/>
          <w:iCs/>
          <w:sz w:val="20"/>
          <w:szCs w:val="20"/>
          <w:vertAlign w:val="superscript"/>
          <w:lang w:val="en-GB"/>
        </w:rPr>
        <w:t>5,6</w:t>
      </w:r>
      <w:r w:rsidRPr="000D7303">
        <w:rPr>
          <w:rFonts w:ascii="Garamond" w:hAnsi="Garamond"/>
          <w:bCs/>
          <w:iCs/>
          <w:sz w:val="20"/>
          <w:szCs w:val="20"/>
          <w:lang w:val="en-GB"/>
        </w:rPr>
        <w:t xml:space="preserve"> I</w:t>
      </w:r>
      <w:proofErr w:type="spellStart"/>
      <w:r w:rsidRPr="000D7303">
        <w:rPr>
          <w:rFonts w:ascii="Garamond" w:hAnsi="Garamond"/>
          <w:bCs/>
          <w:iCs/>
          <w:sz w:val="20"/>
          <w:szCs w:val="20"/>
        </w:rPr>
        <w:t>ntussusception</w:t>
      </w:r>
      <w:proofErr w:type="spellEnd"/>
      <w:r w:rsidRPr="000D7303">
        <w:rPr>
          <w:rFonts w:ascii="Garamond" w:hAnsi="Garamond"/>
          <w:bCs/>
          <w:iCs/>
          <w:sz w:val="20"/>
          <w:szCs w:val="20"/>
        </w:rPr>
        <w:t xml:space="preserve"> </w:t>
      </w:r>
      <w:r w:rsidRPr="000D7303">
        <w:rPr>
          <w:rFonts w:ascii="Garamond" w:hAnsi="Garamond"/>
          <w:bCs/>
          <w:iCs/>
          <w:sz w:val="20"/>
          <w:szCs w:val="20"/>
          <w:lang w:val="en-GB"/>
        </w:rPr>
        <w:t>is</w:t>
      </w:r>
      <w:r w:rsidRPr="000D7303">
        <w:rPr>
          <w:rFonts w:ascii="Garamond" w:hAnsi="Garamond"/>
          <w:bCs/>
          <w:iCs/>
          <w:sz w:val="20"/>
          <w:szCs w:val="20"/>
        </w:rPr>
        <w:t xml:space="preserve"> a surgical emergency in infants and young children aged </w:t>
      </w:r>
      <w:r w:rsidRPr="000D7303">
        <w:rPr>
          <w:rFonts w:ascii="Garamond" w:hAnsi="Garamond"/>
          <w:bCs/>
          <w:iCs/>
          <w:sz w:val="20"/>
          <w:szCs w:val="20"/>
          <w:lang w:val="en-GB"/>
        </w:rPr>
        <w:t>between three</w:t>
      </w:r>
      <w:r w:rsidRPr="000D7303">
        <w:rPr>
          <w:rFonts w:ascii="Times New Roman" w:hAnsi="Times New Roman" w:cs="Times New Roman"/>
          <w:bCs/>
          <w:iCs/>
          <w:sz w:val="20"/>
          <w:szCs w:val="20"/>
        </w:rPr>
        <w:t> </w:t>
      </w:r>
      <w:r w:rsidRPr="000D7303">
        <w:rPr>
          <w:rFonts w:ascii="Garamond" w:hAnsi="Garamond"/>
          <w:bCs/>
          <w:iCs/>
          <w:sz w:val="20"/>
          <w:szCs w:val="20"/>
        </w:rPr>
        <w:t xml:space="preserve">months to </w:t>
      </w:r>
      <w:r w:rsidRPr="000D7303">
        <w:rPr>
          <w:rFonts w:ascii="Garamond" w:hAnsi="Garamond"/>
          <w:bCs/>
          <w:iCs/>
          <w:sz w:val="20"/>
          <w:szCs w:val="20"/>
          <w:lang w:val="en-GB"/>
        </w:rPr>
        <w:t xml:space="preserve">three </w:t>
      </w:r>
      <w:r w:rsidRPr="000D7303">
        <w:rPr>
          <w:rFonts w:ascii="Garamond" w:hAnsi="Garamond"/>
          <w:bCs/>
          <w:iCs/>
          <w:sz w:val="20"/>
          <w:szCs w:val="20"/>
        </w:rPr>
        <w:t xml:space="preserve">years. </w:t>
      </w:r>
      <w:r w:rsidRPr="000D7303">
        <w:rPr>
          <w:rFonts w:ascii="Garamond" w:hAnsi="Garamond"/>
          <w:bCs/>
          <w:iCs/>
          <w:sz w:val="20"/>
          <w:szCs w:val="20"/>
          <w:lang w:val="en-GB"/>
        </w:rPr>
        <w:t xml:space="preserve">It </w:t>
      </w:r>
      <w:r w:rsidRPr="000D7303">
        <w:rPr>
          <w:rFonts w:ascii="Garamond" w:hAnsi="Garamond"/>
          <w:bCs/>
          <w:iCs/>
          <w:sz w:val="20"/>
          <w:szCs w:val="20"/>
        </w:rPr>
        <w:t xml:space="preserve">is the second most common cause of acute abdomen in children, following </w:t>
      </w:r>
      <w:r w:rsidRPr="000D7303">
        <w:rPr>
          <w:rFonts w:ascii="Garamond" w:hAnsi="Garamond"/>
          <w:bCs/>
          <w:iCs/>
          <w:sz w:val="20"/>
          <w:szCs w:val="20"/>
          <w:lang w:val="en-GB"/>
        </w:rPr>
        <w:t xml:space="preserve">acute </w:t>
      </w:r>
      <w:r w:rsidRPr="000D7303">
        <w:rPr>
          <w:rFonts w:ascii="Garamond" w:hAnsi="Garamond"/>
          <w:bCs/>
          <w:iCs/>
          <w:sz w:val="20"/>
          <w:szCs w:val="20"/>
        </w:rPr>
        <w:t>appendicitis</w:t>
      </w:r>
      <w:r w:rsidRPr="000D7303">
        <w:rPr>
          <w:rFonts w:ascii="Garamond" w:hAnsi="Garamond"/>
          <w:bCs/>
          <w:iCs/>
          <w:sz w:val="20"/>
          <w:szCs w:val="20"/>
          <w:lang w:val="en-GB"/>
        </w:rPr>
        <w:t>; it occurs as a result of invagination of the proximal part of bowel into another adjacent distal loop</w:t>
      </w:r>
      <w:r w:rsidRPr="000D7303">
        <w:rPr>
          <w:rFonts w:ascii="Garamond" w:hAnsi="Garamond"/>
          <w:bCs/>
          <w:iCs/>
          <w:sz w:val="20"/>
          <w:szCs w:val="20"/>
        </w:rPr>
        <w:t xml:space="preserve"> </w:t>
      </w:r>
      <w:r w:rsidRPr="000D7303">
        <w:rPr>
          <w:rFonts w:ascii="Garamond" w:hAnsi="Garamond"/>
          <w:bCs/>
          <w:iCs/>
          <w:sz w:val="20"/>
          <w:szCs w:val="20"/>
          <w:lang w:val="en-GB"/>
        </w:rPr>
        <w:t>of bowel. It is said to be idiopathic or primary with no identifiable cause and can occur occasionally from the distal into a proximal loop of bowel; it can also occur post-operatively as a result of intra-abdominal sepsis, electrolyte derangements and prolonged paralytic ileus after any abdominal surgery.</w:t>
      </w:r>
      <w:r w:rsidRPr="000D7303">
        <w:rPr>
          <w:rFonts w:ascii="Garamond" w:hAnsi="Garamond"/>
          <w:bCs/>
          <w:iCs/>
          <w:sz w:val="20"/>
          <w:szCs w:val="20"/>
          <w:vertAlign w:val="superscript"/>
          <w:lang w:val="en-GB"/>
        </w:rPr>
        <w:t>7,8,9</w:t>
      </w:r>
      <w:r w:rsidRPr="000D7303">
        <w:rPr>
          <w:rFonts w:ascii="Garamond" w:hAnsi="Garamond"/>
          <w:bCs/>
          <w:iCs/>
          <w:sz w:val="20"/>
          <w:szCs w:val="20"/>
          <w:lang w:val="en-GB"/>
        </w:rPr>
        <w:t xml:space="preserve"> </w:t>
      </w:r>
    </w:p>
    <w:p w14:paraId="061C8FD7" w14:textId="4BAB8FCE" w:rsidR="000D7303" w:rsidRPr="000D7303" w:rsidRDefault="000D7303" w:rsidP="00110A68">
      <w:pPr>
        <w:jc w:val="both"/>
        <w:rPr>
          <w:rFonts w:ascii="Garamond" w:hAnsi="Garamond"/>
          <w:bCs/>
          <w:iCs/>
          <w:sz w:val="20"/>
          <w:szCs w:val="20"/>
          <w:lang w:val="en-GB"/>
        </w:rPr>
      </w:pPr>
      <w:r w:rsidRPr="000D7303">
        <w:rPr>
          <w:rFonts w:ascii="Garamond" w:hAnsi="Garamond"/>
          <w:bCs/>
          <w:iCs/>
          <w:sz w:val="20"/>
          <w:szCs w:val="20"/>
          <w:lang w:val="en-GB"/>
        </w:rPr>
        <w:t xml:space="preserve">However, </w:t>
      </w:r>
      <w:r w:rsidRPr="000D7303">
        <w:rPr>
          <w:rFonts w:ascii="Garamond" w:hAnsi="Garamond"/>
          <w:bCs/>
          <w:iCs/>
          <w:sz w:val="20"/>
          <w:szCs w:val="20"/>
        </w:rPr>
        <w:t>intussusception</w:t>
      </w:r>
      <w:r w:rsidRPr="000D7303">
        <w:rPr>
          <w:rFonts w:ascii="Garamond" w:hAnsi="Garamond"/>
          <w:bCs/>
          <w:iCs/>
          <w:sz w:val="20"/>
          <w:szCs w:val="20"/>
          <w:lang w:val="en-GB"/>
        </w:rPr>
        <w:t xml:space="preserve"> in children aged three years and above tend to be associated with lead points such as remnants of urachus, persistent vitello-intestinal, m</w:t>
      </w:r>
      <w:proofErr w:type="spellStart"/>
      <w:r w:rsidRPr="000D7303">
        <w:rPr>
          <w:rFonts w:ascii="Garamond" w:hAnsi="Garamond"/>
          <w:bCs/>
          <w:iCs/>
          <w:sz w:val="20"/>
          <w:szCs w:val="20"/>
        </w:rPr>
        <w:t>eckel’s</w:t>
      </w:r>
      <w:proofErr w:type="spellEnd"/>
      <w:r w:rsidRPr="000D7303">
        <w:rPr>
          <w:rFonts w:ascii="Garamond" w:hAnsi="Garamond"/>
          <w:bCs/>
          <w:iCs/>
          <w:sz w:val="20"/>
          <w:szCs w:val="20"/>
        </w:rPr>
        <w:t xml:space="preserve"> diverticulum</w:t>
      </w:r>
      <w:r w:rsidRPr="000D7303">
        <w:rPr>
          <w:rFonts w:ascii="Garamond" w:hAnsi="Garamond"/>
          <w:bCs/>
          <w:iCs/>
          <w:sz w:val="20"/>
          <w:szCs w:val="20"/>
          <w:lang w:val="en-GB"/>
        </w:rPr>
        <w:t>, polyps, adenomas and helminthiasis.</w:t>
      </w:r>
      <w:r w:rsidRPr="000D7303">
        <w:rPr>
          <w:rFonts w:ascii="Garamond" w:hAnsi="Garamond"/>
          <w:bCs/>
          <w:iCs/>
          <w:sz w:val="20"/>
          <w:szCs w:val="20"/>
        </w:rPr>
        <w:t xml:space="preserve"> Intussusception</w:t>
      </w:r>
      <w:r w:rsidRPr="000D7303">
        <w:rPr>
          <w:rFonts w:ascii="Garamond" w:hAnsi="Garamond"/>
          <w:bCs/>
          <w:iCs/>
          <w:sz w:val="20"/>
          <w:szCs w:val="20"/>
          <w:lang w:val="en-GB"/>
        </w:rPr>
        <w:t xml:space="preserve"> can also be classified according to the site involved in the process; for example, Ileo-colic, </w:t>
      </w:r>
      <w:proofErr w:type="spellStart"/>
      <w:r w:rsidRPr="000D7303">
        <w:rPr>
          <w:rFonts w:ascii="Garamond" w:hAnsi="Garamond"/>
          <w:bCs/>
          <w:iCs/>
          <w:sz w:val="20"/>
          <w:szCs w:val="20"/>
          <w:lang w:val="en-GB"/>
        </w:rPr>
        <w:t>Jejuno</w:t>
      </w:r>
      <w:proofErr w:type="spellEnd"/>
      <w:r w:rsidRPr="000D7303">
        <w:rPr>
          <w:rFonts w:ascii="Garamond" w:hAnsi="Garamond"/>
          <w:bCs/>
          <w:iCs/>
          <w:sz w:val="20"/>
          <w:szCs w:val="20"/>
          <w:lang w:val="en-GB"/>
        </w:rPr>
        <w:t>-Jejunal, Colo-colic and Enterogastric. I</w:t>
      </w:r>
      <w:proofErr w:type="spellStart"/>
      <w:r w:rsidRPr="000D7303">
        <w:rPr>
          <w:rFonts w:ascii="Garamond" w:hAnsi="Garamond"/>
          <w:bCs/>
          <w:iCs/>
          <w:sz w:val="20"/>
          <w:szCs w:val="20"/>
        </w:rPr>
        <w:t>leo</w:t>
      </w:r>
      <w:proofErr w:type="spellEnd"/>
      <w:r w:rsidRPr="000D7303">
        <w:rPr>
          <w:rFonts w:ascii="Garamond" w:hAnsi="Garamond"/>
          <w:bCs/>
          <w:iCs/>
          <w:sz w:val="20"/>
          <w:szCs w:val="20"/>
          <w:lang w:val="en-GB"/>
        </w:rPr>
        <w:t xml:space="preserve">-colic is the commonest type of </w:t>
      </w:r>
      <w:r w:rsidRPr="000D7303">
        <w:rPr>
          <w:rFonts w:ascii="Garamond" w:hAnsi="Garamond"/>
          <w:bCs/>
          <w:iCs/>
          <w:sz w:val="20"/>
          <w:szCs w:val="20"/>
        </w:rPr>
        <w:t>intussusception</w:t>
      </w:r>
      <w:r w:rsidRPr="000D7303">
        <w:rPr>
          <w:rFonts w:ascii="Garamond" w:hAnsi="Garamond"/>
          <w:bCs/>
          <w:iCs/>
          <w:sz w:val="20"/>
          <w:szCs w:val="20"/>
          <w:lang w:val="en-GB"/>
        </w:rPr>
        <w:t xml:space="preserve"> seen in children</w:t>
      </w:r>
      <w:r w:rsidRPr="000D7303">
        <w:rPr>
          <w:rFonts w:ascii="Garamond" w:hAnsi="Garamond"/>
          <w:bCs/>
          <w:iCs/>
          <w:sz w:val="20"/>
          <w:szCs w:val="20"/>
        </w:rPr>
        <w:t xml:space="preserve">. </w:t>
      </w:r>
      <w:r w:rsidRPr="000D7303">
        <w:rPr>
          <w:rFonts w:ascii="Garamond" w:hAnsi="Garamond"/>
          <w:bCs/>
          <w:iCs/>
          <w:sz w:val="20"/>
          <w:szCs w:val="20"/>
          <w:lang w:val="en-GB"/>
        </w:rPr>
        <w:t xml:space="preserve">In the absence of a single aetiological agent, the occurrence of </w:t>
      </w:r>
      <w:r w:rsidRPr="000D7303">
        <w:rPr>
          <w:rFonts w:ascii="Garamond" w:hAnsi="Garamond"/>
          <w:bCs/>
          <w:iCs/>
          <w:sz w:val="20"/>
          <w:szCs w:val="20"/>
        </w:rPr>
        <w:t>intussusception</w:t>
      </w:r>
      <w:r w:rsidRPr="000D7303">
        <w:rPr>
          <w:rFonts w:ascii="Garamond" w:hAnsi="Garamond"/>
          <w:bCs/>
          <w:iCs/>
          <w:sz w:val="20"/>
          <w:szCs w:val="20"/>
          <w:lang w:val="en-GB"/>
        </w:rPr>
        <w:t xml:space="preserve"> in children is associated with various risk factors such as upper respiratory tract infections, weaning from breast milk and introduction of protein rich food supplements. The characteristic presentation of </w:t>
      </w:r>
      <w:r w:rsidRPr="000D7303">
        <w:rPr>
          <w:rFonts w:ascii="Garamond" w:hAnsi="Garamond"/>
          <w:bCs/>
          <w:iCs/>
          <w:sz w:val="20"/>
          <w:szCs w:val="20"/>
        </w:rPr>
        <w:t>intussusception</w:t>
      </w:r>
      <w:r w:rsidRPr="000D7303">
        <w:rPr>
          <w:rFonts w:ascii="Garamond" w:hAnsi="Garamond"/>
          <w:bCs/>
          <w:iCs/>
          <w:sz w:val="20"/>
          <w:szCs w:val="20"/>
          <w:lang w:val="en-GB"/>
        </w:rPr>
        <w:t xml:space="preserve"> are pain, projectile </w:t>
      </w:r>
      <w:r w:rsidRPr="000D7303">
        <w:rPr>
          <w:rFonts w:ascii="Garamond" w:hAnsi="Garamond"/>
          <w:bCs/>
          <w:iCs/>
          <w:sz w:val="20"/>
          <w:szCs w:val="20"/>
        </w:rPr>
        <w:t xml:space="preserve">vomiting and </w:t>
      </w:r>
      <w:r w:rsidRPr="000D7303">
        <w:rPr>
          <w:rFonts w:ascii="Garamond" w:hAnsi="Garamond"/>
          <w:bCs/>
          <w:iCs/>
          <w:sz w:val="20"/>
          <w:szCs w:val="20"/>
          <w:lang w:val="en-GB"/>
        </w:rPr>
        <w:t>passage of red currant jelly stool</w:t>
      </w:r>
      <w:r w:rsidRPr="000D7303">
        <w:rPr>
          <w:rFonts w:ascii="Garamond" w:hAnsi="Garamond"/>
          <w:bCs/>
          <w:iCs/>
          <w:sz w:val="20"/>
          <w:szCs w:val="20"/>
        </w:rPr>
        <w:t>.</w:t>
      </w:r>
      <w:r w:rsidRPr="000D7303">
        <w:rPr>
          <w:rFonts w:ascii="Garamond" w:hAnsi="Garamond"/>
          <w:bCs/>
          <w:iCs/>
          <w:sz w:val="20"/>
          <w:szCs w:val="20"/>
          <w:vertAlign w:val="superscript"/>
          <w:lang w:val="en-GB"/>
        </w:rPr>
        <w:t>10,11,12</w:t>
      </w:r>
      <w:r w:rsidRPr="000D7303">
        <w:rPr>
          <w:rFonts w:ascii="Garamond" w:hAnsi="Garamond"/>
          <w:bCs/>
          <w:iCs/>
          <w:sz w:val="20"/>
          <w:szCs w:val="20"/>
        </w:rPr>
        <w:t xml:space="preserve"> </w:t>
      </w:r>
      <w:r w:rsidRPr="000D7303">
        <w:rPr>
          <w:rFonts w:ascii="Garamond" w:hAnsi="Garamond"/>
          <w:bCs/>
          <w:iCs/>
          <w:sz w:val="20"/>
          <w:szCs w:val="20"/>
          <w:lang w:val="en-GB"/>
        </w:rPr>
        <w:t xml:space="preserve">The diagnosis of </w:t>
      </w:r>
      <w:r w:rsidRPr="000D7303">
        <w:rPr>
          <w:rFonts w:ascii="Garamond" w:hAnsi="Garamond"/>
          <w:bCs/>
          <w:iCs/>
          <w:sz w:val="20"/>
          <w:szCs w:val="20"/>
        </w:rPr>
        <w:t>intussusception</w:t>
      </w:r>
      <w:r w:rsidRPr="000D7303">
        <w:rPr>
          <w:rFonts w:ascii="Garamond" w:hAnsi="Garamond"/>
          <w:bCs/>
          <w:iCs/>
          <w:sz w:val="20"/>
          <w:szCs w:val="20"/>
          <w:lang w:val="en-GB"/>
        </w:rPr>
        <w:t xml:space="preserve"> may be confused with the presentation of other causes of acute surgical abdominal conditions in children such as acute appendicitis, gastro-enteritis, helminthiasis, intestinal obstruction from malrotation, intestinal </w:t>
      </w:r>
      <w:proofErr w:type="spellStart"/>
      <w:r w:rsidRPr="000D7303">
        <w:rPr>
          <w:rFonts w:ascii="Garamond" w:hAnsi="Garamond"/>
          <w:bCs/>
          <w:iCs/>
          <w:sz w:val="20"/>
          <w:szCs w:val="20"/>
          <w:lang w:val="en-GB"/>
        </w:rPr>
        <w:t>atresias</w:t>
      </w:r>
      <w:proofErr w:type="spellEnd"/>
      <w:r w:rsidRPr="000D7303">
        <w:rPr>
          <w:rFonts w:ascii="Garamond" w:hAnsi="Garamond"/>
          <w:bCs/>
          <w:iCs/>
          <w:sz w:val="20"/>
          <w:szCs w:val="20"/>
          <w:lang w:val="en-GB"/>
        </w:rPr>
        <w:t xml:space="preserve"> and post-operative adhesions. </w:t>
      </w:r>
      <w:r w:rsidRPr="000D7303">
        <w:rPr>
          <w:rFonts w:ascii="Garamond" w:hAnsi="Garamond"/>
          <w:bCs/>
          <w:iCs/>
          <w:sz w:val="20"/>
          <w:szCs w:val="20"/>
        </w:rPr>
        <w:t xml:space="preserve">The diagnosis </w:t>
      </w:r>
      <w:r w:rsidRPr="000D7303">
        <w:rPr>
          <w:rFonts w:ascii="Garamond" w:hAnsi="Garamond"/>
          <w:bCs/>
          <w:iCs/>
          <w:sz w:val="20"/>
          <w:szCs w:val="20"/>
          <w:lang w:val="en-GB"/>
        </w:rPr>
        <w:t xml:space="preserve">of </w:t>
      </w:r>
      <w:r w:rsidRPr="000D7303">
        <w:rPr>
          <w:rFonts w:ascii="Garamond" w:hAnsi="Garamond"/>
          <w:bCs/>
          <w:iCs/>
          <w:sz w:val="20"/>
          <w:szCs w:val="20"/>
        </w:rPr>
        <w:t>intussusception</w:t>
      </w:r>
      <w:r w:rsidRPr="000D7303">
        <w:rPr>
          <w:rFonts w:ascii="Garamond" w:hAnsi="Garamond"/>
          <w:bCs/>
          <w:iCs/>
          <w:sz w:val="20"/>
          <w:szCs w:val="20"/>
          <w:lang w:val="en-GB"/>
        </w:rPr>
        <w:t xml:space="preserve"> </w:t>
      </w:r>
      <w:r w:rsidRPr="000D7303">
        <w:rPr>
          <w:rFonts w:ascii="Garamond" w:hAnsi="Garamond"/>
          <w:bCs/>
          <w:iCs/>
          <w:sz w:val="20"/>
          <w:szCs w:val="20"/>
        </w:rPr>
        <w:t xml:space="preserve">is </w:t>
      </w:r>
      <w:r w:rsidRPr="000D7303">
        <w:rPr>
          <w:rFonts w:ascii="Garamond" w:hAnsi="Garamond"/>
          <w:bCs/>
          <w:iCs/>
          <w:sz w:val="20"/>
          <w:szCs w:val="20"/>
          <w:lang w:val="en-GB"/>
        </w:rPr>
        <w:t xml:space="preserve">mainly based on findings from history and physical examinations, though difficult presentations could be resolved using radiological investigative modalities such as </w:t>
      </w:r>
      <w:proofErr w:type="spellStart"/>
      <w:r w:rsidRPr="000D7303">
        <w:rPr>
          <w:rFonts w:ascii="Garamond" w:hAnsi="Garamond"/>
          <w:bCs/>
          <w:iCs/>
          <w:sz w:val="20"/>
          <w:szCs w:val="20"/>
          <w:lang w:val="en-GB"/>
        </w:rPr>
        <w:t>abdomino</w:t>
      </w:r>
      <w:proofErr w:type="spellEnd"/>
      <w:r w:rsidRPr="000D7303">
        <w:rPr>
          <w:rFonts w:ascii="Garamond" w:hAnsi="Garamond"/>
          <w:bCs/>
          <w:iCs/>
          <w:sz w:val="20"/>
          <w:szCs w:val="20"/>
          <w:lang w:val="en-GB"/>
        </w:rPr>
        <w:t>-pelvic ultrasound, plain abdominal radiography and computerized tomography scan of the abdomen.</w:t>
      </w:r>
      <w:r w:rsidRPr="000D7303">
        <w:rPr>
          <w:rFonts w:ascii="Garamond" w:hAnsi="Garamond"/>
          <w:bCs/>
          <w:iCs/>
          <w:sz w:val="20"/>
          <w:szCs w:val="20"/>
          <w:vertAlign w:val="superscript"/>
          <w:lang w:val="en-GB"/>
        </w:rPr>
        <w:t>13,14,15</w:t>
      </w:r>
    </w:p>
    <w:p w14:paraId="10C6EF5E" w14:textId="77777777" w:rsidR="000D7303" w:rsidRPr="000D7303" w:rsidRDefault="000D7303" w:rsidP="00110A68">
      <w:pPr>
        <w:jc w:val="both"/>
        <w:rPr>
          <w:rFonts w:ascii="Garamond" w:hAnsi="Garamond"/>
          <w:bCs/>
          <w:iCs/>
          <w:sz w:val="20"/>
          <w:szCs w:val="20"/>
          <w:lang w:val="en-GB"/>
        </w:rPr>
      </w:pPr>
      <w:r w:rsidRPr="000D7303">
        <w:rPr>
          <w:rFonts w:ascii="Garamond" w:hAnsi="Garamond"/>
          <w:bCs/>
          <w:iCs/>
          <w:sz w:val="20"/>
          <w:szCs w:val="20"/>
          <w:lang w:val="en-GB"/>
        </w:rPr>
        <w:t xml:space="preserve">The treatment of choice for cases that presented early remains non-operative reduction through hydrostatic or pneumatic techniques; for late presentation and failed attempts at non-operative reduction, exploratory laparotomy with manual reduction for viable loops of bowel or resection and anastomosis in the presence of non-viable </w:t>
      </w:r>
      <w:proofErr w:type="spellStart"/>
      <w:r w:rsidRPr="000D7303">
        <w:rPr>
          <w:rFonts w:ascii="Garamond" w:hAnsi="Garamond"/>
          <w:bCs/>
          <w:iCs/>
          <w:sz w:val="20"/>
          <w:szCs w:val="20"/>
        </w:rPr>
        <w:t>intussuscep</w:t>
      </w:r>
      <w:proofErr w:type="spellEnd"/>
      <w:r w:rsidRPr="000D7303">
        <w:rPr>
          <w:rFonts w:ascii="Garamond" w:hAnsi="Garamond"/>
          <w:bCs/>
          <w:iCs/>
          <w:sz w:val="20"/>
          <w:szCs w:val="20"/>
          <w:lang w:val="en-GB"/>
        </w:rPr>
        <w:t>ted loops of bowel.</w:t>
      </w:r>
      <w:r w:rsidRPr="000D7303">
        <w:rPr>
          <w:rFonts w:ascii="Garamond" w:hAnsi="Garamond"/>
          <w:bCs/>
          <w:iCs/>
          <w:sz w:val="20"/>
          <w:szCs w:val="20"/>
          <w:vertAlign w:val="superscript"/>
          <w:lang w:val="en-GB"/>
        </w:rPr>
        <w:t xml:space="preserve">16,17 </w:t>
      </w:r>
      <w:r w:rsidRPr="000D7303">
        <w:rPr>
          <w:rFonts w:ascii="Garamond" w:hAnsi="Garamond"/>
          <w:bCs/>
          <w:iCs/>
          <w:sz w:val="20"/>
          <w:szCs w:val="20"/>
          <w:lang w:val="en-GB"/>
        </w:rPr>
        <w:t>This retrospective study was carried out to determine the various causes of intestinal obstruction, the contribution of intussusception as an etiological agent amongst the children studied.</w:t>
      </w:r>
    </w:p>
    <w:p w14:paraId="4C14F85F" w14:textId="77777777" w:rsidR="000D7303" w:rsidRPr="000D7303" w:rsidRDefault="000D7303" w:rsidP="00110A68">
      <w:pPr>
        <w:jc w:val="both"/>
        <w:rPr>
          <w:rFonts w:ascii="Garamond" w:hAnsi="Garamond"/>
          <w:b/>
          <w:bCs/>
          <w:iCs/>
          <w:sz w:val="20"/>
          <w:szCs w:val="20"/>
          <w:lang w:val="en-GB"/>
        </w:rPr>
      </w:pPr>
    </w:p>
    <w:p w14:paraId="5B8929EE" w14:textId="3E2A02C8" w:rsidR="000D7303" w:rsidRPr="000D7303" w:rsidRDefault="00DA62A5" w:rsidP="00110A68">
      <w:pPr>
        <w:jc w:val="both"/>
        <w:rPr>
          <w:rFonts w:ascii="Garamond" w:hAnsi="Garamond"/>
          <w:b/>
          <w:bCs/>
          <w:iCs/>
          <w:sz w:val="22"/>
          <w:szCs w:val="22"/>
        </w:rPr>
      </w:pPr>
      <w:r w:rsidRPr="000D7303">
        <w:rPr>
          <w:rFonts w:ascii="Garamond" w:hAnsi="Garamond"/>
          <w:b/>
          <w:bCs/>
          <w:iCs/>
          <w:sz w:val="22"/>
          <w:szCs w:val="22"/>
          <w:lang w:val="en-GB"/>
        </w:rPr>
        <w:t xml:space="preserve">MATERIALS AND </w:t>
      </w:r>
      <w:r w:rsidRPr="000D7303">
        <w:rPr>
          <w:rFonts w:ascii="Garamond" w:hAnsi="Garamond"/>
          <w:b/>
          <w:bCs/>
          <w:iCs/>
          <w:sz w:val="22"/>
          <w:szCs w:val="22"/>
        </w:rPr>
        <w:t>METHODS</w:t>
      </w:r>
    </w:p>
    <w:p w14:paraId="381A6C00" w14:textId="2CD8C84C" w:rsidR="000D7303" w:rsidRPr="000D7303" w:rsidRDefault="000D7303" w:rsidP="00110A68">
      <w:pPr>
        <w:jc w:val="both"/>
        <w:rPr>
          <w:rFonts w:ascii="Garamond" w:hAnsi="Garamond"/>
          <w:bCs/>
          <w:iCs/>
          <w:sz w:val="20"/>
          <w:szCs w:val="20"/>
          <w:lang w:val="en-GB"/>
        </w:rPr>
      </w:pPr>
      <w:r w:rsidRPr="000D7303">
        <w:rPr>
          <w:rFonts w:ascii="Garamond" w:hAnsi="Garamond"/>
          <w:bCs/>
          <w:iCs/>
          <w:sz w:val="20"/>
          <w:szCs w:val="20"/>
          <w:lang w:val="en-GB"/>
        </w:rPr>
        <w:t xml:space="preserve">Cases of intestinal obstruction in children aged between 0-15 years were retrospectively observed between March 2023 and April 2014 (a 10-year period). Intestinal obstruction cases caused by intussusception were identified and enrolled into the study. The differential diagnosis of the </w:t>
      </w:r>
      <w:proofErr w:type="spellStart"/>
      <w:r w:rsidRPr="000D7303">
        <w:rPr>
          <w:rFonts w:ascii="Garamond" w:hAnsi="Garamond"/>
          <w:bCs/>
          <w:iCs/>
          <w:sz w:val="20"/>
          <w:szCs w:val="20"/>
          <w:lang w:val="en-GB"/>
        </w:rPr>
        <w:t>aetio</w:t>
      </w:r>
      <w:proofErr w:type="spellEnd"/>
      <w:r w:rsidRPr="000D7303">
        <w:rPr>
          <w:rFonts w:ascii="Garamond" w:hAnsi="Garamond"/>
          <w:bCs/>
          <w:iCs/>
          <w:sz w:val="20"/>
          <w:szCs w:val="20"/>
          <w:lang w:val="en-GB"/>
        </w:rPr>
        <w:t xml:space="preserve">-pathogenesis of intestinal obstruction in the age group studied were determined through the documented reports in the case records of the patients. The mode of presentation, the investigative modalities employed in arriving at the provisional and definitive diagnosis were retrieved from the case reports. The types of treatments, operative findings, definitive diagnosis, post-operative care, outcome (complications and deaths) and findings during follow-up at the paediatric out-patient clinic were retrieved. The prevalence of intussusception amongst the study population was determined. The obtained results would be analysed and reported in numbers, percentages, tables, graphs and bar diagrams. The presentation of intussusception, diagnostic modalities, treatment types, outcome of treatment were retrieved, documented and </w:t>
      </w:r>
      <w:r w:rsidR="00F53556" w:rsidRPr="000D7303">
        <w:rPr>
          <w:rFonts w:ascii="Garamond" w:hAnsi="Garamond"/>
          <w:bCs/>
          <w:iCs/>
          <w:sz w:val="20"/>
          <w:szCs w:val="20"/>
          <w:lang w:val="en-GB"/>
        </w:rPr>
        <w:t>analysed</w:t>
      </w:r>
      <w:r w:rsidRPr="000D7303">
        <w:rPr>
          <w:rFonts w:ascii="Garamond" w:hAnsi="Garamond"/>
          <w:bCs/>
          <w:iCs/>
          <w:sz w:val="20"/>
          <w:szCs w:val="20"/>
          <w:lang w:val="en-GB"/>
        </w:rPr>
        <w:t xml:space="preserve"> with SPSS version 29.</w:t>
      </w:r>
    </w:p>
    <w:p w14:paraId="1945E64C" w14:textId="77777777" w:rsidR="00F53556" w:rsidRDefault="00F53556" w:rsidP="00110A68">
      <w:pPr>
        <w:jc w:val="both"/>
        <w:rPr>
          <w:rFonts w:ascii="Garamond" w:hAnsi="Garamond"/>
          <w:b/>
          <w:bCs/>
          <w:iCs/>
          <w:sz w:val="22"/>
          <w:szCs w:val="22"/>
          <w:lang w:val="en-GB"/>
        </w:rPr>
      </w:pPr>
    </w:p>
    <w:p w14:paraId="7BE4C631" w14:textId="0680E10A" w:rsidR="000D7303" w:rsidRPr="000D7303" w:rsidRDefault="00DA62A5" w:rsidP="00110A68">
      <w:pPr>
        <w:jc w:val="both"/>
        <w:rPr>
          <w:rFonts w:ascii="Garamond" w:hAnsi="Garamond"/>
          <w:b/>
          <w:bCs/>
          <w:iCs/>
          <w:sz w:val="22"/>
          <w:szCs w:val="22"/>
          <w:lang w:val="en-GB"/>
        </w:rPr>
      </w:pPr>
      <w:r w:rsidRPr="000D7303">
        <w:rPr>
          <w:rFonts w:ascii="Garamond" w:hAnsi="Garamond"/>
          <w:b/>
          <w:bCs/>
          <w:iCs/>
          <w:sz w:val="22"/>
          <w:szCs w:val="22"/>
          <w:lang w:val="en-GB"/>
        </w:rPr>
        <w:t>RESULTS</w:t>
      </w:r>
    </w:p>
    <w:p w14:paraId="12944ED9" w14:textId="77777777" w:rsidR="000D7303" w:rsidRPr="000D7303" w:rsidRDefault="000D7303" w:rsidP="00110A68">
      <w:pPr>
        <w:jc w:val="both"/>
        <w:rPr>
          <w:rFonts w:ascii="Garamond" w:hAnsi="Garamond"/>
          <w:b/>
          <w:bCs/>
          <w:iCs/>
          <w:sz w:val="20"/>
          <w:szCs w:val="20"/>
          <w:lang w:val="en-GB"/>
        </w:rPr>
      </w:pPr>
      <w:r w:rsidRPr="000D7303">
        <w:rPr>
          <w:rFonts w:ascii="Garamond" w:hAnsi="Garamond"/>
          <w:bCs/>
          <w:iCs/>
          <w:sz w:val="20"/>
          <w:szCs w:val="20"/>
          <w:lang w:val="en-GB"/>
        </w:rPr>
        <w:t xml:space="preserve">Case records of 870 children managed for intestinal obstruction during the study period were retrieved for data extraction. 570 (65.5%) were males and 300 (34.4%) were females. </w:t>
      </w:r>
      <w:r w:rsidRPr="000D7303">
        <w:rPr>
          <w:rFonts w:ascii="Garamond" w:hAnsi="Garamond"/>
          <w:b/>
          <w:bCs/>
          <w:iCs/>
          <w:sz w:val="20"/>
          <w:szCs w:val="20"/>
          <w:lang w:val="en-GB"/>
        </w:rPr>
        <w:t xml:space="preserve">(Figure 1) </w:t>
      </w:r>
      <w:r w:rsidRPr="000D7303">
        <w:rPr>
          <w:rFonts w:ascii="Garamond" w:hAnsi="Garamond"/>
          <w:bCs/>
          <w:iCs/>
          <w:sz w:val="20"/>
          <w:szCs w:val="20"/>
          <w:lang w:val="en-GB"/>
        </w:rPr>
        <w:t xml:space="preserve">The pathologies responsible </w:t>
      </w:r>
      <w:r w:rsidRPr="000D7303">
        <w:rPr>
          <w:rFonts w:ascii="Garamond" w:hAnsi="Garamond"/>
          <w:bCs/>
          <w:iCs/>
          <w:sz w:val="20"/>
          <w:szCs w:val="20"/>
          <w:lang w:val="en-GB"/>
        </w:rPr>
        <w:lastRenderedPageBreak/>
        <w:t xml:space="preserve">for cases of intestinal obstruction that were managed during the study period were intussusception 482 cases (55.4%), neonatal sepsis 128 (14.7%), obstructed hernias 78 (8.9%), intestinal </w:t>
      </w:r>
      <w:proofErr w:type="spellStart"/>
      <w:r w:rsidRPr="000D7303">
        <w:rPr>
          <w:rFonts w:ascii="Garamond" w:hAnsi="Garamond"/>
          <w:bCs/>
          <w:iCs/>
          <w:sz w:val="20"/>
          <w:szCs w:val="20"/>
          <w:lang w:val="en-GB"/>
        </w:rPr>
        <w:t>atresias</w:t>
      </w:r>
      <w:proofErr w:type="spellEnd"/>
      <w:r w:rsidRPr="000D7303">
        <w:rPr>
          <w:rFonts w:ascii="Garamond" w:hAnsi="Garamond"/>
          <w:bCs/>
          <w:iCs/>
          <w:sz w:val="20"/>
          <w:szCs w:val="20"/>
          <w:lang w:val="en-GB"/>
        </w:rPr>
        <w:t xml:space="preserve"> 68 (7.8%), </w:t>
      </w:r>
      <w:proofErr w:type="spellStart"/>
      <w:r w:rsidRPr="000D7303">
        <w:rPr>
          <w:rFonts w:ascii="Garamond" w:hAnsi="Garamond"/>
          <w:bCs/>
          <w:iCs/>
          <w:sz w:val="20"/>
          <w:szCs w:val="20"/>
          <w:lang w:val="en-GB"/>
        </w:rPr>
        <w:t>ano</w:t>
      </w:r>
      <w:proofErr w:type="spellEnd"/>
      <w:r w:rsidRPr="000D7303">
        <w:rPr>
          <w:rFonts w:ascii="Garamond" w:hAnsi="Garamond"/>
          <w:bCs/>
          <w:iCs/>
          <w:sz w:val="20"/>
          <w:szCs w:val="20"/>
          <w:lang w:val="en-GB"/>
        </w:rPr>
        <w:t xml:space="preserve">-rectal malformations 44 (5.1%), </w:t>
      </w:r>
      <w:proofErr w:type="spellStart"/>
      <w:r w:rsidRPr="000D7303">
        <w:rPr>
          <w:rFonts w:ascii="Garamond" w:hAnsi="Garamond"/>
          <w:bCs/>
          <w:iCs/>
          <w:sz w:val="20"/>
          <w:szCs w:val="20"/>
          <w:lang w:val="en-GB"/>
        </w:rPr>
        <w:t>hirschsprung’s</w:t>
      </w:r>
      <w:proofErr w:type="spellEnd"/>
      <w:r w:rsidRPr="000D7303">
        <w:rPr>
          <w:rFonts w:ascii="Garamond" w:hAnsi="Garamond"/>
          <w:bCs/>
          <w:iCs/>
          <w:sz w:val="20"/>
          <w:szCs w:val="20"/>
          <w:lang w:val="en-GB"/>
        </w:rPr>
        <w:t xml:space="preserve"> disease 32 (3.7%), malrotation 21 (2.4%), post-operative adhesions 17 (2.0%). </w:t>
      </w:r>
      <w:r w:rsidRPr="000D7303">
        <w:rPr>
          <w:rFonts w:ascii="Garamond" w:hAnsi="Garamond"/>
          <w:b/>
          <w:bCs/>
          <w:iCs/>
          <w:sz w:val="20"/>
          <w:szCs w:val="20"/>
          <w:lang w:val="en-GB"/>
        </w:rPr>
        <w:t>(Table 1)</w:t>
      </w:r>
    </w:p>
    <w:p w14:paraId="73905A3E" w14:textId="654623D6" w:rsidR="00057CF5" w:rsidRDefault="00057CF5" w:rsidP="007A1526">
      <w:pPr>
        <w:spacing w:line="259" w:lineRule="auto"/>
        <w:jc w:val="both"/>
        <w:rPr>
          <w:rFonts w:ascii="Garamond" w:hAnsi="Garamond"/>
          <w:bCs/>
          <w:iCs/>
          <w:sz w:val="20"/>
          <w:szCs w:val="20"/>
        </w:rPr>
      </w:pPr>
    </w:p>
    <w:p w14:paraId="337EFFEB" w14:textId="4ED9AFC5" w:rsidR="000D7303" w:rsidRDefault="000D7303" w:rsidP="007A1526">
      <w:pPr>
        <w:spacing w:line="259" w:lineRule="auto"/>
        <w:jc w:val="both"/>
        <w:rPr>
          <w:rFonts w:ascii="Garamond" w:hAnsi="Garamond"/>
          <w:bCs/>
          <w:iCs/>
          <w:sz w:val="20"/>
          <w:szCs w:val="20"/>
        </w:rPr>
      </w:pPr>
      <w:r>
        <w:rPr>
          <w:rFonts w:ascii="Times New Roman" w:hAnsi="Times New Roman" w:cs="Times New Roman"/>
          <w:noProof/>
        </w:rPr>
        <w:drawing>
          <wp:anchor distT="0" distB="0" distL="114300" distR="114300" simplePos="0" relativeHeight="251664384" behindDoc="0" locked="0" layoutInCell="1" allowOverlap="1" wp14:anchorId="419A44BB" wp14:editId="2BAFDA66">
            <wp:simplePos x="0" y="0"/>
            <wp:positionH relativeFrom="column">
              <wp:align>right</wp:align>
            </wp:positionH>
            <wp:positionV relativeFrom="paragraph">
              <wp:posOffset>48895</wp:posOffset>
            </wp:positionV>
            <wp:extent cx="2743200" cy="2933700"/>
            <wp:effectExtent l="0" t="0" r="0" b="0"/>
            <wp:wrapThrough wrapText="bothSides">
              <wp:wrapPolygon edited="0">
                <wp:start x="9750" y="561"/>
                <wp:lineTo x="8100" y="982"/>
                <wp:lineTo x="4050" y="2525"/>
                <wp:lineTo x="4050" y="3086"/>
                <wp:lineTo x="3150" y="4068"/>
                <wp:lineTo x="2100" y="5330"/>
                <wp:lineTo x="1200" y="7574"/>
                <wp:lineTo x="900" y="9818"/>
                <wp:lineTo x="1200" y="12062"/>
                <wp:lineTo x="2100" y="14306"/>
                <wp:lineTo x="1800" y="14727"/>
                <wp:lineTo x="2100" y="15148"/>
                <wp:lineTo x="4350" y="16551"/>
                <wp:lineTo x="4950" y="18795"/>
                <wp:lineTo x="3000" y="20618"/>
                <wp:lineTo x="3300" y="21039"/>
                <wp:lineTo x="13500" y="21460"/>
                <wp:lineTo x="14250" y="21460"/>
                <wp:lineTo x="19200" y="21039"/>
                <wp:lineTo x="19500" y="20618"/>
                <wp:lineTo x="17400" y="18795"/>
                <wp:lineTo x="16950" y="16551"/>
                <wp:lineTo x="19050" y="14306"/>
                <wp:lineTo x="19950" y="12062"/>
                <wp:lineTo x="20250" y="9818"/>
                <wp:lineTo x="20100" y="7574"/>
                <wp:lineTo x="19050" y="5330"/>
                <wp:lineTo x="17550" y="3506"/>
                <wp:lineTo x="17250" y="2525"/>
                <wp:lineTo x="13350" y="982"/>
                <wp:lineTo x="11700" y="561"/>
                <wp:lineTo x="9750" y="561"/>
              </wp:wrapPolygon>
            </wp:wrapThrough>
            <wp:docPr id="690639578" name="Chart 690639578"/>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p>
    <w:p w14:paraId="0BB1DF57" w14:textId="3CCC2E4E" w:rsidR="000D7303" w:rsidRDefault="000D7303" w:rsidP="007A1526">
      <w:pPr>
        <w:spacing w:line="259" w:lineRule="auto"/>
        <w:jc w:val="both"/>
        <w:rPr>
          <w:rFonts w:ascii="Garamond" w:hAnsi="Garamond"/>
          <w:bCs/>
          <w:iCs/>
          <w:sz w:val="20"/>
          <w:szCs w:val="20"/>
        </w:rPr>
      </w:pPr>
    </w:p>
    <w:p w14:paraId="3CAFFCE6" w14:textId="288D1C91" w:rsidR="000D7303" w:rsidRDefault="000D7303" w:rsidP="007A1526">
      <w:pPr>
        <w:spacing w:line="259" w:lineRule="auto"/>
        <w:jc w:val="both"/>
        <w:rPr>
          <w:rFonts w:ascii="Garamond" w:hAnsi="Garamond"/>
          <w:bCs/>
          <w:iCs/>
          <w:sz w:val="20"/>
          <w:szCs w:val="20"/>
        </w:rPr>
      </w:pPr>
    </w:p>
    <w:p w14:paraId="197CB281" w14:textId="77777777" w:rsidR="000D7303" w:rsidRDefault="000D7303" w:rsidP="007A1526">
      <w:pPr>
        <w:spacing w:line="259" w:lineRule="auto"/>
        <w:jc w:val="both"/>
        <w:rPr>
          <w:rFonts w:ascii="Garamond" w:hAnsi="Garamond"/>
          <w:bCs/>
          <w:iCs/>
          <w:sz w:val="20"/>
          <w:szCs w:val="20"/>
        </w:rPr>
      </w:pPr>
    </w:p>
    <w:p w14:paraId="170AC79C" w14:textId="77777777" w:rsidR="000D7303" w:rsidRDefault="000D7303" w:rsidP="007A1526">
      <w:pPr>
        <w:spacing w:line="259" w:lineRule="auto"/>
        <w:jc w:val="both"/>
        <w:rPr>
          <w:rFonts w:ascii="Garamond" w:hAnsi="Garamond"/>
          <w:bCs/>
          <w:iCs/>
          <w:sz w:val="20"/>
          <w:szCs w:val="20"/>
        </w:rPr>
      </w:pPr>
    </w:p>
    <w:p w14:paraId="57140BA6" w14:textId="77777777" w:rsidR="000D7303" w:rsidRDefault="000D7303" w:rsidP="007A1526">
      <w:pPr>
        <w:spacing w:line="259" w:lineRule="auto"/>
        <w:jc w:val="both"/>
        <w:rPr>
          <w:rFonts w:ascii="Garamond" w:hAnsi="Garamond"/>
          <w:bCs/>
          <w:iCs/>
          <w:sz w:val="20"/>
          <w:szCs w:val="20"/>
        </w:rPr>
      </w:pPr>
    </w:p>
    <w:p w14:paraId="72E23F3B" w14:textId="66066841" w:rsidR="000D7303" w:rsidRDefault="000D7303" w:rsidP="007A1526">
      <w:pPr>
        <w:spacing w:line="259" w:lineRule="auto"/>
        <w:jc w:val="both"/>
        <w:rPr>
          <w:rFonts w:ascii="Garamond" w:hAnsi="Garamond"/>
          <w:bCs/>
          <w:iCs/>
          <w:sz w:val="20"/>
          <w:szCs w:val="20"/>
        </w:rPr>
      </w:pPr>
    </w:p>
    <w:p w14:paraId="69257F00" w14:textId="0AD6AADB" w:rsidR="000D7303" w:rsidRDefault="000D7303" w:rsidP="007A1526">
      <w:pPr>
        <w:spacing w:line="259" w:lineRule="auto"/>
        <w:jc w:val="both"/>
        <w:rPr>
          <w:rFonts w:ascii="Garamond" w:hAnsi="Garamond"/>
          <w:bCs/>
          <w:iCs/>
          <w:sz w:val="20"/>
          <w:szCs w:val="20"/>
        </w:rPr>
      </w:pPr>
    </w:p>
    <w:p w14:paraId="57A2FA5C" w14:textId="65ECB53B" w:rsidR="000D7303" w:rsidRDefault="000D7303" w:rsidP="007A1526">
      <w:pPr>
        <w:spacing w:line="259" w:lineRule="auto"/>
        <w:jc w:val="both"/>
        <w:rPr>
          <w:rFonts w:ascii="Garamond" w:hAnsi="Garamond"/>
          <w:bCs/>
          <w:iCs/>
          <w:sz w:val="20"/>
          <w:szCs w:val="20"/>
        </w:rPr>
      </w:pPr>
    </w:p>
    <w:p w14:paraId="10BA8ECA" w14:textId="4257864E" w:rsidR="000D7303" w:rsidRDefault="000D7303" w:rsidP="007A1526">
      <w:pPr>
        <w:spacing w:line="259" w:lineRule="auto"/>
        <w:jc w:val="both"/>
        <w:rPr>
          <w:rFonts w:ascii="Garamond" w:hAnsi="Garamond"/>
          <w:bCs/>
          <w:iCs/>
          <w:sz w:val="20"/>
          <w:szCs w:val="20"/>
        </w:rPr>
      </w:pPr>
    </w:p>
    <w:p w14:paraId="405AAB16" w14:textId="77777777" w:rsidR="000D7303" w:rsidRDefault="000D7303" w:rsidP="007A1526">
      <w:pPr>
        <w:spacing w:line="259" w:lineRule="auto"/>
        <w:jc w:val="both"/>
        <w:rPr>
          <w:rFonts w:ascii="Garamond" w:hAnsi="Garamond"/>
          <w:bCs/>
          <w:iCs/>
          <w:sz w:val="20"/>
          <w:szCs w:val="20"/>
        </w:rPr>
      </w:pPr>
    </w:p>
    <w:p w14:paraId="5F486FF5" w14:textId="77777777" w:rsidR="000D7303" w:rsidRDefault="000D7303" w:rsidP="007A1526">
      <w:pPr>
        <w:spacing w:line="259" w:lineRule="auto"/>
        <w:jc w:val="both"/>
        <w:rPr>
          <w:rFonts w:ascii="Garamond" w:hAnsi="Garamond"/>
          <w:bCs/>
          <w:iCs/>
          <w:sz w:val="20"/>
          <w:szCs w:val="20"/>
        </w:rPr>
      </w:pPr>
    </w:p>
    <w:p w14:paraId="3E2BB1D2" w14:textId="77777777" w:rsidR="00E51DFB" w:rsidRPr="00E51DFB" w:rsidRDefault="00E51DFB" w:rsidP="00E51DFB">
      <w:pPr>
        <w:spacing w:line="259" w:lineRule="auto"/>
        <w:jc w:val="both"/>
        <w:rPr>
          <w:rFonts w:ascii="Garamond" w:hAnsi="Garamond"/>
          <w:b/>
          <w:bCs/>
          <w:iCs/>
          <w:sz w:val="20"/>
          <w:szCs w:val="20"/>
          <w:lang w:val="en-GB"/>
        </w:rPr>
      </w:pPr>
      <w:r w:rsidRPr="00E51DFB">
        <w:rPr>
          <w:rFonts w:ascii="Garamond" w:hAnsi="Garamond"/>
          <w:b/>
          <w:bCs/>
          <w:iCs/>
          <w:sz w:val="20"/>
          <w:szCs w:val="20"/>
          <w:lang w:val="en-GB"/>
        </w:rPr>
        <w:t>Table 1: Differential Diagnosis of intestinal obstruction in the cases</w:t>
      </w:r>
    </w:p>
    <w:p w14:paraId="2D519B75" w14:textId="77777777" w:rsidR="00E51DFB" w:rsidRPr="00E51DFB" w:rsidRDefault="00E51DFB" w:rsidP="00E51DFB">
      <w:pPr>
        <w:spacing w:line="259" w:lineRule="auto"/>
        <w:jc w:val="both"/>
        <w:rPr>
          <w:rFonts w:ascii="Garamond" w:hAnsi="Garamond"/>
          <w:b/>
          <w:bCs/>
          <w:iCs/>
          <w:sz w:val="20"/>
          <w:szCs w:val="20"/>
          <w:lang w:val="en-GB"/>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8"/>
        <w:gridCol w:w="1330"/>
        <w:gridCol w:w="1429"/>
      </w:tblGrid>
      <w:tr w:rsidR="00DA62A5" w:rsidRPr="00E51DFB" w14:paraId="70A69402" w14:textId="77777777" w:rsidTr="00DA62A5">
        <w:tc>
          <w:tcPr>
            <w:tcW w:w="1698" w:type="dxa"/>
            <w:tcBorders>
              <w:top w:val="single" w:sz="4" w:space="0" w:color="auto"/>
              <w:bottom w:val="single" w:sz="4" w:space="0" w:color="auto"/>
            </w:tcBorders>
          </w:tcPr>
          <w:p w14:paraId="708A9624" w14:textId="1147DC97" w:rsidR="00DA62A5" w:rsidRPr="00E51DFB" w:rsidRDefault="00DA62A5" w:rsidP="00E51DFB">
            <w:pPr>
              <w:spacing w:line="259" w:lineRule="auto"/>
              <w:jc w:val="both"/>
              <w:rPr>
                <w:rFonts w:ascii="Garamond" w:hAnsi="Garamond"/>
                <w:b/>
                <w:bCs/>
                <w:iCs/>
                <w:sz w:val="20"/>
                <w:szCs w:val="20"/>
                <w:lang w:val="en-GB"/>
              </w:rPr>
            </w:pPr>
            <w:r w:rsidRPr="00E51DFB">
              <w:rPr>
                <w:rFonts w:ascii="Garamond" w:hAnsi="Garamond"/>
                <w:b/>
                <w:bCs/>
                <w:iCs/>
                <w:sz w:val="20"/>
                <w:szCs w:val="20"/>
                <w:lang w:val="en-GB"/>
              </w:rPr>
              <w:t>Differential Diagnosis</w:t>
            </w:r>
          </w:p>
        </w:tc>
        <w:tc>
          <w:tcPr>
            <w:tcW w:w="1330" w:type="dxa"/>
            <w:tcBorders>
              <w:top w:val="single" w:sz="4" w:space="0" w:color="auto"/>
              <w:bottom w:val="single" w:sz="4" w:space="0" w:color="auto"/>
            </w:tcBorders>
          </w:tcPr>
          <w:p w14:paraId="0FAEC550" w14:textId="79C5BCF6" w:rsidR="00DA62A5" w:rsidRPr="00E51DFB" w:rsidRDefault="00DA62A5" w:rsidP="00E51DFB">
            <w:pPr>
              <w:spacing w:line="259" w:lineRule="auto"/>
              <w:jc w:val="both"/>
              <w:rPr>
                <w:rFonts w:ascii="Garamond" w:hAnsi="Garamond"/>
                <w:b/>
                <w:bCs/>
                <w:iCs/>
                <w:sz w:val="20"/>
                <w:szCs w:val="20"/>
                <w:lang w:val="en-GB"/>
              </w:rPr>
            </w:pPr>
            <w:r w:rsidRPr="00E51DFB">
              <w:rPr>
                <w:rFonts w:ascii="Garamond" w:hAnsi="Garamond"/>
                <w:b/>
                <w:bCs/>
                <w:iCs/>
                <w:sz w:val="20"/>
                <w:szCs w:val="20"/>
                <w:lang w:val="en-GB"/>
              </w:rPr>
              <w:t>Frequency</w:t>
            </w:r>
          </w:p>
        </w:tc>
        <w:tc>
          <w:tcPr>
            <w:tcW w:w="1429" w:type="dxa"/>
            <w:tcBorders>
              <w:top w:val="single" w:sz="4" w:space="0" w:color="auto"/>
              <w:bottom w:val="single" w:sz="4" w:space="0" w:color="auto"/>
            </w:tcBorders>
          </w:tcPr>
          <w:p w14:paraId="3ED446A2" w14:textId="1923E4DE" w:rsidR="00DA62A5" w:rsidRPr="00E51DFB" w:rsidRDefault="00DA62A5" w:rsidP="00E51DFB">
            <w:pPr>
              <w:spacing w:line="259" w:lineRule="auto"/>
              <w:jc w:val="both"/>
              <w:rPr>
                <w:rFonts w:ascii="Garamond" w:hAnsi="Garamond"/>
                <w:b/>
                <w:bCs/>
                <w:iCs/>
                <w:sz w:val="20"/>
                <w:szCs w:val="20"/>
                <w:lang w:val="en-GB"/>
              </w:rPr>
            </w:pPr>
            <w:r w:rsidRPr="00E51DFB">
              <w:rPr>
                <w:rFonts w:ascii="Garamond" w:hAnsi="Garamond"/>
                <w:b/>
                <w:bCs/>
                <w:iCs/>
                <w:sz w:val="20"/>
                <w:szCs w:val="20"/>
                <w:lang w:val="en-GB"/>
              </w:rPr>
              <w:t>Percentage</w:t>
            </w:r>
          </w:p>
        </w:tc>
      </w:tr>
      <w:tr w:rsidR="00DA62A5" w:rsidRPr="00E51DFB" w14:paraId="7D4EE980" w14:textId="77777777" w:rsidTr="00DA62A5">
        <w:tc>
          <w:tcPr>
            <w:tcW w:w="1698" w:type="dxa"/>
            <w:tcBorders>
              <w:top w:val="single" w:sz="4" w:space="0" w:color="auto"/>
            </w:tcBorders>
          </w:tcPr>
          <w:p w14:paraId="4089A129"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Intussusception</w:t>
            </w:r>
          </w:p>
        </w:tc>
        <w:tc>
          <w:tcPr>
            <w:tcW w:w="1330" w:type="dxa"/>
            <w:tcBorders>
              <w:top w:val="single" w:sz="4" w:space="0" w:color="auto"/>
            </w:tcBorders>
          </w:tcPr>
          <w:p w14:paraId="7AF86B52"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482</w:t>
            </w:r>
          </w:p>
        </w:tc>
        <w:tc>
          <w:tcPr>
            <w:tcW w:w="1429" w:type="dxa"/>
            <w:tcBorders>
              <w:top w:val="single" w:sz="4" w:space="0" w:color="auto"/>
            </w:tcBorders>
          </w:tcPr>
          <w:p w14:paraId="273A294B"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55.4</w:t>
            </w:r>
          </w:p>
        </w:tc>
      </w:tr>
      <w:tr w:rsidR="00DA62A5" w:rsidRPr="00E51DFB" w14:paraId="31174CFB" w14:textId="77777777" w:rsidTr="00DA62A5">
        <w:tc>
          <w:tcPr>
            <w:tcW w:w="1698" w:type="dxa"/>
          </w:tcPr>
          <w:p w14:paraId="3728236A"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Neonatal sepsis</w:t>
            </w:r>
          </w:p>
        </w:tc>
        <w:tc>
          <w:tcPr>
            <w:tcW w:w="1330" w:type="dxa"/>
          </w:tcPr>
          <w:p w14:paraId="19E3657D"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128</w:t>
            </w:r>
          </w:p>
        </w:tc>
        <w:tc>
          <w:tcPr>
            <w:tcW w:w="1429" w:type="dxa"/>
          </w:tcPr>
          <w:p w14:paraId="43B926EE"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14.7</w:t>
            </w:r>
          </w:p>
        </w:tc>
      </w:tr>
      <w:tr w:rsidR="00DA62A5" w:rsidRPr="00E51DFB" w14:paraId="596003CD" w14:textId="77777777" w:rsidTr="00DA62A5">
        <w:tc>
          <w:tcPr>
            <w:tcW w:w="1698" w:type="dxa"/>
          </w:tcPr>
          <w:p w14:paraId="6BD2A617"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Obstructed Hernias</w:t>
            </w:r>
          </w:p>
        </w:tc>
        <w:tc>
          <w:tcPr>
            <w:tcW w:w="1330" w:type="dxa"/>
          </w:tcPr>
          <w:p w14:paraId="0B3AC0B6"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78</w:t>
            </w:r>
          </w:p>
        </w:tc>
        <w:tc>
          <w:tcPr>
            <w:tcW w:w="1429" w:type="dxa"/>
          </w:tcPr>
          <w:p w14:paraId="67FFBF6F"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8.9</w:t>
            </w:r>
          </w:p>
        </w:tc>
      </w:tr>
      <w:tr w:rsidR="00DA62A5" w:rsidRPr="00E51DFB" w14:paraId="26E23424" w14:textId="77777777" w:rsidTr="00DA62A5">
        <w:tc>
          <w:tcPr>
            <w:tcW w:w="1698" w:type="dxa"/>
          </w:tcPr>
          <w:p w14:paraId="40B30B63"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 xml:space="preserve">Intestinal </w:t>
            </w:r>
            <w:proofErr w:type="spellStart"/>
            <w:r w:rsidRPr="00E51DFB">
              <w:rPr>
                <w:rFonts w:ascii="Garamond" w:hAnsi="Garamond"/>
                <w:bCs/>
                <w:iCs/>
                <w:sz w:val="20"/>
                <w:szCs w:val="20"/>
                <w:lang w:val="en-GB"/>
              </w:rPr>
              <w:t>atresias</w:t>
            </w:r>
            <w:proofErr w:type="spellEnd"/>
          </w:p>
        </w:tc>
        <w:tc>
          <w:tcPr>
            <w:tcW w:w="1330" w:type="dxa"/>
          </w:tcPr>
          <w:p w14:paraId="2FC89A93"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68</w:t>
            </w:r>
          </w:p>
        </w:tc>
        <w:tc>
          <w:tcPr>
            <w:tcW w:w="1429" w:type="dxa"/>
          </w:tcPr>
          <w:p w14:paraId="3DDEC96D"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7.8</w:t>
            </w:r>
          </w:p>
        </w:tc>
      </w:tr>
      <w:tr w:rsidR="00DA62A5" w:rsidRPr="00E51DFB" w14:paraId="6DCFB510" w14:textId="77777777" w:rsidTr="00DA62A5">
        <w:tc>
          <w:tcPr>
            <w:tcW w:w="1698" w:type="dxa"/>
          </w:tcPr>
          <w:p w14:paraId="749CC13F"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Ano-rectal malformations</w:t>
            </w:r>
          </w:p>
        </w:tc>
        <w:tc>
          <w:tcPr>
            <w:tcW w:w="1330" w:type="dxa"/>
          </w:tcPr>
          <w:p w14:paraId="3CAE80FA"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44</w:t>
            </w:r>
          </w:p>
        </w:tc>
        <w:tc>
          <w:tcPr>
            <w:tcW w:w="1429" w:type="dxa"/>
          </w:tcPr>
          <w:p w14:paraId="0D96D0AA"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5.1</w:t>
            </w:r>
          </w:p>
        </w:tc>
      </w:tr>
      <w:tr w:rsidR="00DA62A5" w:rsidRPr="00E51DFB" w14:paraId="203008F4" w14:textId="77777777" w:rsidTr="00DA62A5">
        <w:tc>
          <w:tcPr>
            <w:tcW w:w="1698" w:type="dxa"/>
          </w:tcPr>
          <w:p w14:paraId="546E56FA"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 xml:space="preserve">Hirschsprung’s disease </w:t>
            </w:r>
          </w:p>
        </w:tc>
        <w:tc>
          <w:tcPr>
            <w:tcW w:w="1330" w:type="dxa"/>
          </w:tcPr>
          <w:p w14:paraId="280B878B"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 xml:space="preserve">32 </w:t>
            </w:r>
          </w:p>
        </w:tc>
        <w:tc>
          <w:tcPr>
            <w:tcW w:w="1429" w:type="dxa"/>
          </w:tcPr>
          <w:p w14:paraId="5D5BA75A"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3.7</w:t>
            </w:r>
          </w:p>
        </w:tc>
      </w:tr>
      <w:tr w:rsidR="00DA62A5" w:rsidRPr="00E51DFB" w14:paraId="3E97DCB9" w14:textId="77777777" w:rsidTr="00DA62A5">
        <w:tc>
          <w:tcPr>
            <w:tcW w:w="1698" w:type="dxa"/>
          </w:tcPr>
          <w:p w14:paraId="0419D99F"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Malrotation</w:t>
            </w:r>
          </w:p>
        </w:tc>
        <w:tc>
          <w:tcPr>
            <w:tcW w:w="1330" w:type="dxa"/>
          </w:tcPr>
          <w:p w14:paraId="6EBE4F59"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21</w:t>
            </w:r>
          </w:p>
        </w:tc>
        <w:tc>
          <w:tcPr>
            <w:tcW w:w="1429" w:type="dxa"/>
          </w:tcPr>
          <w:p w14:paraId="15F6F814" w14:textId="77777777" w:rsidR="00DA62A5" w:rsidRPr="00E51DFB" w:rsidRDefault="00DA62A5" w:rsidP="00E51DFB">
            <w:pPr>
              <w:spacing w:line="259" w:lineRule="auto"/>
              <w:jc w:val="both"/>
              <w:rPr>
                <w:rFonts w:ascii="Garamond" w:hAnsi="Garamond"/>
                <w:bCs/>
                <w:iCs/>
                <w:sz w:val="20"/>
                <w:szCs w:val="20"/>
                <w:lang w:val="en-GB"/>
              </w:rPr>
            </w:pPr>
            <w:r w:rsidRPr="00E51DFB">
              <w:rPr>
                <w:rFonts w:ascii="Garamond" w:hAnsi="Garamond"/>
                <w:bCs/>
                <w:iCs/>
                <w:sz w:val="20"/>
                <w:szCs w:val="20"/>
                <w:lang w:val="en-GB"/>
              </w:rPr>
              <w:t>2.4</w:t>
            </w:r>
          </w:p>
        </w:tc>
      </w:tr>
      <w:tr w:rsidR="00DA62A5" w:rsidRPr="00E51DFB" w14:paraId="33C8E873" w14:textId="77777777" w:rsidTr="00DA62A5">
        <w:tc>
          <w:tcPr>
            <w:tcW w:w="1698" w:type="dxa"/>
            <w:tcBorders>
              <w:bottom w:val="single" w:sz="4" w:space="0" w:color="auto"/>
            </w:tcBorders>
          </w:tcPr>
          <w:p w14:paraId="677647D0" w14:textId="77777777" w:rsidR="00DA62A5" w:rsidRPr="00E51DFB" w:rsidRDefault="00DA62A5" w:rsidP="00E51DFB">
            <w:pPr>
              <w:spacing w:line="259" w:lineRule="auto"/>
              <w:jc w:val="both"/>
              <w:rPr>
                <w:rFonts w:ascii="Garamond" w:hAnsi="Garamond"/>
                <w:b/>
                <w:bCs/>
                <w:iCs/>
                <w:sz w:val="20"/>
                <w:szCs w:val="20"/>
                <w:lang w:val="en-GB"/>
              </w:rPr>
            </w:pPr>
            <w:r w:rsidRPr="00E51DFB">
              <w:rPr>
                <w:rFonts w:ascii="Garamond" w:hAnsi="Garamond"/>
                <w:b/>
                <w:bCs/>
                <w:iCs/>
                <w:sz w:val="20"/>
                <w:szCs w:val="20"/>
                <w:lang w:val="en-GB"/>
              </w:rPr>
              <w:t>Total</w:t>
            </w:r>
          </w:p>
        </w:tc>
        <w:tc>
          <w:tcPr>
            <w:tcW w:w="1330" w:type="dxa"/>
            <w:tcBorders>
              <w:bottom w:val="single" w:sz="4" w:space="0" w:color="auto"/>
            </w:tcBorders>
          </w:tcPr>
          <w:p w14:paraId="3FADD1FA" w14:textId="77777777" w:rsidR="00DA62A5" w:rsidRPr="00E51DFB" w:rsidRDefault="00DA62A5" w:rsidP="00E51DFB">
            <w:pPr>
              <w:spacing w:line="259" w:lineRule="auto"/>
              <w:jc w:val="both"/>
              <w:rPr>
                <w:rFonts w:ascii="Garamond" w:hAnsi="Garamond"/>
                <w:b/>
                <w:bCs/>
                <w:iCs/>
                <w:sz w:val="20"/>
                <w:szCs w:val="20"/>
                <w:lang w:val="en-GB"/>
              </w:rPr>
            </w:pPr>
            <w:r w:rsidRPr="00E51DFB">
              <w:rPr>
                <w:rFonts w:ascii="Garamond" w:hAnsi="Garamond"/>
                <w:b/>
                <w:bCs/>
                <w:iCs/>
                <w:sz w:val="20"/>
                <w:szCs w:val="20"/>
                <w:lang w:val="en-GB"/>
              </w:rPr>
              <w:t>870</w:t>
            </w:r>
          </w:p>
        </w:tc>
        <w:tc>
          <w:tcPr>
            <w:tcW w:w="1429" w:type="dxa"/>
            <w:tcBorders>
              <w:bottom w:val="single" w:sz="4" w:space="0" w:color="auto"/>
            </w:tcBorders>
          </w:tcPr>
          <w:p w14:paraId="0A5D2E61" w14:textId="77777777" w:rsidR="00DA62A5" w:rsidRPr="00E51DFB" w:rsidRDefault="00DA62A5" w:rsidP="00E51DFB">
            <w:pPr>
              <w:spacing w:line="259" w:lineRule="auto"/>
              <w:jc w:val="both"/>
              <w:rPr>
                <w:rFonts w:ascii="Garamond" w:hAnsi="Garamond"/>
                <w:b/>
                <w:bCs/>
                <w:iCs/>
                <w:sz w:val="20"/>
                <w:szCs w:val="20"/>
                <w:lang w:val="en-GB"/>
              </w:rPr>
            </w:pPr>
            <w:r w:rsidRPr="00E51DFB">
              <w:rPr>
                <w:rFonts w:ascii="Garamond" w:hAnsi="Garamond"/>
                <w:b/>
                <w:bCs/>
                <w:iCs/>
                <w:sz w:val="20"/>
                <w:szCs w:val="20"/>
                <w:lang w:val="en-GB"/>
              </w:rPr>
              <w:t>100</w:t>
            </w:r>
          </w:p>
        </w:tc>
      </w:tr>
    </w:tbl>
    <w:p w14:paraId="3D8A59DF" w14:textId="77777777" w:rsidR="00E51DFB" w:rsidRPr="00E51DFB" w:rsidRDefault="00E51DFB" w:rsidP="00E51DFB">
      <w:pPr>
        <w:spacing w:line="259" w:lineRule="auto"/>
        <w:jc w:val="both"/>
        <w:rPr>
          <w:rFonts w:ascii="Garamond" w:hAnsi="Garamond"/>
          <w:bCs/>
          <w:iCs/>
          <w:sz w:val="20"/>
          <w:szCs w:val="20"/>
          <w:lang w:val="en-GB"/>
        </w:rPr>
      </w:pPr>
    </w:p>
    <w:p w14:paraId="2B634A55" w14:textId="1DD60340" w:rsidR="000D7303" w:rsidRDefault="00E51DFB" w:rsidP="007A1526">
      <w:pPr>
        <w:spacing w:line="259" w:lineRule="auto"/>
        <w:jc w:val="both"/>
        <w:rPr>
          <w:rFonts w:ascii="Garamond" w:hAnsi="Garamond"/>
          <w:bCs/>
          <w:iCs/>
          <w:sz w:val="20"/>
          <w:szCs w:val="20"/>
        </w:rPr>
      </w:pPr>
      <w:r w:rsidRPr="00E51DFB">
        <w:rPr>
          <w:rFonts w:ascii="Times New Roman" w:eastAsia="SimSun" w:hAnsi="Times New Roman" w:cs="Times New Roman"/>
          <w:noProof/>
          <w:sz w:val="20"/>
          <w:szCs w:val="20"/>
        </w:rPr>
        <w:drawing>
          <wp:anchor distT="0" distB="0" distL="114300" distR="114300" simplePos="0" relativeHeight="251665408" behindDoc="0" locked="0" layoutInCell="1" allowOverlap="1" wp14:anchorId="1D8E9437" wp14:editId="4C87D89A">
            <wp:simplePos x="0" y="0"/>
            <wp:positionH relativeFrom="column">
              <wp:posOffset>3810</wp:posOffset>
            </wp:positionH>
            <wp:positionV relativeFrom="paragraph">
              <wp:posOffset>184785</wp:posOffset>
            </wp:positionV>
            <wp:extent cx="3265170" cy="2265680"/>
            <wp:effectExtent l="0" t="0" r="0" b="1270"/>
            <wp:wrapThrough wrapText="bothSides">
              <wp:wrapPolygon edited="0">
                <wp:start x="0" y="0"/>
                <wp:lineTo x="0" y="21430"/>
                <wp:lineTo x="21424" y="21430"/>
                <wp:lineTo x="21424" y="0"/>
                <wp:lineTo x="0" y="0"/>
              </wp:wrapPolygon>
            </wp:wrapThrough>
            <wp:docPr id="1145569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569828"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265170" cy="2265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E5CACF" w14:textId="77777777" w:rsidR="00E51DFB" w:rsidRPr="00E51DFB" w:rsidRDefault="00E51DFB" w:rsidP="00E51DFB">
      <w:pPr>
        <w:spacing w:line="259" w:lineRule="auto"/>
        <w:jc w:val="both"/>
        <w:rPr>
          <w:rFonts w:ascii="Garamond" w:hAnsi="Garamond"/>
          <w:b/>
          <w:bCs/>
          <w:iCs/>
          <w:sz w:val="20"/>
          <w:szCs w:val="20"/>
          <w:lang w:val="en-GB"/>
        </w:rPr>
      </w:pPr>
      <w:r w:rsidRPr="00E51DFB">
        <w:rPr>
          <w:rFonts w:ascii="Garamond" w:hAnsi="Garamond"/>
          <w:b/>
          <w:bCs/>
          <w:iCs/>
          <w:sz w:val="20"/>
          <w:szCs w:val="20"/>
          <w:lang w:val="en-GB"/>
        </w:rPr>
        <w:t>Figure 2 showing the typical presentation of intussusception intra-operatively</w:t>
      </w:r>
    </w:p>
    <w:p w14:paraId="416BBD0B" w14:textId="53DE1F2F" w:rsidR="00E51DFB" w:rsidRDefault="00E51DFB" w:rsidP="007A1526">
      <w:pPr>
        <w:spacing w:line="259" w:lineRule="auto"/>
        <w:jc w:val="both"/>
        <w:rPr>
          <w:rFonts w:ascii="Garamond" w:hAnsi="Garamond"/>
          <w:bCs/>
          <w:iCs/>
          <w:sz w:val="20"/>
          <w:szCs w:val="20"/>
        </w:rPr>
      </w:pPr>
      <w:r w:rsidRPr="00E51DFB">
        <w:rPr>
          <w:rFonts w:ascii="Times New Roman" w:eastAsia="SimSun" w:hAnsi="Times New Roman" w:cs="Times New Roman"/>
          <w:noProof/>
          <w:sz w:val="20"/>
          <w:szCs w:val="20"/>
        </w:rPr>
        <w:drawing>
          <wp:anchor distT="0" distB="0" distL="114300" distR="114300" simplePos="0" relativeHeight="251666432" behindDoc="0" locked="0" layoutInCell="1" allowOverlap="1" wp14:anchorId="2DD89E8F" wp14:editId="58173873">
            <wp:simplePos x="0" y="0"/>
            <wp:positionH relativeFrom="margin">
              <wp:posOffset>3561715</wp:posOffset>
            </wp:positionH>
            <wp:positionV relativeFrom="paragraph">
              <wp:posOffset>158115</wp:posOffset>
            </wp:positionV>
            <wp:extent cx="2830195" cy="2773045"/>
            <wp:effectExtent l="0" t="0" r="8255" b="8255"/>
            <wp:wrapThrough wrapText="bothSides">
              <wp:wrapPolygon edited="0">
                <wp:start x="0" y="0"/>
                <wp:lineTo x="0" y="21516"/>
                <wp:lineTo x="21518" y="21516"/>
                <wp:lineTo x="21518" y="0"/>
                <wp:lineTo x="0" y="0"/>
              </wp:wrapPolygon>
            </wp:wrapThrough>
            <wp:docPr id="10466248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624812"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830195" cy="2773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D87AFE" w14:textId="074742E6" w:rsidR="00E51DFB" w:rsidRDefault="00E51DFB" w:rsidP="007A1526">
      <w:pPr>
        <w:spacing w:line="259" w:lineRule="auto"/>
        <w:jc w:val="both"/>
        <w:rPr>
          <w:rFonts w:ascii="Garamond" w:hAnsi="Garamond"/>
          <w:bCs/>
          <w:iCs/>
          <w:sz w:val="20"/>
          <w:szCs w:val="20"/>
        </w:rPr>
      </w:pPr>
    </w:p>
    <w:p w14:paraId="1B930189" w14:textId="03E398E4" w:rsidR="00E51DFB" w:rsidRDefault="00E51DFB" w:rsidP="007A1526">
      <w:pPr>
        <w:spacing w:line="259" w:lineRule="auto"/>
        <w:jc w:val="both"/>
        <w:rPr>
          <w:rFonts w:ascii="Garamond" w:hAnsi="Garamond"/>
          <w:bCs/>
          <w:iCs/>
          <w:sz w:val="20"/>
          <w:szCs w:val="20"/>
        </w:rPr>
      </w:pPr>
    </w:p>
    <w:p w14:paraId="55609489" w14:textId="5AD2ECC3" w:rsidR="00E51DFB" w:rsidRDefault="00E51DFB" w:rsidP="007A1526">
      <w:pPr>
        <w:spacing w:line="259" w:lineRule="auto"/>
        <w:jc w:val="both"/>
        <w:rPr>
          <w:rFonts w:ascii="Garamond" w:hAnsi="Garamond"/>
          <w:bCs/>
          <w:iCs/>
          <w:sz w:val="20"/>
          <w:szCs w:val="20"/>
        </w:rPr>
      </w:pPr>
    </w:p>
    <w:p w14:paraId="5174DD5D" w14:textId="77777777" w:rsidR="000D7303" w:rsidRDefault="000D7303" w:rsidP="007A1526">
      <w:pPr>
        <w:spacing w:line="259" w:lineRule="auto"/>
        <w:jc w:val="both"/>
        <w:rPr>
          <w:rFonts w:ascii="Garamond" w:hAnsi="Garamond"/>
          <w:bCs/>
          <w:iCs/>
          <w:sz w:val="20"/>
          <w:szCs w:val="20"/>
        </w:rPr>
      </w:pPr>
    </w:p>
    <w:p w14:paraId="29FBB230" w14:textId="467C37C0" w:rsidR="000D7303" w:rsidRDefault="000D7303" w:rsidP="007A1526">
      <w:pPr>
        <w:spacing w:line="259" w:lineRule="auto"/>
        <w:jc w:val="both"/>
        <w:rPr>
          <w:rFonts w:ascii="Garamond" w:hAnsi="Garamond"/>
          <w:bCs/>
          <w:iCs/>
          <w:sz w:val="20"/>
          <w:szCs w:val="20"/>
        </w:rPr>
      </w:pPr>
    </w:p>
    <w:p w14:paraId="7D334E33" w14:textId="174453AC" w:rsidR="000D7303" w:rsidRDefault="000D7303" w:rsidP="007A1526">
      <w:pPr>
        <w:spacing w:line="259" w:lineRule="auto"/>
        <w:jc w:val="both"/>
        <w:rPr>
          <w:rFonts w:ascii="Garamond" w:hAnsi="Garamond"/>
          <w:bCs/>
          <w:iCs/>
          <w:sz w:val="20"/>
          <w:szCs w:val="20"/>
        </w:rPr>
      </w:pPr>
    </w:p>
    <w:p w14:paraId="638536BE" w14:textId="124535C7" w:rsidR="000D7303" w:rsidRDefault="000D7303" w:rsidP="007A1526">
      <w:pPr>
        <w:spacing w:line="259" w:lineRule="auto"/>
        <w:jc w:val="both"/>
        <w:rPr>
          <w:rFonts w:ascii="Garamond" w:hAnsi="Garamond"/>
          <w:bCs/>
          <w:iCs/>
          <w:sz w:val="20"/>
          <w:szCs w:val="20"/>
        </w:rPr>
      </w:pPr>
    </w:p>
    <w:p w14:paraId="650B1AD7" w14:textId="4E6F8375" w:rsidR="000D7303" w:rsidRDefault="000D7303" w:rsidP="007A1526">
      <w:pPr>
        <w:spacing w:line="259" w:lineRule="auto"/>
        <w:jc w:val="both"/>
        <w:rPr>
          <w:rFonts w:ascii="Garamond" w:hAnsi="Garamond"/>
          <w:bCs/>
          <w:iCs/>
          <w:sz w:val="20"/>
          <w:szCs w:val="20"/>
        </w:rPr>
      </w:pPr>
    </w:p>
    <w:p w14:paraId="7FC669CB" w14:textId="044A3EB4" w:rsidR="00E51DFB" w:rsidRDefault="00E51DFB" w:rsidP="007A1526">
      <w:pPr>
        <w:spacing w:line="259" w:lineRule="auto"/>
        <w:jc w:val="both"/>
        <w:rPr>
          <w:rFonts w:ascii="Garamond" w:hAnsi="Garamond"/>
          <w:bCs/>
          <w:iCs/>
          <w:sz w:val="20"/>
          <w:szCs w:val="20"/>
        </w:rPr>
      </w:pPr>
    </w:p>
    <w:p w14:paraId="107733FE" w14:textId="686A6A43" w:rsidR="00E51DFB" w:rsidRDefault="00E51DFB" w:rsidP="007A1526">
      <w:pPr>
        <w:spacing w:line="259" w:lineRule="auto"/>
        <w:jc w:val="both"/>
        <w:rPr>
          <w:rFonts w:ascii="Garamond" w:hAnsi="Garamond"/>
          <w:bCs/>
          <w:iCs/>
          <w:sz w:val="20"/>
          <w:szCs w:val="20"/>
        </w:rPr>
      </w:pPr>
    </w:p>
    <w:p w14:paraId="00407FA2" w14:textId="77777777" w:rsidR="00E51DFB" w:rsidRDefault="00E51DFB" w:rsidP="007A1526">
      <w:pPr>
        <w:spacing w:line="259" w:lineRule="auto"/>
        <w:jc w:val="both"/>
        <w:rPr>
          <w:rFonts w:ascii="Garamond" w:hAnsi="Garamond"/>
          <w:bCs/>
          <w:iCs/>
          <w:sz w:val="20"/>
          <w:szCs w:val="20"/>
        </w:rPr>
      </w:pPr>
    </w:p>
    <w:p w14:paraId="06DFA79F" w14:textId="77777777" w:rsidR="00E51DFB" w:rsidRDefault="00E51DFB" w:rsidP="007A1526">
      <w:pPr>
        <w:spacing w:line="259" w:lineRule="auto"/>
        <w:jc w:val="both"/>
        <w:rPr>
          <w:rFonts w:ascii="Garamond" w:hAnsi="Garamond"/>
          <w:bCs/>
          <w:iCs/>
          <w:sz w:val="20"/>
          <w:szCs w:val="20"/>
        </w:rPr>
      </w:pPr>
    </w:p>
    <w:p w14:paraId="02AB846B" w14:textId="77777777" w:rsidR="00E51DFB" w:rsidRDefault="00E51DFB" w:rsidP="007A1526">
      <w:pPr>
        <w:spacing w:line="259" w:lineRule="auto"/>
        <w:jc w:val="both"/>
        <w:rPr>
          <w:rFonts w:ascii="Garamond" w:hAnsi="Garamond"/>
          <w:bCs/>
          <w:iCs/>
          <w:sz w:val="20"/>
          <w:szCs w:val="20"/>
        </w:rPr>
      </w:pPr>
    </w:p>
    <w:p w14:paraId="6ECD49C7" w14:textId="77777777" w:rsidR="00E51DFB" w:rsidRDefault="00E51DFB" w:rsidP="007A1526">
      <w:pPr>
        <w:spacing w:line="259" w:lineRule="auto"/>
        <w:jc w:val="both"/>
        <w:rPr>
          <w:rFonts w:ascii="Garamond" w:hAnsi="Garamond"/>
          <w:bCs/>
          <w:iCs/>
          <w:sz w:val="20"/>
          <w:szCs w:val="20"/>
        </w:rPr>
      </w:pPr>
    </w:p>
    <w:p w14:paraId="589CC814" w14:textId="77777777" w:rsidR="00E51DFB" w:rsidRDefault="00E51DFB" w:rsidP="007A1526">
      <w:pPr>
        <w:spacing w:line="259" w:lineRule="auto"/>
        <w:jc w:val="both"/>
        <w:rPr>
          <w:rFonts w:ascii="Garamond" w:hAnsi="Garamond"/>
          <w:bCs/>
          <w:iCs/>
          <w:sz w:val="20"/>
          <w:szCs w:val="20"/>
        </w:rPr>
      </w:pPr>
    </w:p>
    <w:p w14:paraId="54036367" w14:textId="77777777" w:rsidR="00E51DFB" w:rsidRDefault="00E51DFB" w:rsidP="007A1526">
      <w:pPr>
        <w:spacing w:line="259" w:lineRule="auto"/>
        <w:jc w:val="both"/>
        <w:rPr>
          <w:rFonts w:ascii="Garamond" w:hAnsi="Garamond"/>
          <w:bCs/>
          <w:iCs/>
          <w:sz w:val="20"/>
          <w:szCs w:val="20"/>
        </w:rPr>
      </w:pPr>
    </w:p>
    <w:p w14:paraId="19E8821D" w14:textId="77777777" w:rsidR="000D7303" w:rsidRDefault="000D7303" w:rsidP="007A1526">
      <w:pPr>
        <w:spacing w:line="259" w:lineRule="auto"/>
        <w:jc w:val="both"/>
        <w:rPr>
          <w:rFonts w:ascii="Garamond" w:hAnsi="Garamond"/>
          <w:bCs/>
          <w:iCs/>
          <w:sz w:val="20"/>
          <w:szCs w:val="20"/>
        </w:rPr>
      </w:pPr>
    </w:p>
    <w:p w14:paraId="7213CAAC" w14:textId="77777777" w:rsidR="00E51DFB" w:rsidRDefault="00E51DFB" w:rsidP="00E51DFB">
      <w:pPr>
        <w:spacing w:line="259" w:lineRule="auto"/>
        <w:jc w:val="both"/>
        <w:rPr>
          <w:rFonts w:ascii="Garamond" w:hAnsi="Garamond"/>
          <w:b/>
          <w:bCs/>
          <w:iCs/>
          <w:sz w:val="22"/>
          <w:szCs w:val="22"/>
          <w:lang w:val="en-GB"/>
        </w:rPr>
      </w:pPr>
      <w:r w:rsidRPr="00E51DFB">
        <w:rPr>
          <w:rFonts w:ascii="Garamond" w:hAnsi="Garamond"/>
          <w:b/>
          <w:bCs/>
          <w:iCs/>
          <w:sz w:val="22"/>
          <w:szCs w:val="22"/>
          <w:lang w:val="en-GB"/>
        </w:rPr>
        <w:t>Figure 3 showing prolapsed intussusception</w:t>
      </w:r>
    </w:p>
    <w:p w14:paraId="1A5A72C4" w14:textId="77777777" w:rsidR="00E51DFB" w:rsidRDefault="00E51DFB" w:rsidP="00E51DFB">
      <w:pPr>
        <w:spacing w:line="259" w:lineRule="auto"/>
        <w:jc w:val="both"/>
        <w:rPr>
          <w:rFonts w:ascii="Garamond" w:hAnsi="Garamond"/>
          <w:b/>
          <w:bCs/>
          <w:iCs/>
          <w:sz w:val="22"/>
          <w:szCs w:val="22"/>
          <w:lang w:val="en-GB"/>
        </w:rPr>
      </w:pPr>
    </w:p>
    <w:p w14:paraId="1AD1F727" w14:textId="5BB40553" w:rsidR="00E51DFB" w:rsidRPr="00E51DFB" w:rsidRDefault="00E51DFB" w:rsidP="00E51DFB">
      <w:pPr>
        <w:spacing w:line="259" w:lineRule="auto"/>
        <w:jc w:val="both"/>
        <w:rPr>
          <w:rFonts w:ascii="Garamond" w:hAnsi="Garamond"/>
          <w:b/>
          <w:bCs/>
          <w:iCs/>
          <w:sz w:val="22"/>
          <w:szCs w:val="22"/>
          <w:lang w:val="en-GB"/>
        </w:rPr>
      </w:pPr>
      <w:r w:rsidRPr="00E51DFB">
        <w:rPr>
          <w:rFonts w:ascii="Garamond" w:hAnsi="Garamond"/>
          <w:b/>
          <w:bCs/>
          <w:iCs/>
          <w:sz w:val="22"/>
          <w:szCs w:val="22"/>
          <w:lang w:val="en-GB"/>
        </w:rPr>
        <w:t xml:space="preserve">Table 2 </w:t>
      </w:r>
      <w:r w:rsidRPr="00E51DFB">
        <w:rPr>
          <w:rFonts w:ascii="Garamond" w:hAnsi="Garamond"/>
          <w:iCs/>
          <w:sz w:val="22"/>
          <w:szCs w:val="22"/>
          <w:lang w:val="en-GB"/>
        </w:rPr>
        <w:t>showing pre-operative complications associated with late presentations</w:t>
      </w:r>
      <w:r w:rsidRPr="00E51DFB">
        <w:rPr>
          <w:rFonts w:ascii="Garamond" w:hAnsi="Garamond"/>
          <w:b/>
          <w:bCs/>
          <w:iCs/>
          <w:sz w:val="22"/>
          <w:szCs w:val="22"/>
          <w:lang w:val="en-GB"/>
        </w:rPr>
        <w:t xml:space="preserve"> </w:t>
      </w:r>
    </w:p>
    <w:tbl>
      <w:tblPr>
        <w:tblStyle w:val="TableGrid"/>
        <w:tblW w:w="471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8"/>
        <w:gridCol w:w="1115"/>
        <w:gridCol w:w="1359"/>
      </w:tblGrid>
      <w:tr w:rsidR="00DA62A5" w:rsidRPr="00DA62A5" w14:paraId="632FD48E" w14:textId="77777777" w:rsidTr="00DA62A5">
        <w:tc>
          <w:tcPr>
            <w:tcW w:w="2238" w:type="dxa"/>
            <w:tcBorders>
              <w:top w:val="single" w:sz="4" w:space="0" w:color="auto"/>
              <w:bottom w:val="single" w:sz="4" w:space="0" w:color="auto"/>
            </w:tcBorders>
          </w:tcPr>
          <w:p w14:paraId="0D9D0F66" w14:textId="43139FEF" w:rsidR="00DA62A5" w:rsidRPr="00DA62A5" w:rsidRDefault="00DA62A5" w:rsidP="00E51DFB">
            <w:pPr>
              <w:spacing w:line="259" w:lineRule="auto"/>
              <w:jc w:val="both"/>
              <w:rPr>
                <w:rFonts w:ascii="Garamond" w:hAnsi="Garamond"/>
                <w:b/>
                <w:bCs/>
                <w:iCs/>
                <w:sz w:val="20"/>
                <w:szCs w:val="20"/>
                <w:lang w:val="en-GB"/>
              </w:rPr>
            </w:pPr>
            <w:r w:rsidRPr="00DA62A5">
              <w:rPr>
                <w:rFonts w:ascii="Garamond" w:hAnsi="Garamond"/>
                <w:b/>
                <w:bCs/>
                <w:iCs/>
                <w:sz w:val="20"/>
                <w:szCs w:val="20"/>
                <w:lang w:val="en-GB"/>
              </w:rPr>
              <w:t>Pre-Operative Complications</w:t>
            </w:r>
          </w:p>
        </w:tc>
        <w:tc>
          <w:tcPr>
            <w:tcW w:w="1115" w:type="dxa"/>
            <w:tcBorders>
              <w:top w:val="single" w:sz="4" w:space="0" w:color="auto"/>
              <w:bottom w:val="single" w:sz="4" w:space="0" w:color="auto"/>
            </w:tcBorders>
          </w:tcPr>
          <w:p w14:paraId="5D6482C9" w14:textId="5C43B58A" w:rsidR="00DA62A5" w:rsidRPr="00DA62A5" w:rsidRDefault="00DA62A5" w:rsidP="00E51DFB">
            <w:pPr>
              <w:spacing w:line="259" w:lineRule="auto"/>
              <w:jc w:val="both"/>
              <w:rPr>
                <w:rFonts w:ascii="Garamond" w:hAnsi="Garamond"/>
                <w:b/>
                <w:bCs/>
                <w:iCs/>
                <w:sz w:val="20"/>
                <w:szCs w:val="20"/>
                <w:lang w:val="en-GB"/>
              </w:rPr>
            </w:pPr>
            <w:r w:rsidRPr="00DA62A5">
              <w:rPr>
                <w:rFonts w:ascii="Garamond" w:hAnsi="Garamond"/>
                <w:b/>
                <w:bCs/>
                <w:iCs/>
                <w:sz w:val="20"/>
                <w:szCs w:val="20"/>
                <w:lang w:val="en-GB"/>
              </w:rPr>
              <w:t>Frequency</w:t>
            </w:r>
          </w:p>
        </w:tc>
        <w:tc>
          <w:tcPr>
            <w:tcW w:w="1359" w:type="dxa"/>
            <w:tcBorders>
              <w:top w:val="single" w:sz="4" w:space="0" w:color="auto"/>
              <w:bottom w:val="single" w:sz="4" w:space="0" w:color="auto"/>
            </w:tcBorders>
          </w:tcPr>
          <w:p w14:paraId="73FA44D7" w14:textId="11072F73" w:rsidR="00DA62A5" w:rsidRPr="00DA62A5" w:rsidRDefault="00DA62A5" w:rsidP="00E51DFB">
            <w:pPr>
              <w:spacing w:line="259" w:lineRule="auto"/>
              <w:jc w:val="both"/>
              <w:rPr>
                <w:rFonts w:ascii="Garamond" w:hAnsi="Garamond"/>
                <w:b/>
                <w:bCs/>
                <w:iCs/>
                <w:sz w:val="20"/>
                <w:szCs w:val="20"/>
                <w:lang w:val="en-GB"/>
              </w:rPr>
            </w:pPr>
            <w:r w:rsidRPr="00DA62A5">
              <w:rPr>
                <w:rFonts w:ascii="Garamond" w:hAnsi="Garamond"/>
                <w:b/>
                <w:bCs/>
                <w:iCs/>
                <w:sz w:val="20"/>
                <w:szCs w:val="20"/>
                <w:lang w:val="en-GB"/>
              </w:rPr>
              <w:t xml:space="preserve">Percentage </w:t>
            </w:r>
          </w:p>
        </w:tc>
      </w:tr>
      <w:tr w:rsidR="00DA62A5" w:rsidRPr="00DA62A5" w14:paraId="75969389" w14:textId="77777777" w:rsidTr="00DA62A5">
        <w:tc>
          <w:tcPr>
            <w:tcW w:w="2238" w:type="dxa"/>
            <w:tcBorders>
              <w:top w:val="single" w:sz="4" w:space="0" w:color="auto"/>
            </w:tcBorders>
          </w:tcPr>
          <w:p w14:paraId="64B10A4D"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 xml:space="preserve">Palpable abdominal mass </w:t>
            </w:r>
          </w:p>
        </w:tc>
        <w:tc>
          <w:tcPr>
            <w:tcW w:w="1115" w:type="dxa"/>
            <w:tcBorders>
              <w:top w:val="single" w:sz="4" w:space="0" w:color="auto"/>
            </w:tcBorders>
          </w:tcPr>
          <w:p w14:paraId="76E514A5"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175</w:t>
            </w:r>
          </w:p>
        </w:tc>
        <w:tc>
          <w:tcPr>
            <w:tcW w:w="1359" w:type="dxa"/>
            <w:tcBorders>
              <w:top w:val="single" w:sz="4" w:space="0" w:color="auto"/>
            </w:tcBorders>
          </w:tcPr>
          <w:p w14:paraId="4D55F4A1"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51.2</w:t>
            </w:r>
          </w:p>
        </w:tc>
      </w:tr>
      <w:tr w:rsidR="00DA62A5" w:rsidRPr="00DA62A5" w14:paraId="143D36A7" w14:textId="77777777" w:rsidTr="00DA62A5">
        <w:tc>
          <w:tcPr>
            <w:tcW w:w="2238" w:type="dxa"/>
          </w:tcPr>
          <w:p w14:paraId="190B50B9"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 xml:space="preserve">Severe anaemia </w:t>
            </w:r>
          </w:p>
        </w:tc>
        <w:tc>
          <w:tcPr>
            <w:tcW w:w="1115" w:type="dxa"/>
          </w:tcPr>
          <w:p w14:paraId="622495C8"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88</w:t>
            </w:r>
          </w:p>
        </w:tc>
        <w:tc>
          <w:tcPr>
            <w:tcW w:w="1359" w:type="dxa"/>
          </w:tcPr>
          <w:p w14:paraId="30930BEC"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25.7</w:t>
            </w:r>
          </w:p>
        </w:tc>
      </w:tr>
      <w:tr w:rsidR="00DA62A5" w:rsidRPr="00DA62A5" w14:paraId="416E91F2" w14:textId="77777777" w:rsidTr="00DA62A5">
        <w:tc>
          <w:tcPr>
            <w:tcW w:w="2238" w:type="dxa"/>
          </w:tcPr>
          <w:p w14:paraId="7022572E"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 xml:space="preserve">Peritonitis </w:t>
            </w:r>
          </w:p>
        </w:tc>
        <w:tc>
          <w:tcPr>
            <w:tcW w:w="1115" w:type="dxa"/>
          </w:tcPr>
          <w:p w14:paraId="707774AC"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57</w:t>
            </w:r>
          </w:p>
        </w:tc>
        <w:tc>
          <w:tcPr>
            <w:tcW w:w="1359" w:type="dxa"/>
          </w:tcPr>
          <w:p w14:paraId="31C3D928"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16.7</w:t>
            </w:r>
          </w:p>
        </w:tc>
      </w:tr>
      <w:tr w:rsidR="00DA62A5" w:rsidRPr="00DA62A5" w14:paraId="2B8851F1" w14:textId="77777777" w:rsidTr="00DA62A5">
        <w:tc>
          <w:tcPr>
            <w:tcW w:w="2238" w:type="dxa"/>
          </w:tcPr>
          <w:p w14:paraId="77EF6B7A"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 xml:space="preserve">Prolapsed intussusception </w:t>
            </w:r>
          </w:p>
        </w:tc>
        <w:tc>
          <w:tcPr>
            <w:tcW w:w="1115" w:type="dxa"/>
          </w:tcPr>
          <w:p w14:paraId="36FB2C3E"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13</w:t>
            </w:r>
          </w:p>
        </w:tc>
        <w:tc>
          <w:tcPr>
            <w:tcW w:w="1359" w:type="dxa"/>
          </w:tcPr>
          <w:p w14:paraId="5CDD295A"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3.8</w:t>
            </w:r>
          </w:p>
        </w:tc>
      </w:tr>
      <w:tr w:rsidR="00DA62A5" w:rsidRPr="00DA62A5" w14:paraId="05C4B3D0" w14:textId="77777777" w:rsidTr="00DA62A5">
        <w:tc>
          <w:tcPr>
            <w:tcW w:w="2238" w:type="dxa"/>
          </w:tcPr>
          <w:p w14:paraId="7C341DBF"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Septicaemia</w:t>
            </w:r>
          </w:p>
        </w:tc>
        <w:tc>
          <w:tcPr>
            <w:tcW w:w="1115" w:type="dxa"/>
          </w:tcPr>
          <w:p w14:paraId="766619E6"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9</w:t>
            </w:r>
          </w:p>
        </w:tc>
        <w:tc>
          <w:tcPr>
            <w:tcW w:w="1359" w:type="dxa"/>
          </w:tcPr>
          <w:p w14:paraId="45FC93F3"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2.6</w:t>
            </w:r>
          </w:p>
        </w:tc>
      </w:tr>
      <w:tr w:rsidR="00DA62A5" w:rsidRPr="00DA62A5" w14:paraId="5CD2B8EC" w14:textId="77777777" w:rsidTr="00DA62A5">
        <w:tc>
          <w:tcPr>
            <w:tcW w:w="2238" w:type="dxa"/>
            <w:tcBorders>
              <w:bottom w:val="single" w:sz="4" w:space="0" w:color="auto"/>
            </w:tcBorders>
          </w:tcPr>
          <w:p w14:paraId="48DE08BF"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Total</w:t>
            </w:r>
          </w:p>
        </w:tc>
        <w:tc>
          <w:tcPr>
            <w:tcW w:w="1115" w:type="dxa"/>
            <w:tcBorders>
              <w:bottom w:val="single" w:sz="4" w:space="0" w:color="auto"/>
            </w:tcBorders>
          </w:tcPr>
          <w:p w14:paraId="09025AB6"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342</w:t>
            </w:r>
          </w:p>
        </w:tc>
        <w:tc>
          <w:tcPr>
            <w:tcW w:w="1359" w:type="dxa"/>
            <w:tcBorders>
              <w:bottom w:val="single" w:sz="4" w:space="0" w:color="auto"/>
            </w:tcBorders>
          </w:tcPr>
          <w:p w14:paraId="3A5EAAFF" w14:textId="77777777" w:rsidR="00DA62A5" w:rsidRPr="00DA62A5" w:rsidRDefault="00DA62A5" w:rsidP="00E51DFB">
            <w:pPr>
              <w:spacing w:line="259" w:lineRule="auto"/>
              <w:jc w:val="both"/>
              <w:rPr>
                <w:rFonts w:ascii="Garamond" w:hAnsi="Garamond"/>
                <w:iCs/>
                <w:sz w:val="20"/>
                <w:szCs w:val="20"/>
                <w:lang w:val="en-GB"/>
              </w:rPr>
            </w:pPr>
            <w:r w:rsidRPr="00DA62A5">
              <w:rPr>
                <w:rFonts w:ascii="Garamond" w:hAnsi="Garamond"/>
                <w:iCs/>
                <w:sz w:val="20"/>
                <w:szCs w:val="20"/>
                <w:lang w:val="en-GB"/>
              </w:rPr>
              <w:t>100</w:t>
            </w:r>
          </w:p>
        </w:tc>
      </w:tr>
    </w:tbl>
    <w:p w14:paraId="28A1D2D7" w14:textId="77777777" w:rsidR="00E51DFB" w:rsidRPr="00E51DFB" w:rsidRDefault="00E51DFB" w:rsidP="00F0607A">
      <w:pPr>
        <w:jc w:val="both"/>
        <w:rPr>
          <w:rFonts w:ascii="Garamond" w:hAnsi="Garamond"/>
          <w:iCs/>
          <w:sz w:val="20"/>
          <w:szCs w:val="20"/>
          <w:lang w:val="en-GB"/>
        </w:rPr>
      </w:pPr>
      <w:r w:rsidRPr="00E51DFB">
        <w:rPr>
          <w:rFonts w:ascii="Garamond" w:hAnsi="Garamond"/>
          <w:iCs/>
          <w:sz w:val="20"/>
          <w:szCs w:val="20"/>
          <w:lang w:val="en-GB"/>
        </w:rPr>
        <w:lastRenderedPageBreak/>
        <w:t xml:space="preserve">A total number of 442 patients had operative management and out of this number, 312 (70.6) had manual reduction because of the viability of the intussuscepted segments while 130 (29.4) patients had intestinal resection and anastomosis. 160 (36.2) patients out of the operated case had surgical site infection. 20 (4.5) had wound dehiscence, 3 (0.7) patients had burst abdominal wound and 2 (0.5) patients had </w:t>
      </w:r>
      <w:proofErr w:type="spellStart"/>
      <w:r w:rsidRPr="00E51DFB">
        <w:rPr>
          <w:rFonts w:ascii="Garamond" w:hAnsi="Garamond"/>
          <w:iCs/>
          <w:sz w:val="20"/>
          <w:szCs w:val="20"/>
          <w:lang w:val="en-GB"/>
        </w:rPr>
        <w:t>enterocutanous</w:t>
      </w:r>
      <w:proofErr w:type="spellEnd"/>
      <w:r w:rsidRPr="00E51DFB">
        <w:rPr>
          <w:rFonts w:ascii="Garamond" w:hAnsi="Garamond"/>
          <w:iCs/>
          <w:sz w:val="20"/>
          <w:szCs w:val="20"/>
          <w:lang w:val="en-GB"/>
        </w:rPr>
        <w:t xml:space="preserve"> fistula. We had a total of seven deaths from septicaemia.</w:t>
      </w:r>
    </w:p>
    <w:p w14:paraId="6B91C6A0" w14:textId="77777777" w:rsidR="00E51DFB" w:rsidRDefault="00E51DFB" w:rsidP="00F0607A">
      <w:pPr>
        <w:jc w:val="both"/>
        <w:rPr>
          <w:rFonts w:ascii="Garamond" w:hAnsi="Garamond"/>
          <w:b/>
          <w:bCs/>
          <w:iCs/>
          <w:sz w:val="20"/>
          <w:szCs w:val="20"/>
        </w:rPr>
      </w:pPr>
    </w:p>
    <w:p w14:paraId="5EC8E767" w14:textId="5A65162F" w:rsidR="00E51DFB" w:rsidRPr="00E51DFB" w:rsidRDefault="00DA62A5" w:rsidP="00F0607A">
      <w:pPr>
        <w:jc w:val="both"/>
        <w:rPr>
          <w:rFonts w:ascii="Garamond" w:hAnsi="Garamond"/>
          <w:b/>
          <w:bCs/>
          <w:iCs/>
          <w:sz w:val="22"/>
          <w:szCs w:val="22"/>
        </w:rPr>
      </w:pPr>
      <w:r w:rsidRPr="00E51DFB">
        <w:rPr>
          <w:rFonts w:ascii="Garamond" w:hAnsi="Garamond"/>
          <w:b/>
          <w:bCs/>
          <w:iCs/>
          <w:sz w:val="22"/>
          <w:szCs w:val="22"/>
        </w:rPr>
        <w:t>DISCUSSION</w:t>
      </w:r>
    </w:p>
    <w:p w14:paraId="40B1E02C" w14:textId="119BD086" w:rsidR="00E51DFB" w:rsidRPr="00F53556" w:rsidRDefault="00E51DFB" w:rsidP="00F0607A">
      <w:pPr>
        <w:jc w:val="both"/>
        <w:rPr>
          <w:rFonts w:ascii="Garamond" w:hAnsi="Garamond"/>
          <w:iCs/>
          <w:sz w:val="20"/>
          <w:szCs w:val="20"/>
          <w:vertAlign w:val="superscript"/>
          <w:lang w:val="en-GB"/>
        </w:rPr>
      </w:pPr>
      <w:r w:rsidRPr="00E51DFB">
        <w:rPr>
          <w:rFonts w:ascii="Garamond" w:hAnsi="Garamond"/>
          <w:iCs/>
          <w:sz w:val="20"/>
          <w:szCs w:val="20"/>
          <w:lang w:val="en-GB"/>
        </w:rPr>
        <w:t>I</w:t>
      </w:r>
      <w:proofErr w:type="spellStart"/>
      <w:r w:rsidRPr="00E51DFB">
        <w:rPr>
          <w:rFonts w:ascii="Garamond" w:hAnsi="Garamond"/>
          <w:iCs/>
          <w:sz w:val="20"/>
          <w:szCs w:val="20"/>
        </w:rPr>
        <w:t>ntussusception</w:t>
      </w:r>
      <w:proofErr w:type="spellEnd"/>
      <w:r w:rsidRPr="00E51DFB">
        <w:rPr>
          <w:rFonts w:ascii="Garamond" w:hAnsi="Garamond"/>
          <w:iCs/>
          <w:sz w:val="20"/>
          <w:szCs w:val="20"/>
          <w:lang w:val="en-GB"/>
        </w:rPr>
        <w:t xml:space="preserve"> is the commonest cause of intestinal obstruction in children aged between 3 months to 3 years. I</w:t>
      </w:r>
      <w:proofErr w:type="spellStart"/>
      <w:r w:rsidRPr="00E51DFB">
        <w:rPr>
          <w:rFonts w:ascii="Garamond" w:hAnsi="Garamond"/>
          <w:iCs/>
          <w:sz w:val="20"/>
          <w:szCs w:val="20"/>
        </w:rPr>
        <w:t>ntussusception</w:t>
      </w:r>
      <w:proofErr w:type="spellEnd"/>
      <w:r w:rsidRPr="00E51DFB">
        <w:rPr>
          <w:rFonts w:ascii="Garamond" w:hAnsi="Garamond"/>
          <w:iCs/>
          <w:sz w:val="20"/>
          <w:szCs w:val="20"/>
          <w:lang w:val="en-GB"/>
        </w:rPr>
        <w:t xml:space="preserve"> was the most prevalent cause of intestinal obstruction amongst all the cases of intestinal obstruction observed during the study period. This is similar to the findings of Malik et al.</w:t>
      </w:r>
      <w:r w:rsidRPr="00E51DFB">
        <w:rPr>
          <w:rFonts w:ascii="Garamond" w:hAnsi="Garamond"/>
          <w:iCs/>
          <w:sz w:val="20"/>
          <w:szCs w:val="20"/>
          <w:vertAlign w:val="superscript"/>
          <w:lang w:val="en-GB"/>
        </w:rPr>
        <w:t>18</w:t>
      </w:r>
      <w:r w:rsidRPr="00E51DFB">
        <w:rPr>
          <w:rFonts w:ascii="Garamond" w:hAnsi="Garamond"/>
          <w:iCs/>
          <w:sz w:val="20"/>
          <w:szCs w:val="20"/>
          <w:lang w:val="en-GB"/>
        </w:rPr>
        <w:t xml:space="preserve"> The peak age of </w:t>
      </w:r>
      <w:proofErr w:type="spellStart"/>
      <w:r w:rsidRPr="00E51DFB">
        <w:rPr>
          <w:rFonts w:ascii="Garamond" w:hAnsi="Garamond"/>
          <w:iCs/>
          <w:sz w:val="20"/>
          <w:szCs w:val="20"/>
          <w:lang w:val="en-GB"/>
        </w:rPr>
        <w:t>i</w:t>
      </w:r>
      <w:r w:rsidRPr="00E51DFB">
        <w:rPr>
          <w:rFonts w:ascii="Garamond" w:hAnsi="Garamond"/>
          <w:iCs/>
          <w:sz w:val="20"/>
          <w:szCs w:val="20"/>
        </w:rPr>
        <w:t>ntussusceptio</w:t>
      </w:r>
      <w:proofErr w:type="spellEnd"/>
      <w:r w:rsidRPr="00E51DFB">
        <w:rPr>
          <w:rFonts w:ascii="Garamond" w:hAnsi="Garamond"/>
          <w:iCs/>
          <w:sz w:val="20"/>
          <w:szCs w:val="20"/>
          <w:lang w:val="en-GB"/>
        </w:rPr>
        <w:t xml:space="preserve">n in our study was 6 months thou we recorded cases of </w:t>
      </w:r>
      <w:proofErr w:type="spellStart"/>
      <w:r w:rsidRPr="00E51DFB">
        <w:rPr>
          <w:rFonts w:ascii="Garamond" w:hAnsi="Garamond"/>
          <w:iCs/>
          <w:sz w:val="20"/>
          <w:szCs w:val="20"/>
          <w:lang w:val="en-GB"/>
        </w:rPr>
        <w:t>i</w:t>
      </w:r>
      <w:r w:rsidRPr="00E51DFB">
        <w:rPr>
          <w:rFonts w:ascii="Garamond" w:hAnsi="Garamond"/>
          <w:iCs/>
          <w:sz w:val="20"/>
          <w:szCs w:val="20"/>
        </w:rPr>
        <w:t>ntussusception</w:t>
      </w:r>
      <w:proofErr w:type="spellEnd"/>
      <w:r w:rsidRPr="00E51DFB">
        <w:rPr>
          <w:rFonts w:ascii="Garamond" w:hAnsi="Garamond"/>
          <w:iCs/>
          <w:sz w:val="20"/>
          <w:szCs w:val="20"/>
          <w:lang w:val="en-GB"/>
        </w:rPr>
        <w:t xml:space="preserve"> in some two months old and 3 years old patients. Other studies have also made observations similar to our findings.</w:t>
      </w:r>
      <w:r w:rsidRPr="00E51DFB">
        <w:rPr>
          <w:rFonts w:ascii="Garamond" w:hAnsi="Garamond"/>
          <w:iCs/>
          <w:sz w:val="20"/>
          <w:szCs w:val="20"/>
          <w:vertAlign w:val="superscript"/>
          <w:lang w:val="en-GB"/>
        </w:rPr>
        <w:t>19,20</w:t>
      </w:r>
    </w:p>
    <w:p w14:paraId="709FFA1A" w14:textId="525B43FE" w:rsidR="00E51DFB" w:rsidRPr="00F53556" w:rsidRDefault="00E51DFB" w:rsidP="00F0607A">
      <w:pPr>
        <w:jc w:val="both"/>
        <w:rPr>
          <w:rFonts w:ascii="Garamond" w:hAnsi="Garamond"/>
          <w:iCs/>
          <w:sz w:val="20"/>
          <w:szCs w:val="20"/>
          <w:vertAlign w:val="superscript"/>
          <w:lang w:val="en-GB"/>
        </w:rPr>
      </w:pPr>
      <w:r w:rsidRPr="00E51DFB">
        <w:rPr>
          <w:rFonts w:ascii="Garamond" w:hAnsi="Garamond"/>
          <w:iCs/>
          <w:sz w:val="20"/>
          <w:szCs w:val="20"/>
          <w:lang w:val="en-GB"/>
        </w:rPr>
        <w:t>I</w:t>
      </w:r>
      <w:proofErr w:type="spellStart"/>
      <w:r w:rsidRPr="00E51DFB">
        <w:rPr>
          <w:rFonts w:ascii="Garamond" w:hAnsi="Garamond"/>
          <w:iCs/>
          <w:sz w:val="20"/>
          <w:szCs w:val="20"/>
        </w:rPr>
        <w:t>ntussusception</w:t>
      </w:r>
      <w:proofErr w:type="spellEnd"/>
      <w:r w:rsidRPr="00E51DFB">
        <w:rPr>
          <w:rFonts w:ascii="Garamond" w:hAnsi="Garamond"/>
          <w:iCs/>
          <w:sz w:val="20"/>
          <w:szCs w:val="20"/>
          <w:lang w:val="en-GB"/>
        </w:rPr>
        <w:t xml:space="preserve"> in patients less than 2 months is not common and poses pre-operative diagnostic challenges. I</w:t>
      </w:r>
      <w:proofErr w:type="spellStart"/>
      <w:r w:rsidRPr="00E51DFB">
        <w:rPr>
          <w:rFonts w:ascii="Garamond" w:hAnsi="Garamond"/>
          <w:iCs/>
          <w:sz w:val="20"/>
          <w:szCs w:val="20"/>
        </w:rPr>
        <w:t>ntussusception</w:t>
      </w:r>
      <w:proofErr w:type="spellEnd"/>
      <w:r w:rsidRPr="00E51DFB">
        <w:rPr>
          <w:rFonts w:ascii="Garamond" w:hAnsi="Garamond"/>
          <w:iCs/>
          <w:sz w:val="20"/>
          <w:szCs w:val="20"/>
          <w:lang w:val="en-GB"/>
        </w:rPr>
        <w:t xml:space="preserve"> seen in patients aged 3 years and above were usually associated with lead points such as remnants of urachus, persistent vitello-intestinal duct, m</w:t>
      </w:r>
      <w:proofErr w:type="spellStart"/>
      <w:r w:rsidRPr="00E51DFB">
        <w:rPr>
          <w:rFonts w:ascii="Garamond" w:hAnsi="Garamond"/>
          <w:iCs/>
          <w:sz w:val="20"/>
          <w:szCs w:val="20"/>
        </w:rPr>
        <w:t>eckel’s</w:t>
      </w:r>
      <w:proofErr w:type="spellEnd"/>
      <w:r w:rsidRPr="00E51DFB">
        <w:rPr>
          <w:rFonts w:ascii="Garamond" w:hAnsi="Garamond"/>
          <w:iCs/>
          <w:sz w:val="20"/>
          <w:szCs w:val="20"/>
        </w:rPr>
        <w:t xml:space="preserve"> diverticulum</w:t>
      </w:r>
      <w:r w:rsidRPr="00E51DFB">
        <w:rPr>
          <w:rFonts w:ascii="Garamond" w:hAnsi="Garamond"/>
          <w:iCs/>
          <w:sz w:val="20"/>
          <w:szCs w:val="20"/>
          <w:lang w:val="en-GB"/>
        </w:rPr>
        <w:t>, polyps, adenomas and intestine worms</w:t>
      </w:r>
      <w:r w:rsidRPr="00E51DFB">
        <w:rPr>
          <w:rFonts w:ascii="Garamond" w:hAnsi="Garamond"/>
          <w:iCs/>
          <w:sz w:val="20"/>
          <w:szCs w:val="20"/>
        </w:rPr>
        <w:t xml:space="preserve">. </w:t>
      </w:r>
      <w:r w:rsidRPr="00E51DFB">
        <w:rPr>
          <w:rFonts w:ascii="Garamond" w:hAnsi="Garamond"/>
          <w:iCs/>
          <w:sz w:val="20"/>
          <w:szCs w:val="20"/>
          <w:lang w:val="en-GB"/>
        </w:rPr>
        <w:t xml:space="preserve">The lead points found in some of our cases were </w:t>
      </w:r>
      <w:proofErr w:type="spellStart"/>
      <w:r w:rsidRPr="00E51DFB">
        <w:rPr>
          <w:rFonts w:ascii="Garamond" w:hAnsi="Garamond"/>
          <w:iCs/>
          <w:sz w:val="20"/>
          <w:szCs w:val="20"/>
          <w:lang w:val="en-GB"/>
        </w:rPr>
        <w:t>mickels’s</w:t>
      </w:r>
      <w:proofErr w:type="spellEnd"/>
      <w:r w:rsidRPr="00E51DFB">
        <w:rPr>
          <w:rFonts w:ascii="Garamond" w:hAnsi="Garamond"/>
          <w:iCs/>
          <w:sz w:val="20"/>
          <w:szCs w:val="20"/>
          <w:lang w:val="en-GB"/>
        </w:rPr>
        <w:t xml:space="preserve"> diverticulum and intestinal worms. In the absence of a single aetiological agent, the occurrence of </w:t>
      </w:r>
      <w:r w:rsidRPr="00E51DFB">
        <w:rPr>
          <w:rFonts w:ascii="Garamond" w:hAnsi="Garamond"/>
          <w:iCs/>
          <w:sz w:val="20"/>
          <w:szCs w:val="20"/>
        </w:rPr>
        <w:t>intussusception</w:t>
      </w:r>
      <w:r w:rsidRPr="00E51DFB">
        <w:rPr>
          <w:rFonts w:ascii="Garamond" w:hAnsi="Garamond"/>
          <w:iCs/>
          <w:sz w:val="20"/>
          <w:szCs w:val="20"/>
          <w:lang w:val="en-GB"/>
        </w:rPr>
        <w:t xml:space="preserve"> in children less than 3 years is associated with various risk factors such as upper respiratory tract infections, weaning from breast milk and introduction of protein rich food supplements. </w:t>
      </w:r>
      <w:r w:rsidRPr="00E51DFB">
        <w:rPr>
          <w:rFonts w:ascii="Garamond" w:hAnsi="Garamond"/>
          <w:iCs/>
          <w:sz w:val="20"/>
          <w:szCs w:val="20"/>
          <w:vertAlign w:val="superscript"/>
          <w:lang w:val="en-GB"/>
        </w:rPr>
        <w:t xml:space="preserve">21,22 </w:t>
      </w:r>
      <w:r w:rsidRPr="00E51DFB">
        <w:rPr>
          <w:rFonts w:ascii="Garamond" w:hAnsi="Garamond"/>
          <w:iCs/>
          <w:sz w:val="20"/>
          <w:szCs w:val="20"/>
          <w:lang w:val="en-GB"/>
        </w:rPr>
        <w:t xml:space="preserve">The characteristic presentation of </w:t>
      </w:r>
      <w:r w:rsidRPr="00E51DFB">
        <w:rPr>
          <w:rFonts w:ascii="Garamond" w:hAnsi="Garamond"/>
          <w:iCs/>
          <w:sz w:val="20"/>
          <w:szCs w:val="20"/>
        </w:rPr>
        <w:t>intussusception</w:t>
      </w:r>
      <w:r w:rsidRPr="00E51DFB">
        <w:rPr>
          <w:rFonts w:ascii="Garamond" w:hAnsi="Garamond"/>
          <w:iCs/>
          <w:sz w:val="20"/>
          <w:szCs w:val="20"/>
          <w:lang w:val="en-GB"/>
        </w:rPr>
        <w:t xml:space="preserve"> are pain, projectile </w:t>
      </w:r>
      <w:r w:rsidRPr="00E51DFB">
        <w:rPr>
          <w:rFonts w:ascii="Garamond" w:hAnsi="Garamond"/>
          <w:iCs/>
          <w:sz w:val="20"/>
          <w:szCs w:val="20"/>
        </w:rPr>
        <w:t xml:space="preserve">vomiting and </w:t>
      </w:r>
      <w:r w:rsidRPr="00E51DFB">
        <w:rPr>
          <w:rFonts w:ascii="Garamond" w:hAnsi="Garamond"/>
          <w:iCs/>
          <w:sz w:val="20"/>
          <w:szCs w:val="20"/>
          <w:lang w:val="en-GB"/>
        </w:rPr>
        <w:t>passage of red currant jelly stool</w:t>
      </w:r>
      <w:r w:rsidRPr="00E51DFB">
        <w:rPr>
          <w:rFonts w:ascii="Garamond" w:hAnsi="Garamond"/>
          <w:iCs/>
          <w:sz w:val="20"/>
          <w:szCs w:val="20"/>
        </w:rPr>
        <w:t xml:space="preserve">. </w:t>
      </w:r>
      <w:r w:rsidRPr="00E51DFB">
        <w:rPr>
          <w:rFonts w:ascii="Garamond" w:hAnsi="Garamond"/>
          <w:iCs/>
          <w:sz w:val="20"/>
          <w:szCs w:val="20"/>
          <w:lang w:val="en-GB"/>
        </w:rPr>
        <w:t xml:space="preserve">However, the diagnosis of </w:t>
      </w:r>
      <w:r w:rsidRPr="00E51DFB">
        <w:rPr>
          <w:rFonts w:ascii="Garamond" w:hAnsi="Garamond"/>
          <w:iCs/>
          <w:sz w:val="20"/>
          <w:szCs w:val="20"/>
        </w:rPr>
        <w:t>intussusception</w:t>
      </w:r>
      <w:r w:rsidRPr="00E51DFB">
        <w:rPr>
          <w:rFonts w:ascii="Garamond" w:hAnsi="Garamond"/>
          <w:iCs/>
          <w:sz w:val="20"/>
          <w:szCs w:val="20"/>
          <w:lang w:val="en-GB"/>
        </w:rPr>
        <w:t xml:space="preserve"> may be confused with the presentation of other causes of acute surgical abdominal conditions in children such as acute appendicitis, gastro-enteritis, helminthiasis, intestinal obstruction from malrotation, intestinal atresia and post-operative adhesions.</w:t>
      </w:r>
      <w:r w:rsidRPr="00E51DFB">
        <w:rPr>
          <w:rFonts w:ascii="Garamond" w:hAnsi="Garamond"/>
          <w:iCs/>
          <w:sz w:val="20"/>
          <w:szCs w:val="20"/>
          <w:vertAlign w:val="superscript"/>
          <w:lang w:val="en-GB"/>
        </w:rPr>
        <w:t>23</w:t>
      </w:r>
    </w:p>
    <w:p w14:paraId="7CBCE35D" w14:textId="219B4D85" w:rsidR="00E51DFB" w:rsidRPr="00F53556" w:rsidRDefault="00E51DFB" w:rsidP="00F0607A">
      <w:pPr>
        <w:jc w:val="both"/>
        <w:rPr>
          <w:rFonts w:ascii="Garamond" w:hAnsi="Garamond"/>
          <w:iCs/>
          <w:sz w:val="20"/>
          <w:szCs w:val="20"/>
          <w:vertAlign w:val="superscript"/>
          <w:lang w:val="en-GB"/>
        </w:rPr>
      </w:pPr>
      <w:r w:rsidRPr="00E51DFB">
        <w:rPr>
          <w:rFonts w:ascii="Garamond" w:hAnsi="Garamond"/>
          <w:iCs/>
          <w:sz w:val="20"/>
          <w:szCs w:val="20"/>
        </w:rPr>
        <w:t xml:space="preserve">The diagnosis </w:t>
      </w:r>
      <w:r w:rsidRPr="00E51DFB">
        <w:rPr>
          <w:rFonts w:ascii="Garamond" w:hAnsi="Garamond"/>
          <w:iCs/>
          <w:sz w:val="20"/>
          <w:szCs w:val="20"/>
          <w:lang w:val="en-GB"/>
        </w:rPr>
        <w:t xml:space="preserve">of </w:t>
      </w:r>
      <w:r w:rsidRPr="00E51DFB">
        <w:rPr>
          <w:rFonts w:ascii="Garamond" w:hAnsi="Garamond"/>
          <w:iCs/>
          <w:sz w:val="20"/>
          <w:szCs w:val="20"/>
        </w:rPr>
        <w:t>intussusception</w:t>
      </w:r>
      <w:r w:rsidRPr="00E51DFB">
        <w:rPr>
          <w:rFonts w:ascii="Garamond" w:hAnsi="Garamond"/>
          <w:iCs/>
          <w:sz w:val="20"/>
          <w:szCs w:val="20"/>
          <w:lang w:val="en-GB"/>
        </w:rPr>
        <w:t xml:space="preserve"> </w:t>
      </w:r>
      <w:r w:rsidRPr="00E51DFB">
        <w:rPr>
          <w:rFonts w:ascii="Garamond" w:hAnsi="Garamond"/>
          <w:iCs/>
          <w:sz w:val="20"/>
          <w:szCs w:val="20"/>
        </w:rPr>
        <w:t xml:space="preserve">in our study was based </w:t>
      </w:r>
      <w:r w:rsidRPr="00E51DFB">
        <w:rPr>
          <w:rFonts w:ascii="Garamond" w:hAnsi="Garamond"/>
          <w:iCs/>
          <w:sz w:val="20"/>
          <w:szCs w:val="20"/>
          <w:lang w:val="en-GB"/>
        </w:rPr>
        <w:t xml:space="preserve">mainly on findings from history and physical examinations, though difficult presentations were resolved through the use of radiological investigative modalities such as </w:t>
      </w:r>
      <w:proofErr w:type="spellStart"/>
      <w:r w:rsidRPr="00E51DFB">
        <w:rPr>
          <w:rFonts w:ascii="Garamond" w:hAnsi="Garamond"/>
          <w:iCs/>
          <w:sz w:val="20"/>
          <w:szCs w:val="20"/>
          <w:lang w:val="en-GB"/>
        </w:rPr>
        <w:t>abdomino</w:t>
      </w:r>
      <w:proofErr w:type="spellEnd"/>
      <w:r w:rsidRPr="00E51DFB">
        <w:rPr>
          <w:rFonts w:ascii="Garamond" w:hAnsi="Garamond"/>
          <w:iCs/>
          <w:sz w:val="20"/>
          <w:szCs w:val="20"/>
          <w:lang w:val="en-GB"/>
        </w:rPr>
        <w:t>-pelvic ultrasound, plain-abdominal radiography and computerized tomography scan of the abdomen. This similar to methods adopted by other researchers.</w:t>
      </w:r>
      <w:r w:rsidRPr="00E51DFB">
        <w:rPr>
          <w:rFonts w:ascii="Garamond" w:hAnsi="Garamond"/>
          <w:iCs/>
          <w:sz w:val="20"/>
          <w:szCs w:val="20"/>
          <w:vertAlign w:val="superscript"/>
          <w:lang w:val="en-GB"/>
        </w:rPr>
        <w:t xml:space="preserve">24 </w:t>
      </w:r>
      <w:r w:rsidRPr="00E51DFB">
        <w:rPr>
          <w:rFonts w:ascii="Garamond" w:hAnsi="Garamond"/>
          <w:iCs/>
          <w:sz w:val="20"/>
          <w:szCs w:val="20"/>
          <w:lang w:val="en-GB"/>
        </w:rPr>
        <w:t xml:space="preserve">The cases of </w:t>
      </w:r>
      <w:proofErr w:type="spellStart"/>
      <w:r w:rsidRPr="00E51DFB">
        <w:rPr>
          <w:rFonts w:ascii="Garamond" w:hAnsi="Garamond"/>
          <w:iCs/>
          <w:sz w:val="20"/>
          <w:szCs w:val="20"/>
          <w:lang w:val="en-GB"/>
        </w:rPr>
        <w:t>i</w:t>
      </w:r>
      <w:r w:rsidRPr="00E51DFB">
        <w:rPr>
          <w:rFonts w:ascii="Garamond" w:hAnsi="Garamond"/>
          <w:iCs/>
          <w:sz w:val="20"/>
          <w:szCs w:val="20"/>
        </w:rPr>
        <w:t>ntussusception</w:t>
      </w:r>
      <w:proofErr w:type="spellEnd"/>
      <w:r w:rsidRPr="00E51DFB">
        <w:rPr>
          <w:rFonts w:ascii="Garamond" w:hAnsi="Garamond"/>
          <w:iCs/>
          <w:sz w:val="20"/>
          <w:szCs w:val="20"/>
          <w:lang w:val="en-GB"/>
        </w:rPr>
        <w:t xml:space="preserve"> in our patients who were aged less than 3 years were idiopathic or primary as no pre-disposing lead points </w:t>
      </w:r>
      <w:r w:rsidRPr="00E51DFB">
        <w:rPr>
          <w:rFonts w:ascii="Garamond" w:hAnsi="Garamond"/>
          <w:iCs/>
          <w:sz w:val="20"/>
          <w:szCs w:val="20"/>
          <w:lang w:val="en-GB"/>
        </w:rPr>
        <w:t>were identified intra-operatively. These findings are consistent with the report of other workers.</w:t>
      </w:r>
      <w:r w:rsidRPr="00E51DFB">
        <w:rPr>
          <w:rFonts w:ascii="Garamond" w:hAnsi="Garamond"/>
          <w:iCs/>
          <w:sz w:val="20"/>
          <w:szCs w:val="20"/>
          <w:vertAlign w:val="superscript"/>
          <w:lang w:val="en-GB"/>
        </w:rPr>
        <w:t>25</w:t>
      </w:r>
    </w:p>
    <w:p w14:paraId="360156B9" w14:textId="124C3BB9" w:rsidR="00E51DFB" w:rsidRPr="00F53556" w:rsidRDefault="00E51DFB" w:rsidP="00F0607A">
      <w:pPr>
        <w:jc w:val="both"/>
        <w:rPr>
          <w:rFonts w:ascii="Garamond" w:hAnsi="Garamond"/>
          <w:iCs/>
          <w:sz w:val="20"/>
          <w:szCs w:val="20"/>
          <w:vertAlign w:val="superscript"/>
          <w:lang w:val="en-GB"/>
        </w:rPr>
      </w:pPr>
      <w:r w:rsidRPr="00E51DFB">
        <w:rPr>
          <w:rFonts w:ascii="Garamond" w:hAnsi="Garamond"/>
          <w:iCs/>
          <w:sz w:val="20"/>
          <w:szCs w:val="20"/>
          <w:lang w:val="en-GB"/>
        </w:rPr>
        <w:t xml:space="preserve">The predominant symptoms of </w:t>
      </w:r>
      <w:r w:rsidR="00DA62A5" w:rsidRPr="00E51DFB">
        <w:rPr>
          <w:rFonts w:ascii="Garamond" w:hAnsi="Garamond"/>
          <w:iCs/>
          <w:sz w:val="20"/>
          <w:szCs w:val="20"/>
        </w:rPr>
        <w:t>intussusception</w:t>
      </w:r>
      <w:r w:rsidRPr="00E51DFB">
        <w:rPr>
          <w:rFonts w:ascii="Garamond" w:hAnsi="Garamond"/>
          <w:iCs/>
          <w:sz w:val="20"/>
          <w:szCs w:val="20"/>
          <w:lang w:val="en-GB"/>
        </w:rPr>
        <w:t xml:space="preserve"> in our study </w:t>
      </w:r>
      <w:r w:rsidR="00DA62A5" w:rsidRPr="00E51DFB">
        <w:rPr>
          <w:rFonts w:ascii="Garamond" w:hAnsi="Garamond"/>
          <w:iCs/>
          <w:sz w:val="20"/>
          <w:szCs w:val="20"/>
          <w:lang w:val="en-GB"/>
        </w:rPr>
        <w:t>were</w:t>
      </w:r>
      <w:r w:rsidRPr="00E51DFB">
        <w:rPr>
          <w:rFonts w:ascii="Garamond" w:hAnsi="Garamond"/>
          <w:iCs/>
          <w:sz w:val="20"/>
          <w:szCs w:val="20"/>
          <w:lang w:val="en-GB"/>
        </w:rPr>
        <w:t xml:space="preserve"> abdominal pain and irritability. This was followed by vomiting, abdominal distension and passage of recurrent jelly-stool. Prominent findings on physical examination were dehydration, pallor and fever. These agree with reports of other researchers.</w:t>
      </w:r>
      <w:r w:rsidRPr="00E51DFB">
        <w:rPr>
          <w:rFonts w:ascii="Garamond" w:hAnsi="Garamond"/>
          <w:iCs/>
          <w:sz w:val="20"/>
          <w:szCs w:val="20"/>
          <w:vertAlign w:val="superscript"/>
          <w:lang w:val="en-GB"/>
        </w:rPr>
        <w:t>26</w:t>
      </w:r>
      <w:r w:rsidRPr="00E51DFB">
        <w:rPr>
          <w:rFonts w:ascii="Garamond" w:hAnsi="Garamond"/>
          <w:iCs/>
          <w:sz w:val="20"/>
          <w:szCs w:val="20"/>
          <w:lang w:val="en-GB"/>
        </w:rPr>
        <w:t xml:space="preserve"> The diagnosis of </w:t>
      </w:r>
      <w:proofErr w:type="spellStart"/>
      <w:r w:rsidRPr="00E51DFB">
        <w:rPr>
          <w:rFonts w:ascii="Garamond" w:hAnsi="Garamond"/>
          <w:iCs/>
          <w:sz w:val="20"/>
          <w:szCs w:val="20"/>
          <w:lang w:val="en-GB"/>
        </w:rPr>
        <w:t>i</w:t>
      </w:r>
      <w:r w:rsidRPr="00E51DFB">
        <w:rPr>
          <w:rFonts w:ascii="Garamond" w:hAnsi="Garamond"/>
          <w:iCs/>
          <w:sz w:val="20"/>
          <w:szCs w:val="20"/>
        </w:rPr>
        <w:t>ntussusception</w:t>
      </w:r>
      <w:proofErr w:type="spellEnd"/>
      <w:r w:rsidRPr="00E51DFB">
        <w:rPr>
          <w:rFonts w:ascii="Garamond" w:hAnsi="Garamond"/>
          <w:iCs/>
          <w:sz w:val="20"/>
          <w:szCs w:val="20"/>
          <w:lang w:val="en-GB"/>
        </w:rPr>
        <w:t xml:space="preserve"> was based mostly on the documentations of history obtained from informants, physical examination findings and the results of investigative modalities such as abdominal ultrasonography and plain abdominal x-ray. Five of our cases had abdominal computerized tomography scan to make a definite diagnosis of </w:t>
      </w:r>
      <w:proofErr w:type="spellStart"/>
      <w:r w:rsidRPr="00E51DFB">
        <w:rPr>
          <w:rFonts w:ascii="Garamond" w:hAnsi="Garamond"/>
          <w:iCs/>
          <w:sz w:val="20"/>
          <w:szCs w:val="20"/>
          <w:lang w:val="en-GB"/>
        </w:rPr>
        <w:t>i</w:t>
      </w:r>
      <w:r w:rsidRPr="00E51DFB">
        <w:rPr>
          <w:rFonts w:ascii="Garamond" w:hAnsi="Garamond"/>
          <w:iCs/>
          <w:sz w:val="20"/>
          <w:szCs w:val="20"/>
        </w:rPr>
        <w:t>ntussusception</w:t>
      </w:r>
      <w:proofErr w:type="spellEnd"/>
      <w:r w:rsidRPr="00E51DFB">
        <w:rPr>
          <w:rFonts w:ascii="Garamond" w:hAnsi="Garamond"/>
          <w:iCs/>
          <w:sz w:val="20"/>
          <w:szCs w:val="20"/>
          <w:lang w:val="en-GB"/>
        </w:rPr>
        <w:t xml:space="preserve"> pre-operatively. Other investigations carried out were employed to prepare these patients for operative intervention. These included haematological tests such as packed cell volume, full blood count, blood grouping and cross-matching (where indicated), </w:t>
      </w:r>
      <w:proofErr w:type="spellStart"/>
      <w:r w:rsidRPr="00E51DFB">
        <w:rPr>
          <w:rFonts w:ascii="Garamond" w:hAnsi="Garamond"/>
          <w:iCs/>
          <w:sz w:val="20"/>
          <w:szCs w:val="20"/>
          <w:lang w:val="en-GB"/>
        </w:rPr>
        <w:t>heamolgobin</w:t>
      </w:r>
      <w:proofErr w:type="spellEnd"/>
      <w:r w:rsidRPr="00E51DFB">
        <w:rPr>
          <w:rFonts w:ascii="Garamond" w:hAnsi="Garamond"/>
          <w:iCs/>
          <w:sz w:val="20"/>
          <w:szCs w:val="20"/>
          <w:lang w:val="en-GB"/>
        </w:rPr>
        <w:t xml:space="preserve"> genotype where indicated; chemical pathological tests which included serum electrolyte assay and urinalysis. These investigative modalities employed by our team were similar to investigations carried out by other surgeons who managed cases of </w:t>
      </w:r>
      <w:proofErr w:type="spellStart"/>
      <w:r w:rsidRPr="00E51DFB">
        <w:rPr>
          <w:rFonts w:ascii="Garamond" w:hAnsi="Garamond"/>
          <w:iCs/>
          <w:sz w:val="20"/>
          <w:szCs w:val="20"/>
          <w:lang w:val="en-GB"/>
        </w:rPr>
        <w:t>i</w:t>
      </w:r>
      <w:r w:rsidRPr="00E51DFB">
        <w:rPr>
          <w:rFonts w:ascii="Garamond" w:hAnsi="Garamond"/>
          <w:iCs/>
          <w:sz w:val="20"/>
          <w:szCs w:val="20"/>
        </w:rPr>
        <w:t>ntussusception</w:t>
      </w:r>
      <w:proofErr w:type="spellEnd"/>
      <w:r w:rsidRPr="00E51DFB">
        <w:rPr>
          <w:rFonts w:ascii="Garamond" w:hAnsi="Garamond"/>
          <w:iCs/>
          <w:sz w:val="20"/>
          <w:szCs w:val="20"/>
          <w:lang w:val="en-GB"/>
        </w:rPr>
        <w:t xml:space="preserve">. </w:t>
      </w:r>
      <w:r w:rsidRPr="00E51DFB">
        <w:rPr>
          <w:rFonts w:ascii="Garamond" w:hAnsi="Garamond"/>
          <w:iCs/>
          <w:sz w:val="20"/>
          <w:szCs w:val="20"/>
          <w:vertAlign w:val="superscript"/>
          <w:lang w:val="en-GB"/>
        </w:rPr>
        <w:t>27,28</w:t>
      </w:r>
    </w:p>
    <w:p w14:paraId="6C68C042" w14:textId="77777777" w:rsidR="00E51DFB" w:rsidRPr="00E51DFB" w:rsidRDefault="00E51DFB" w:rsidP="00F0607A">
      <w:pPr>
        <w:jc w:val="both"/>
        <w:rPr>
          <w:rFonts w:ascii="Garamond" w:hAnsi="Garamond"/>
          <w:iCs/>
          <w:sz w:val="20"/>
          <w:szCs w:val="20"/>
          <w:lang w:val="en-GB"/>
        </w:rPr>
      </w:pPr>
      <w:r w:rsidRPr="00E51DFB">
        <w:rPr>
          <w:rFonts w:ascii="Garamond" w:hAnsi="Garamond"/>
          <w:iCs/>
          <w:sz w:val="20"/>
          <w:szCs w:val="20"/>
        </w:rPr>
        <w:t>Intussusception</w:t>
      </w:r>
      <w:r w:rsidRPr="00E51DFB">
        <w:rPr>
          <w:rFonts w:ascii="Garamond" w:hAnsi="Garamond"/>
          <w:iCs/>
          <w:sz w:val="20"/>
          <w:szCs w:val="20"/>
          <w:lang w:val="en-GB"/>
        </w:rPr>
        <w:t xml:space="preserve"> usually results from proximal to distal invagination of an adjacent loop of bowel to another but can also result from distal loop into proximal loop (especially in adults); it may also be seen post-operatively as a result of prolonged paralytic ileus from intra-abdominal sepsis or electrolyte derangements.</w:t>
      </w:r>
      <w:r w:rsidRPr="00E51DFB">
        <w:rPr>
          <w:rFonts w:ascii="Garamond" w:hAnsi="Garamond"/>
          <w:iCs/>
          <w:sz w:val="20"/>
          <w:szCs w:val="20"/>
          <w:vertAlign w:val="superscript"/>
          <w:lang w:val="en-GB"/>
        </w:rPr>
        <w:t>29</w:t>
      </w:r>
      <w:r w:rsidRPr="00E51DFB">
        <w:rPr>
          <w:rFonts w:ascii="Garamond" w:hAnsi="Garamond"/>
          <w:iCs/>
          <w:sz w:val="20"/>
          <w:szCs w:val="20"/>
          <w:lang w:val="en-GB"/>
        </w:rPr>
        <w:t xml:space="preserve"> </w:t>
      </w:r>
      <w:r w:rsidRPr="00E51DFB">
        <w:rPr>
          <w:rFonts w:ascii="Garamond" w:hAnsi="Garamond"/>
          <w:iCs/>
          <w:sz w:val="20"/>
          <w:szCs w:val="20"/>
        </w:rPr>
        <w:t>Intussusception</w:t>
      </w:r>
      <w:r w:rsidRPr="00E51DFB">
        <w:rPr>
          <w:rFonts w:ascii="Garamond" w:hAnsi="Garamond"/>
          <w:iCs/>
          <w:sz w:val="20"/>
          <w:szCs w:val="20"/>
          <w:lang w:val="en-GB"/>
        </w:rPr>
        <w:t xml:space="preserve"> can also be classified according to the site involved in the process; for example ileo-colic, </w:t>
      </w:r>
      <w:proofErr w:type="spellStart"/>
      <w:r w:rsidRPr="00E51DFB">
        <w:rPr>
          <w:rFonts w:ascii="Garamond" w:hAnsi="Garamond"/>
          <w:iCs/>
          <w:sz w:val="20"/>
          <w:szCs w:val="20"/>
          <w:lang w:val="en-GB"/>
        </w:rPr>
        <w:t>jejuno</w:t>
      </w:r>
      <w:proofErr w:type="spellEnd"/>
      <w:r w:rsidRPr="00E51DFB">
        <w:rPr>
          <w:rFonts w:ascii="Garamond" w:hAnsi="Garamond"/>
          <w:iCs/>
          <w:sz w:val="20"/>
          <w:szCs w:val="20"/>
          <w:lang w:val="en-GB"/>
        </w:rPr>
        <w:t xml:space="preserve">-jejunal, </w:t>
      </w:r>
      <w:proofErr w:type="spellStart"/>
      <w:r w:rsidRPr="00E51DFB">
        <w:rPr>
          <w:rFonts w:ascii="Garamond" w:hAnsi="Garamond"/>
          <w:iCs/>
          <w:sz w:val="20"/>
          <w:szCs w:val="20"/>
          <w:lang w:val="en-GB"/>
        </w:rPr>
        <w:t>colo</w:t>
      </w:r>
      <w:proofErr w:type="spellEnd"/>
      <w:r w:rsidRPr="00E51DFB">
        <w:rPr>
          <w:rFonts w:ascii="Garamond" w:hAnsi="Garamond"/>
          <w:iCs/>
          <w:sz w:val="20"/>
          <w:szCs w:val="20"/>
          <w:lang w:val="en-GB"/>
        </w:rPr>
        <w:t>-colic and entero-gastric. I</w:t>
      </w:r>
      <w:proofErr w:type="spellStart"/>
      <w:r w:rsidRPr="00E51DFB">
        <w:rPr>
          <w:rFonts w:ascii="Garamond" w:hAnsi="Garamond"/>
          <w:iCs/>
          <w:sz w:val="20"/>
          <w:szCs w:val="20"/>
        </w:rPr>
        <w:t>leo</w:t>
      </w:r>
      <w:proofErr w:type="spellEnd"/>
      <w:r w:rsidRPr="00E51DFB">
        <w:rPr>
          <w:rFonts w:ascii="Garamond" w:hAnsi="Garamond"/>
          <w:iCs/>
          <w:sz w:val="20"/>
          <w:szCs w:val="20"/>
          <w:lang w:val="en-GB"/>
        </w:rPr>
        <w:t xml:space="preserve">-colic is the commonest type of </w:t>
      </w:r>
      <w:r w:rsidRPr="00E51DFB">
        <w:rPr>
          <w:rFonts w:ascii="Garamond" w:hAnsi="Garamond"/>
          <w:iCs/>
          <w:sz w:val="20"/>
          <w:szCs w:val="20"/>
        </w:rPr>
        <w:t>intussusception</w:t>
      </w:r>
      <w:r w:rsidRPr="00E51DFB">
        <w:rPr>
          <w:rFonts w:ascii="Garamond" w:hAnsi="Garamond"/>
          <w:iCs/>
          <w:sz w:val="20"/>
          <w:szCs w:val="20"/>
          <w:lang w:val="en-GB"/>
        </w:rPr>
        <w:t xml:space="preserve"> seen in children</w:t>
      </w:r>
      <w:r w:rsidRPr="00E51DFB">
        <w:rPr>
          <w:rFonts w:ascii="Garamond" w:hAnsi="Garamond"/>
          <w:iCs/>
          <w:sz w:val="20"/>
          <w:szCs w:val="20"/>
        </w:rPr>
        <w:t>. In our study, ileo-colic intussusception</w:t>
      </w:r>
      <w:r w:rsidRPr="00E51DFB">
        <w:rPr>
          <w:rFonts w:ascii="Garamond" w:hAnsi="Garamond"/>
          <w:iCs/>
          <w:sz w:val="20"/>
          <w:szCs w:val="20"/>
          <w:lang w:val="en-GB"/>
        </w:rPr>
        <w:t xml:space="preserve"> was the commonest type of </w:t>
      </w:r>
      <w:r w:rsidRPr="00E51DFB">
        <w:rPr>
          <w:rFonts w:ascii="Garamond" w:hAnsi="Garamond"/>
          <w:iCs/>
          <w:sz w:val="20"/>
          <w:szCs w:val="20"/>
        </w:rPr>
        <w:t>intussusception</w:t>
      </w:r>
      <w:r w:rsidRPr="00E51DFB">
        <w:rPr>
          <w:rFonts w:ascii="Garamond" w:hAnsi="Garamond"/>
          <w:iCs/>
          <w:sz w:val="20"/>
          <w:szCs w:val="20"/>
          <w:lang w:val="en-GB"/>
        </w:rPr>
        <w:t xml:space="preserve"> seen; this finding is in agreement with the report of other workers.</w:t>
      </w:r>
      <w:r w:rsidRPr="00E51DFB">
        <w:rPr>
          <w:rFonts w:ascii="Garamond" w:hAnsi="Garamond"/>
          <w:iCs/>
          <w:sz w:val="20"/>
          <w:szCs w:val="20"/>
          <w:vertAlign w:val="superscript"/>
          <w:lang w:val="en-GB"/>
        </w:rPr>
        <w:t>30,31</w:t>
      </w:r>
    </w:p>
    <w:p w14:paraId="09A4A801" w14:textId="77777777" w:rsidR="00E51DFB" w:rsidRPr="00E51DFB" w:rsidRDefault="00E51DFB" w:rsidP="00F0607A">
      <w:pPr>
        <w:jc w:val="both"/>
        <w:rPr>
          <w:rFonts w:ascii="Garamond" w:hAnsi="Garamond"/>
          <w:iCs/>
          <w:sz w:val="20"/>
          <w:szCs w:val="20"/>
          <w:vertAlign w:val="superscript"/>
          <w:lang w:val="en-GB"/>
        </w:rPr>
      </w:pPr>
      <w:r w:rsidRPr="00E51DFB">
        <w:rPr>
          <w:rFonts w:ascii="Garamond" w:hAnsi="Garamond"/>
          <w:iCs/>
          <w:sz w:val="20"/>
          <w:szCs w:val="20"/>
          <w:lang w:val="en-GB"/>
        </w:rPr>
        <w:t>The treatment of choice for cases that presented early remained non-operative reduction through hydrostatic or pneumatic techniques; for late presentation resulting to perforation with peritonitis, prolapsed intussusception and failed attempt at non-operative reduction require operative intervention. Operative intervention may be simple manual reduction and incidental appendectomy (because of peri-appendiceal injury); however, in the presence of non-viable intussuscepted segments of bowel, resection and anastomosis would be necessary. This protocol of treatment has been documented by other researchers.</w:t>
      </w:r>
      <w:r w:rsidRPr="00E51DFB">
        <w:rPr>
          <w:rFonts w:ascii="Garamond" w:hAnsi="Garamond"/>
          <w:iCs/>
          <w:sz w:val="20"/>
          <w:szCs w:val="20"/>
          <w:vertAlign w:val="superscript"/>
          <w:lang w:val="en-GB"/>
        </w:rPr>
        <w:t xml:space="preserve">32 </w:t>
      </w:r>
      <w:r w:rsidRPr="00E51DFB">
        <w:rPr>
          <w:rFonts w:ascii="Garamond" w:hAnsi="Garamond"/>
          <w:iCs/>
          <w:sz w:val="20"/>
          <w:szCs w:val="20"/>
          <w:lang w:val="en-GB"/>
        </w:rPr>
        <w:t xml:space="preserve">The prognosis of intussusception was good in patients who presented early while complications and mortalities were observed in late presenters. This agrees with the </w:t>
      </w:r>
      <w:r w:rsidRPr="00E51DFB">
        <w:rPr>
          <w:rFonts w:ascii="Garamond" w:hAnsi="Garamond"/>
          <w:iCs/>
          <w:sz w:val="20"/>
          <w:szCs w:val="20"/>
          <w:lang w:val="en-GB"/>
        </w:rPr>
        <w:lastRenderedPageBreak/>
        <w:t>findings of other researchers.</w:t>
      </w:r>
      <w:r w:rsidRPr="00E51DFB">
        <w:rPr>
          <w:rFonts w:ascii="Garamond" w:hAnsi="Garamond"/>
          <w:iCs/>
          <w:sz w:val="20"/>
          <w:szCs w:val="20"/>
          <w:vertAlign w:val="superscript"/>
          <w:lang w:val="en-GB"/>
        </w:rPr>
        <w:t>33,34</w:t>
      </w:r>
      <w:r w:rsidRPr="00E51DFB">
        <w:rPr>
          <w:rFonts w:ascii="Garamond" w:hAnsi="Garamond"/>
          <w:iCs/>
          <w:sz w:val="20"/>
          <w:szCs w:val="20"/>
          <w:lang w:val="en-GB"/>
        </w:rPr>
        <w:t xml:space="preserve"> Complications observed in our study were surgical site infections, wound dehiscence, incisional hernia, enterocutaneous fistula and burst abdominal wounds. Complications rate and spectrum were similar to the observations of other workers. Thirty-five (7.7%) deaths were recorded, and they resulted mostly from septicaemia and malnutrition. Our findings are similar to the reports of other authors.</w:t>
      </w:r>
      <w:r w:rsidRPr="00E51DFB">
        <w:rPr>
          <w:rFonts w:ascii="Garamond" w:hAnsi="Garamond"/>
          <w:iCs/>
          <w:sz w:val="20"/>
          <w:szCs w:val="20"/>
          <w:vertAlign w:val="superscript"/>
          <w:lang w:val="en-GB"/>
        </w:rPr>
        <w:t>35</w:t>
      </w:r>
    </w:p>
    <w:p w14:paraId="0CCDE3F1" w14:textId="77777777" w:rsidR="00E51DFB" w:rsidRPr="00E51DFB" w:rsidRDefault="00E51DFB" w:rsidP="00F0607A">
      <w:pPr>
        <w:jc w:val="both"/>
        <w:rPr>
          <w:rFonts w:ascii="Garamond" w:hAnsi="Garamond"/>
          <w:iCs/>
          <w:sz w:val="20"/>
          <w:szCs w:val="20"/>
          <w:vertAlign w:val="superscript"/>
        </w:rPr>
      </w:pPr>
      <w:r w:rsidRPr="00E51DFB">
        <w:rPr>
          <w:rFonts w:ascii="Garamond" w:hAnsi="Garamond"/>
          <w:iCs/>
          <w:sz w:val="20"/>
          <w:szCs w:val="20"/>
        </w:rPr>
        <w:t>The only differential diagnosis is transient acute physiological intestinal intussusception. It is similarly characteristic on ultrasound but is short with incessant peristalsis and integrity of the mucosal layers. These functional intussusceptions disappear during the examination or a few hours later.</w:t>
      </w:r>
      <w:r w:rsidRPr="00E51DFB">
        <w:rPr>
          <w:rFonts w:ascii="Garamond" w:hAnsi="Garamond"/>
          <w:iCs/>
          <w:sz w:val="20"/>
          <w:szCs w:val="20"/>
          <w:vertAlign w:val="superscript"/>
        </w:rPr>
        <w:t>36</w:t>
      </w:r>
    </w:p>
    <w:p w14:paraId="0FEECA78" w14:textId="77777777" w:rsidR="00DA62A5" w:rsidRDefault="00DA62A5" w:rsidP="00F0607A">
      <w:pPr>
        <w:jc w:val="both"/>
        <w:rPr>
          <w:rFonts w:ascii="Garamond" w:hAnsi="Garamond"/>
          <w:b/>
          <w:iCs/>
          <w:sz w:val="20"/>
          <w:szCs w:val="20"/>
        </w:rPr>
      </w:pPr>
    </w:p>
    <w:p w14:paraId="51AE4328" w14:textId="01B17554" w:rsidR="00E51DFB" w:rsidRPr="00F53556" w:rsidRDefault="00E51DFB" w:rsidP="00F0607A">
      <w:pPr>
        <w:jc w:val="both"/>
        <w:rPr>
          <w:rFonts w:ascii="Garamond" w:hAnsi="Garamond"/>
          <w:b/>
          <w:iCs/>
          <w:sz w:val="22"/>
          <w:szCs w:val="22"/>
        </w:rPr>
      </w:pPr>
      <w:r w:rsidRPr="00F53556">
        <w:rPr>
          <w:rFonts w:ascii="Garamond" w:hAnsi="Garamond"/>
          <w:b/>
          <w:iCs/>
          <w:sz w:val="22"/>
          <w:szCs w:val="22"/>
        </w:rPr>
        <w:t>CONCLUSION</w:t>
      </w:r>
    </w:p>
    <w:p w14:paraId="25532E9F" w14:textId="77777777" w:rsidR="00E51DFB" w:rsidRPr="00E51DFB" w:rsidRDefault="00E51DFB" w:rsidP="00F0607A">
      <w:pPr>
        <w:jc w:val="both"/>
        <w:rPr>
          <w:rFonts w:ascii="Garamond" w:hAnsi="Garamond"/>
          <w:iCs/>
          <w:sz w:val="20"/>
          <w:szCs w:val="20"/>
        </w:rPr>
      </w:pPr>
      <w:r w:rsidRPr="00E51DFB">
        <w:rPr>
          <w:rFonts w:ascii="Garamond" w:hAnsi="Garamond"/>
          <w:iCs/>
          <w:sz w:val="20"/>
          <w:szCs w:val="20"/>
        </w:rPr>
        <w:t xml:space="preserve">With a prevalence of 55.4%, intussusception was the commonest cause of intestinal obstruction within the age group studied. The treatment option for the cases managed were mostly operative due to late presentations with complications. Non-operative mode of management especially hydrostatic reduction is also being practiced in our center. </w:t>
      </w:r>
    </w:p>
    <w:p w14:paraId="4AA6D47F" w14:textId="77777777" w:rsidR="00E51DFB" w:rsidRPr="00E51DFB" w:rsidRDefault="00E51DFB" w:rsidP="007A1526">
      <w:pPr>
        <w:spacing w:line="259" w:lineRule="auto"/>
        <w:jc w:val="both"/>
        <w:rPr>
          <w:rFonts w:ascii="Garamond" w:hAnsi="Garamond"/>
          <w:b/>
          <w:bCs/>
          <w:iCs/>
          <w:sz w:val="20"/>
          <w:szCs w:val="20"/>
        </w:rPr>
      </w:pPr>
    </w:p>
    <w:p w14:paraId="1D89FB51" w14:textId="6649EB08" w:rsidR="007A1526" w:rsidRPr="00F53556" w:rsidRDefault="007A1526" w:rsidP="007A1526">
      <w:pPr>
        <w:spacing w:line="259" w:lineRule="auto"/>
        <w:jc w:val="both"/>
        <w:rPr>
          <w:rFonts w:ascii="Garamond" w:hAnsi="Garamond"/>
          <w:iCs/>
          <w:sz w:val="20"/>
          <w:szCs w:val="20"/>
        </w:rPr>
      </w:pPr>
      <w:r w:rsidRPr="00F53556">
        <w:rPr>
          <w:rFonts w:ascii="Garamond" w:hAnsi="Garamond"/>
          <w:b/>
          <w:bCs/>
          <w:i/>
          <w:sz w:val="20"/>
          <w:szCs w:val="20"/>
        </w:rPr>
        <w:t>Conflict of Interest Declaration:</w:t>
      </w:r>
      <w:r w:rsidR="00DA62A5" w:rsidRPr="00F53556">
        <w:rPr>
          <w:rFonts w:ascii="Garamond" w:hAnsi="Garamond"/>
          <w:b/>
          <w:bCs/>
          <w:iCs/>
          <w:sz w:val="20"/>
          <w:szCs w:val="20"/>
        </w:rPr>
        <w:t xml:space="preserve"> </w:t>
      </w:r>
      <w:r w:rsidR="00F53556" w:rsidRPr="00F53556">
        <w:rPr>
          <w:rFonts w:ascii="Garamond" w:hAnsi="Garamond"/>
          <w:iCs/>
          <w:sz w:val="20"/>
          <w:szCs w:val="20"/>
        </w:rPr>
        <w:t xml:space="preserve">Nil </w:t>
      </w:r>
    </w:p>
    <w:p w14:paraId="77EB831C" w14:textId="12028AFB" w:rsidR="00E51DFB" w:rsidRPr="00DA62A5" w:rsidRDefault="007A1526" w:rsidP="00E51DFB">
      <w:pPr>
        <w:spacing w:line="259" w:lineRule="auto"/>
        <w:jc w:val="both"/>
        <w:rPr>
          <w:rFonts w:ascii="Garamond" w:hAnsi="Garamond"/>
          <w:b/>
          <w:bCs/>
          <w:iCs/>
          <w:sz w:val="20"/>
          <w:szCs w:val="20"/>
        </w:rPr>
      </w:pPr>
      <w:r w:rsidRPr="00F53556">
        <w:rPr>
          <w:rFonts w:ascii="Garamond" w:hAnsi="Garamond"/>
          <w:b/>
          <w:bCs/>
          <w:i/>
          <w:sz w:val="20"/>
          <w:szCs w:val="20"/>
        </w:rPr>
        <w:t>Acknowledgement:</w:t>
      </w:r>
      <w:r w:rsidR="00DA62A5">
        <w:rPr>
          <w:rFonts w:ascii="Garamond" w:hAnsi="Garamond"/>
          <w:b/>
          <w:bCs/>
          <w:iCs/>
          <w:sz w:val="20"/>
          <w:szCs w:val="20"/>
        </w:rPr>
        <w:t xml:space="preserve"> </w:t>
      </w:r>
      <w:r w:rsidR="00DA62A5">
        <w:rPr>
          <w:rFonts w:ascii="Garamond" w:hAnsi="Garamond"/>
          <w:iCs/>
          <w:sz w:val="20"/>
          <w:szCs w:val="20"/>
        </w:rPr>
        <w:t xml:space="preserve">Authors </w:t>
      </w:r>
      <w:r w:rsidR="00E51DFB" w:rsidRPr="00E51DFB">
        <w:rPr>
          <w:rFonts w:ascii="Garamond" w:hAnsi="Garamond"/>
          <w:iCs/>
          <w:sz w:val="20"/>
          <w:szCs w:val="20"/>
        </w:rPr>
        <w:t xml:space="preserve">wish to acknowledge the contributions of Dr. </w:t>
      </w:r>
      <w:proofErr w:type="spellStart"/>
      <w:r w:rsidR="00E51DFB" w:rsidRPr="00E51DFB">
        <w:rPr>
          <w:rFonts w:ascii="Garamond" w:hAnsi="Garamond"/>
          <w:iCs/>
          <w:sz w:val="20"/>
          <w:szCs w:val="20"/>
        </w:rPr>
        <w:t>Igbagbo</w:t>
      </w:r>
      <w:proofErr w:type="spellEnd"/>
      <w:r w:rsidR="00E51DFB" w:rsidRPr="00E51DFB">
        <w:rPr>
          <w:rFonts w:ascii="Garamond" w:hAnsi="Garamond"/>
          <w:iCs/>
          <w:sz w:val="20"/>
          <w:szCs w:val="20"/>
        </w:rPr>
        <w:t xml:space="preserve"> </w:t>
      </w:r>
      <w:proofErr w:type="spellStart"/>
      <w:r w:rsidR="00E51DFB" w:rsidRPr="00E51DFB">
        <w:rPr>
          <w:rFonts w:ascii="Garamond" w:hAnsi="Garamond"/>
          <w:iCs/>
          <w:sz w:val="20"/>
          <w:szCs w:val="20"/>
        </w:rPr>
        <w:t>Babajimi</w:t>
      </w:r>
      <w:proofErr w:type="spellEnd"/>
      <w:r w:rsidR="00E51DFB" w:rsidRPr="00E51DFB">
        <w:rPr>
          <w:rFonts w:ascii="Garamond" w:hAnsi="Garamond"/>
          <w:iCs/>
          <w:sz w:val="20"/>
          <w:szCs w:val="20"/>
        </w:rPr>
        <w:t xml:space="preserve"> and Dr. </w:t>
      </w:r>
      <w:proofErr w:type="spellStart"/>
      <w:r w:rsidR="00E51DFB" w:rsidRPr="00E51DFB">
        <w:rPr>
          <w:rFonts w:ascii="Garamond" w:hAnsi="Garamond"/>
          <w:iCs/>
          <w:sz w:val="20"/>
          <w:szCs w:val="20"/>
        </w:rPr>
        <w:t>Ayegbusi</w:t>
      </w:r>
      <w:proofErr w:type="spellEnd"/>
      <w:r w:rsidR="00E51DFB" w:rsidRPr="00E51DFB">
        <w:rPr>
          <w:rFonts w:ascii="Garamond" w:hAnsi="Garamond"/>
          <w:iCs/>
          <w:sz w:val="20"/>
          <w:szCs w:val="20"/>
        </w:rPr>
        <w:t xml:space="preserve"> Dr. </w:t>
      </w:r>
      <w:proofErr w:type="spellStart"/>
      <w:r w:rsidR="00E51DFB" w:rsidRPr="00E51DFB">
        <w:rPr>
          <w:rFonts w:ascii="Garamond" w:hAnsi="Garamond"/>
          <w:iCs/>
          <w:sz w:val="20"/>
          <w:szCs w:val="20"/>
        </w:rPr>
        <w:t>Kalesanwo</w:t>
      </w:r>
      <w:proofErr w:type="spellEnd"/>
      <w:r w:rsidR="00E51DFB" w:rsidRPr="00E51DFB">
        <w:rPr>
          <w:rFonts w:ascii="Garamond" w:hAnsi="Garamond"/>
          <w:iCs/>
          <w:sz w:val="20"/>
          <w:szCs w:val="20"/>
        </w:rPr>
        <w:t xml:space="preserve"> Emmanuel Ayodeji and Mr. Obafemi Abiodun for offering typing and editing services.</w:t>
      </w:r>
    </w:p>
    <w:p w14:paraId="246E4118" w14:textId="77777777" w:rsidR="00E51DFB" w:rsidRDefault="00E51DFB" w:rsidP="007A1526">
      <w:pPr>
        <w:spacing w:line="259" w:lineRule="auto"/>
        <w:jc w:val="both"/>
        <w:rPr>
          <w:rFonts w:ascii="Garamond" w:hAnsi="Garamond"/>
          <w:b/>
          <w:bCs/>
          <w:iCs/>
          <w:sz w:val="20"/>
          <w:szCs w:val="20"/>
        </w:rPr>
      </w:pPr>
    </w:p>
    <w:p w14:paraId="0A7A2AF1" w14:textId="4114FC33" w:rsidR="00E51DFB" w:rsidRPr="00E51DFB" w:rsidRDefault="00F53556" w:rsidP="00B04638">
      <w:pPr>
        <w:jc w:val="both"/>
        <w:rPr>
          <w:rFonts w:ascii="Garamond" w:hAnsi="Garamond"/>
          <w:b/>
          <w:bCs/>
          <w:iCs/>
          <w:sz w:val="22"/>
          <w:szCs w:val="22"/>
        </w:rPr>
      </w:pPr>
      <w:r w:rsidRPr="00E51DFB">
        <w:rPr>
          <w:rFonts w:ascii="Garamond" w:hAnsi="Garamond"/>
          <w:b/>
          <w:bCs/>
          <w:iCs/>
          <w:sz w:val="22"/>
          <w:szCs w:val="22"/>
        </w:rPr>
        <w:t>REFERENCES</w:t>
      </w:r>
    </w:p>
    <w:p w14:paraId="0BCE09E4"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Khitam Muhsen, </w:t>
      </w:r>
      <w:proofErr w:type="spellStart"/>
      <w:r w:rsidRPr="00F53556">
        <w:rPr>
          <w:rFonts w:ascii="Garamond" w:hAnsi="Garamond"/>
          <w:sz w:val="20"/>
          <w:szCs w:val="20"/>
        </w:rPr>
        <w:t>Eias</w:t>
      </w:r>
      <w:proofErr w:type="spellEnd"/>
      <w:r w:rsidRPr="00F53556">
        <w:rPr>
          <w:rFonts w:ascii="Garamond" w:hAnsi="Garamond"/>
          <w:sz w:val="20"/>
          <w:szCs w:val="20"/>
        </w:rPr>
        <w:t xml:space="preserve"> Kazeem, Sigalit Efraim, Sophy Goren, Dani Cohen and Moshe Ephros. Incidence and risk factors for intussusception among children in northern Israel from 1992 to 2009: a retrospective study. BMC Pediatrics. 2014; 14:218.</w:t>
      </w:r>
    </w:p>
    <w:p w14:paraId="7A5E14FD" w14:textId="77777777" w:rsidR="00E51DFB" w:rsidRPr="00F53556" w:rsidRDefault="00E51DFB" w:rsidP="00F53556">
      <w:pPr>
        <w:numPr>
          <w:ilvl w:val="0"/>
          <w:numId w:val="26"/>
        </w:numPr>
        <w:ind w:left="357" w:hanging="357"/>
        <w:rPr>
          <w:rFonts w:ascii="Garamond" w:hAnsi="Garamond"/>
          <w:sz w:val="20"/>
          <w:szCs w:val="20"/>
        </w:rPr>
      </w:pPr>
      <w:proofErr w:type="spellStart"/>
      <w:r w:rsidRPr="00F53556">
        <w:rPr>
          <w:rFonts w:ascii="Garamond" w:hAnsi="Garamond"/>
          <w:sz w:val="20"/>
          <w:szCs w:val="20"/>
        </w:rPr>
        <w:t>DiFore</w:t>
      </w:r>
      <w:proofErr w:type="spellEnd"/>
      <w:r w:rsidRPr="00F53556">
        <w:rPr>
          <w:rFonts w:ascii="Garamond" w:hAnsi="Garamond"/>
          <w:sz w:val="20"/>
          <w:szCs w:val="20"/>
        </w:rPr>
        <w:t xml:space="preserve"> JW. Intussusception. Semin </w:t>
      </w:r>
      <w:proofErr w:type="spellStart"/>
      <w:r w:rsidRPr="00F53556">
        <w:rPr>
          <w:rFonts w:ascii="Garamond" w:hAnsi="Garamond"/>
          <w:sz w:val="20"/>
          <w:szCs w:val="20"/>
        </w:rPr>
        <w:t>Pediatr</w:t>
      </w:r>
      <w:proofErr w:type="spellEnd"/>
      <w:r w:rsidRPr="00F53556">
        <w:rPr>
          <w:rFonts w:ascii="Garamond" w:hAnsi="Garamond"/>
          <w:sz w:val="20"/>
          <w:szCs w:val="20"/>
        </w:rPr>
        <w:t xml:space="preserve"> Surg. 1999; 8:214-20.</w:t>
      </w:r>
    </w:p>
    <w:p w14:paraId="065831B6" w14:textId="6F05255D"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Syed MS, Negar A, Catherine Y, Paul AG, </w:t>
      </w:r>
      <w:proofErr w:type="spellStart"/>
      <w:r w:rsidRPr="00F53556">
        <w:rPr>
          <w:rFonts w:ascii="Garamond" w:hAnsi="Garamond"/>
          <w:sz w:val="20"/>
          <w:szCs w:val="20"/>
        </w:rPr>
        <w:t>Makhdum</w:t>
      </w:r>
      <w:proofErr w:type="spellEnd"/>
      <w:r w:rsidRPr="00F53556">
        <w:rPr>
          <w:rFonts w:ascii="Garamond" w:hAnsi="Garamond"/>
          <w:sz w:val="20"/>
          <w:szCs w:val="20"/>
        </w:rPr>
        <w:t xml:space="preserve"> A, et al. epidemiology of childhood intussusception in Bangladesh: Findings from an active national </w:t>
      </w:r>
      <w:r w:rsidR="00DA62A5" w:rsidRPr="00F53556">
        <w:rPr>
          <w:rFonts w:ascii="Garamond" w:hAnsi="Garamond"/>
          <w:sz w:val="20"/>
          <w:szCs w:val="20"/>
        </w:rPr>
        <w:t>hospital-based</w:t>
      </w:r>
      <w:r w:rsidRPr="00F53556">
        <w:rPr>
          <w:rFonts w:ascii="Garamond" w:hAnsi="Garamond"/>
          <w:sz w:val="20"/>
          <w:szCs w:val="20"/>
        </w:rPr>
        <w:t xml:space="preserve"> surveillance system, 2012-2016. Vaccine. 2018; 14:7805-7810. </w:t>
      </w:r>
    </w:p>
    <w:p w14:paraId="0077DA14"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Bines JE, Liem NT, Justice FA, Son TN, Kirkwood CD, de Campo M, et al. Risk factors for intussusception in infants in Vietnam and Australia: adenovirus implicated, but not rotavirus. J Pediatr 2006; 149:452–60</w:t>
      </w:r>
    </w:p>
    <w:p w14:paraId="10F5E545"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Burke M: Acute intestinal obstruction: diagnosis and management. Hosp Med. 2002; 63:104-107. </w:t>
      </w:r>
    </w:p>
    <w:p w14:paraId="44693DCB"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Lehnert T, Sorge I, Till H, Rolle U: Intussusception in children-clinical presentation, </w:t>
      </w:r>
      <w:r w:rsidRPr="00F53556">
        <w:rPr>
          <w:rFonts w:ascii="Garamond" w:hAnsi="Garamond"/>
          <w:sz w:val="20"/>
          <w:szCs w:val="20"/>
        </w:rPr>
        <w:t xml:space="preserve">diagnosis and management. Int J Colorectal Dis. 2009; 24:1187-1192. </w:t>
      </w:r>
    </w:p>
    <w:p w14:paraId="14745CCB" w14:textId="77777777" w:rsidR="00E51DFB" w:rsidRPr="00F53556" w:rsidRDefault="00E51DFB" w:rsidP="00F53556">
      <w:pPr>
        <w:numPr>
          <w:ilvl w:val="0"/>
          <w:numId w:val="26"/>
        </w:numPr>
        <w:ind w:left="357" w:hanging="357"/>
        <w:rPr>
          <w:rFonts w:ascii="Garamond" w:hAnsi="Garamond"/>
          <w:sz w:val="20"/>
          <w:szCs w:val="20"/>
        </w:rPr>
      </w:pPr>
      <w:proofErr w:type="spellStart"/>
      <w:r w:rsidRPr="00F53556">
        <w:rPr>
          <w:rFonts w:ascii="Garamond" w:hAnsi="Garamond"/>
          <w:sz w:val="20"/>
          <w:szCs w:val="20"/>
        </w:rPr>
        <w:t>Taourel</w:t>
      </w:r>
      <w:proofErr w:type="spellEnd"/>
      <w:r w:rsidRPr="00F53556">
        <w:rPr>
          <w:rFonts w:ascii="Garamond" w:hAnsi="Garamond"/>
          <w:sz w:val="20"/>
          <w:szCs w:val="20"/>
        </w:rPr>
        <w:t xml:space="preserve"> P, Kessler N, Lesnik A, </w:t>
      </w:r>
      <w:proofErr w:type="spellStart"/>
      <w:r w:rsidRPr="00F53556">
        <w:rPr>
          <w:rFonts w:ascii="Garamond" w:hAnsi="Garamond"/>
          <w:sz w:val="20"/>
          <w:szCs w:val="20"/>
        </w:rPr>
        <w:t>Blayac</w:t>
      </w:r>
      <w:proofErr w:type="spellEnd"/>
      <w:r w:rsidRPr="00F53556">
        <w:rPr>
          <w:rFonts w:ascii="Garamond" w:hAnsi="Garamond"/>
          <w:sz w:val="20"/>
          <w:szCs w:val="20"/>
        </w:rPr>
        <w:t xml:space="preserve"> P, Morcos L, Bruel J: Non-traumatic abdominal emergencies: imaging of acute intestinal obstruction. </w:t>
      </w:r>
      <w:proofErr w:type="spellStart"/>
      <w:r w:rsidRPr="00F53556">
        <w:rPr>
          <w:rFonts w:ascii="Garamond" w:hAnsi="Garamond"/>
          <w:sz w:val="20"/>
          <w:szCs w:val="20"/>
        </w:rPr>
        <w:t>Eur</w:t>
      </w:r>
      <w:proofErr w:type="spellEnd"/>
      <w:r w:rsidRPr="00F53556">
        <w:rPr>
          <w:rFonts w:ascii="Garamond" w:hAnsi="Garamond"/>
          <w:sz w:val="20"/>
          <w:szCs w:val="20"/>
        </w:rPr>
        <w:t xml:space="preserve"> </w:t>
      </w:r>
      <w:proofErr w:type="spellStart"/>
      <w:r w:rsidRPr="00F53556">
        <w:rPr>
          <w:rFonts w:ascii="Garamond" w:hAnsi="Garamond"/>
          <w:sz w:val="20"/>
          <w:szCs w:val="20"/>
        </w:rPr>
        <w:t>Radiol</w:t>
      </w:r>
      <w:proofErr w:type="spellEnd"/>
      <w:r w:rsidRPr="00F53556">
        <w:rPr>
          <w:rFonts w:ascii="Garamond" w:hAnsi="Garamond"/>
          <w:sz w:val="20"/>
          <w:szCs w:val="20"/>
        </w:rPr>
        <w:t xml:space="preserve">. 2002; 12:2151-2160. </w:t>
      </w:r>
    </w:p>
    <w:p w14:paraId="4F1890D7" w14:textId="77777777" w:rsidR="00E51DFB" w:rsidRPr="00F53556" w:rsidRDefault="00E51DFB" w:rsidP="00F53556">
      <w:pPr>
        <w:numPr>
          <w:ilvl w:val="0"/>
          <w:numId w:val="26"/>
        </w:numPr>
        <w:ind w:left="357" w:hanging="357"/>
        <w:rPr>
          <w:rFonts w:ascii="Garamond" w:hAnsi="Garamond"/>
          <w:sz w:val="20"/>
          <w:szCs w:val="20"/>
        </w:rPr>
      </w:pPr>
      <w:proofErr w:type="spellStart"/>
      <w:r w:rsidRPr="00F53556">
        <w:rPr>
          <w:rFonts w:ascii="Garamond" w:hAnsi="Garamond"/>
          <w:sz w:val="20"/>
          <w:szCs w:val="20"/>
        </w:rPr>
        <w:t>Azagury</w:t>
      </w:r>
      <w:proofErr w:type="spellEnd"/>
      <w:r w:rsidRPr="00F53556">
        <w:rPr>
          <w:rFonts w:ascii="Garamond" w:hAnsi="Garamond"/>
          <w:sz w:val="20"/>
          <w:szCs w:val="20"/>
        </w:rPr>
        <w:t xml:space="preserve"> D, Liu RC, Morgan A, Spain DA: Small bowel obstruction: a practical step-by-step evidence-based approach to evaluation, decision making, and management. J Trauma Acute Care Surg. 2015; 79:661-668. </w:t>
      </w:r>
    </w:p>
    <w:p w14:paraId="7C7971AD"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Loukas M, Pellerin M, Kimball Z, de la Garza</w:t>
      </w:r>
      <w:r w:rsidRPr="00F53556">
        <w:rPr>
          <w:rFonts w:ascii="Cambria Math" w:hAnsi="Cambria Math" w:cs="Cambria Math"/>
          <w:sz w:val="20"/>
          <w:szCs w:val="20"/>
        </w:rPr>
        <w:t>‐</w:t>
      </w:r>
      <w:r w:rsidRPr="00F53556">
        <w:rPr>
          <w:rFonts w:ascii="Garamond" w:hAnsi="Garamond"/>
          <w:sz w:val="20"/>
          <w:szCs w:val="20"/>
        </w:rPr>
        <w:t xml:space="preserve">Jordan J, Tubbs RS, Jordan R: Intussusception: an anatomical perspective with review of the literature. Clin Anat. 2011; 24:552-561. </w:t>
      </w:r>
    </w:p>
    <w:p w14:paraId="5A0AF76D" w14:textId="77777777" w:rsidR="00E51DFB" w:rsidRPr="00F53556" w:rsidRDefault="00E51DFB" w:rsidP="00F53556">
      <w:pPr>
        <w:numPr>
          <w:ilvl w:val="0"/>
          <w:numId w:val="26"/>
        </w:numPr>
        <w:ind w:left="357" w:hanging="357"/>
        <w:rPr>
          <w:rFonts w:ascii="Garamond" w:hAnsi="Garamond"/>
          <w:sz w:val="20"/>
          <w:szCs w:val="20"/>
        </w:rPr>
      </w:pPr>
      <w:proofErr w:type="spellStart"/>
      <w:r w:rsidRPr="00F53556">
        <w:rPr>
          <w:rFonts w:ascii="Garamond" w:hAnsi="Garamond"/>
          <w:sz w:val="20"/>
          <w:szCs w:val="20"/>
        </w:rPr>
        <w:t>Schollin</w:t>
      </w:r>
      <w:proofErr w:type="spellEnd"/>
      <w:r w:rsidRPr="00F53556">
        <w:rPr>
          <w:rFonts w:ascii="Garamond" w:hAnsi="Garamond"/>
          <w:sz w:val="20"/>
          <w:szCs w:val="20"/>
        </w:rPr>
        <w:t xml:space="preserve"> Ask L, Svensson JF, Olen O, </w:t>
      </w:r>
      <w:proofErr w:type="spellStart"/>
      <w:r w:rsidRPr="00F53556">
        <w:rPr>
          <w:rFonts w:ascii="Garamond" w:hAnsi="Garamond"/>
          <w:sz w:val="20"/>
          <w:szCs w:val="20"/>
        </w:rPr>
        <w:t>Ortqvist</w:t>
      </w:r>
      <w:proofErr w:type="spellEnd"/>
      <w:r w:rsidRPr="00F53556">
        <w:rPr>
          <w:rFonts w:ascii="Garamond" w:hAnsi="Garamond"/>
          <w:sz w:val="20"/>
          <w:szCs w:val="20"/>
        </w:rPr>
        <w:t xml:space="preserve"> A: Clinical presentation of intussusception in Swedish children under 3 years of age and the validity of diagnostic coding. </w:t>
      </w:r>
      <w:proofErr w:type="spellStart"/>
      <w:r w:rsidRPr="00F53556">
        <w:rPr>
          <w:rFonts w:ascii="Garamond" w:hAnsi="Garamond"/>
          <w:sz w:val="20"/>
          <w:szCs w:val="20"/>
        </w:rPr>
        <w:t>Pediatr</w:t>
      </w:r>
      <w:proofErr w:type="spellEnd"/>
      <w:r w:rsidRPr="00F53556">
        <w:rPr>
          <w:rFonts w:ascii="Garamond" w:hAnsi="Garamond"/>
          <w:sz w:val="20"/>
          <w:szCs w:val="20"/>
        </w:rPr>
        <w:t xml:space="preserve"> Surg Int. 2019; 35:373-381. </w:t>
      </w:r>
    </w:p>
    <w:p w14:paraId="71C2FAEB" w14:textId="77777777" w:rsidR="00E51DFB" w:rsidRPr="00F53556" w:rsidRDefault="00E51DFB" w:rsidP="00F53556">
      <w:pPr>
        <w:numPr>
          <w:ilvl w:val="0"/>
          <w:numId w:val="26"/>
        </w:numPr>
        <w:ind w:left="357" w:hanging="357"/>
        <w:rPr>
          <w:rFonts w:ascii="Garamond" w:hAnsi="Garamond"/>
          <w:sz w:val="20"/>
          <w:szCs w:val="20"/>
        </w:rPr>
      </w:pPr>
      <w:proofErr w:type="spellStart"/>
      <w:r w:rsidRPr="00F53556">
        <w:rPr>
          <w:rFonts w:ascii="Garamond" w:hAnsi="Garamond"/>
          <w:sz w:val="20"/>
          <w:szCs w:val="20"/>
        </w:rPr>
        <w:t>Kornecki</w:t>
      </w:r>
      <w:proofErr w:type="spellEnd"/>
      <w:r w:rsidRPr="00F53556">
        <w:rPr>
          <w:rFonts w:ascii="Garamond" w:hAnsi="Garamond"/>
          <w:sz w:val="20"/>
          <w:szCs w:val="20"/>
        </w:rPr>
        <w:t xml:space="preserve"> A, Daneman A, Navarro O, Manson D, Alton DJ: Spontaneous reduction of intussusception: clinical spectrum, management and outcome. </w:t>
      </w:r>
      <w:proofErr w:type="spellStart"/>
      <w:r w:rsidRPr="00F53556">
        <w:rPr>
          <w:rFonts w:ascii="Garamond" w:hAnsi="Garamond"/>
          <w:sz w:val="20"/>
          <w:szCs w:val="20"/>
        </w:rPr>
        <w:t>Pediatr</w:t>
      </w:r>
      <w:proofErr w:type="spellEnd"/>
      <w:r w:rsidRPr="00F53556">
        <w:rPr>
          <w:rFonts w:ascii="Garamond" w:hAnsi="Garamond"/>
          <w:sz w:val="20"/>
          <w:szCs w:val="20"/>
        </w:rPr>
        <w:t xml:space="preserve"> Radiol. 2000; 30:58-63. </w:t>
      </w:r>
    </w:p>
    <w:p w14:paraId="6020FFE8"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Munden MM, Bruzzi JF, Coley BD, Munden RF: Sonography of pediatric small-bowel intussusception: differentiating surgical from nonsurgical cases. AJR Am J Roentgenol. 2007; 188:275-279.</w:t>
      </w:r>
    </w:p>
    <w:p w14:paraId="6D064EE8"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Bines JE, Kohl KS, Forster J, et al.: Acute intussusception in infants and children as an adverse event following immunization: case definition and guidelines of data collection, analysis, and presentation. Vaccine. 2004; 22:569-574.  </w:t>
      </w:r>
    </w:p>
    <w:p w14:paraId="260DFC24" w14:textId="77777777" w:rsidR="00E51DFB" w:rsidRPr="00F53556" w:rsidRDefault="00E51DFB" w:rsidP="00F53556">
      <w:pPr>
        <w:numPr>
          <w:ilvl w:val="0"/>
          <w:numId w:val="26"/>
        </w:numPr>
        <w:ind w:left="357" w:hanging="357"/>
        <w:rPr>
          <w:rFonts w:ascii="Garamond" w:hAnsi="Garamond"/>
          <w:sz w:val="20"/>
          <w:szCs w:val="20"/>
        </w:rPr>
      </w:pPr>
      <w:proofErr w:type="spellStart"/>
      <w:r w:rsidRPr="00F53556">
        <w:rPr>
          <w:rFonts w:ascii="Garamond" w:hAnsi="Garamond"/>
          <w:sz w:val="20"/>
          <w:szCs w:val="20"/>
        </w:rPr>
        <w:t>Pujahari</w:t>
      </w:r>
      <w:proofErr w:type="spellEnd"/>
      <w:r w:rsidRPr="00F53556">
        <w:rPr>
          <w:rFonts w:ascii="Garamond" w:hAnsi="Garamond"/>
          <w:sz w:val="20"/>
          <w:szCs w:val="20"/>
        </w:rPr>
        <w:t xml:space="preserve"> AK: Decision making in bowel obstruction: a review. J Clin </w:t>
      </w:r>
      <w:proofErr w:type="spellStart"/>
      <w:r w:rsidRPr="00F53556">
        <w:rPr>
          <w:rFonts w:ascii="Garamond" w:hAnsi="Garamond"/>
          <w:sz w:val="20"/>
          <w:szCs w:val="20"/>
        </w:rPr>
        <w:t>Diagn</w:t>
      </w:r>
      <w:proofErr w:type="spellEnd"/>
      <w:r w:rsidRPr="00F53556">
        <w:rPr>
          <w:rFonts w:ascii="Garamond" w:hAnsi="Garamond"/>
          <w:sz w:val="20"/>
          <w:szCs w:val="20"/>
        </w:rPr>
        <w:t xml:space="preserve"> Res. 2016; 10:07-12. </w:t>
      </w:r>
    </w:p>
    <w:p w14:paraId="018EAD40"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Talabi AO, </w:t>
      </w:r>
      <w:proofErr w:type="spellStart"/>
      <w:r w:rsidRPr="00F53556">
        <w:rPr>
          <w:rFonts w:ascii="Garamond" w:hAnsi="Garamond"/>
          <w:sz w:val="20"/>
          <w:szCs w:val="20"/>
        </w:rPr>
        <w:t>Famurewa</w:t>
      </w:r>
      <w:proofErr w:type="spellEnd"/>
      <w:r w:rsidRPr="00F53556">
        <w:rPr>
          <w:rFonts w:ascii="Garamond" w:hAnsi="Garamond"/>
          <w:sz w:val="20"/>
          <w:szCs w:val="20"/>
        </w:rPr>
        <w:t xml:space="preserve"> OC, </w:t>
      </w:r>
      <w:proofErr w:type="spellStart"/>
      <w:r w:rsidRPr="00F53556">
        <w:rPr>
          <w:rFonts w:ascii="Garamond" w:hAnsi="Garamond"/>
          <w:sz w:val="20"/>
          <w:szCs w:val="20"/>
        </w:rPr>
        <w:t>Bamigbola</w:t>
      </w:r>
      <w:proofErr w:type="spellEnd"/>
      <w:r w:rsidRPr="00F53556">
        <w:rPr>
          <w:rFonts w:ascii="Garamond" w:hAnsi="Garamond"/>
          <w:sz w:val="20"/>
          <w:szCs w:val="20"/>
        </w:rPr>
        <w:t xml:space="preserve"> KT, Sowande OA, Afolabi BI, </w:t>
      </w:r>
      <w:proofErr w:type="spellStart"/>
      <w:r w:rsidRPr="00F53556">
        <w:rPr>
          <w:rFonts w:ascii="Garamond" w:hAnsi="Garamond"/>
          <w:sz w:val="20"/>
          <w:szCs w:val="20"/>
        </w:rPr>
        <w:t>Adejuyigbe</w:t>
      </w:r>
      <w:proofErr w:type="spellEnd"/>
      <w:r w:rsidRPr="00F53556">
        <w:rPr>
          <w:rFonts w:ascii="Garamond" w:hAnsi="Garamond"/>
          <w:sz w:val="20"/>
          <w:szCs w:val="20"/>
        </w:rPr>
        <w:t xml:space="preserve"> O: Sonographic guided hydrostatic saline enema reduction of childhood intussusception: a prospective study. BMC Emerg Med. 2018; 18:46. </w:t>
      </w:r>
    </w:p>
    <w:p w14:paraId="59991E41"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Flaum V, Schneider A, Gomes Ferreira C, et al.: Twenty years' experience for reduction of ileocolic intussusceptions by saline enema under sonography control. J Pediatr Surg. 2016; 51:179-182. </w:t>
      </w:r>
    </w:p>
    <w:p w14:paraId="622A91AF"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Ito Y, </w:t>
      </w:r>
      <w:proofErr w:type="spellStart"/>
      <w:r w:rsidRPr="00F53556">
        <w:rPr>
          <w:rFonts w:ascii="Garamond" w:hAnsi="Garamond"/>
          <w:sz w:val="20"/>
          <w:szCs w:val="20"/>
        </w:rPr>
        <w:t>Kusakawa</w:t>
      </w:r>
      <w:proofErr w:type="spellEnd"/>
      <w:r w:rsidRPr="00F53556">
        <w:rPr>
          <w:rFonts w:ascii="Garamond" w:hAnsi="Garamond"/>
          <w:sz w:val="20"/>
          <w:szCs w:val="20"/>
        </w:rPr>
        <w:t xml:space="preserve"> I, Murata Y, et al.: Japanese guidelines for the management of intussusception in children, 2011. </w:t>
      </w:r>
      <w:proofErr w:type="spellStart"/>
      <w:r w:rsidRPr="00F53556">
        <w:rPr>
          <w:rFonts w:ascii="Garamond" w:hAnsi="Garamond"/>
          <w:sz w:val="20"/>
          <w:szCs w:val="20"/>
        </w:rPr>
        <w:t>Pediatr</w:t>
      </w:r>
      <w:proofErr w:type="spellEnd"/>
      <w:r w:rsidRPr="00F53556">
        <w:rPr>
          <w:rFonts w:ascii="Garamond" w:hAnsi="Garamond"/>
          <w:sz w:val="20"/>
          <w:szCs w:val="20"/>
        </w:rPr>
        <w:t xml:space="preserve"> Int. 2012; 54:948-958. </w:t>
      </w:r>
    </w:p>
    <w:p w14:paraId="1623C55D"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Malik AM, Shah M, Pathan R, Sufi K: Pattern of acute intestinal obstruction: is there a change in the </w:t>
      </w:r>
      <w:r w:rsidRPr="00F53556">
        <w:rPr>
          <w:rFonts w:ascii="Garamond" w:hAnsi="Garamond"/>
          <w:sz w:val="20"/>
          <w:szCs w:val="20"/>
        </w:rPr>
        <w:lastRenderedPageBreak/>
        <w:t xml:space="preserve">underlying etiology? Saudi J Gastroenterol. 2010; 16:272-274. </w:t>
      </w:r>
    </w:p>
    <w:p w14:paraId="75572BA4"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Giak CL, Singh H, </w:t>
      </w:r>
      <w:proofErr w:type="spellStart"/>
      <w:r w:rsidRPr="00F53556">
        <w:rPr>
          <w:rFonts w:ascii="Garamond" w:hAnsi="Garamond"/>
          <w:sz w:val="20"/>
          <w:szCs w:val="20"/>
        </w:rPr>
        <w:t>Nallusamy</w:t>
      </w:r>
      <w:proofErr w:type="spellEnd"/>
      <w:r w:rsidRPr="00F53556">
        <w:rPr>
          <w:rFonts w:ascii="Garamond" w:hAnsi="Garamond"/>
          <w:sz w:val="20"/>
          <w:szCs w:val="20"/>
        </w:rPr>
        <w:t xml:space="preserve"> R, Leong TY, Ng TL, Bock HL: Epidemiology of intussusception in Malaysia: a three-year review. Southeast Asian J Trop Med Public Health. 2008; 39:848-855. </w:t>
      </w:r>
    </w:p>
    <w:p w14:paraId="2C322EE3"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Mansour AM, El </w:t>
      </w:r>
      <w:proofErr w:type="spellStart"/>
      <w:r w:rsidRPr="00F53556">
        <w:rPr>
          <w:rFonts w:ascii="Garamond" w:hAnsi="Garamond"/>
          <w:sz w:val="20"/>
          <w:szCs w:val="20"/>
        </w:rPr>
        <w:t>Koutby</w:t>
      </w:r>
      <w:proofErr w:type="spellEnd"/>
      <w:r w:rsidRPr="00F53556">
        <w:rPr>
          <w:rFonts w:ascii="Garamond" w:hAnsi="Garamond"/>
          <w:sz w:val="20"/>
          <w:szCs w:val="20"/>
        </w:rPr>
        <w:t xml:space="preserve"> M, El Barbary MM, Mohamed W, Shehata S, El </w:t>
      </w:r>
      <w:proofErr w:type="spellStart"/>
      <w:r w:rsidRPr="00F53556">
        <w:rPr>
          <w:rFonts w:ascii="Garamond" w:hAnsi="Garamond"/>
          <w:sz w:val="20"/>
          <w:szCs w:val="20"/>
        </w:rPr>
        <w:t>Mohammady</w:t>
      </w:r>
      <w:proofErr w:type="spellEnd"/>
      <w:r w:rsidRPr="00F53556">
        <w:rPr>
          <w:rFonts w:ascii="Garamond" w:hAnsi="Garamond"/>
          <w:sz w:val="20"/>
          <w:szCs w:val="20"/>
        </w:rPr>
        <w:t xml:space="preserve"> H, et al. Enteric viral infections as potential risk factors for intussusception. J Infect Dev </w:t>
      </w:r>
      <w:proofErr w:type="spellStart"/>
      <w:r w:rsidRPr="00F53556">
        <w:rPr>
          <w:rFonts w:ascii="Garamond" w:hAnsi="Garamond"/>
          <w:sz w:val="20"/>
          <w:szCs w:val="20"/>
        </w:rPr>
        <w:t>Ctries</w:t>
      </w:r>
      <w:proofErr w:type="spellEnd"/>
      <w:r w:rsidRPr="00F53556">
        <w:rPr>
          <w:rFonts w:ascii="Garamond" w:hAnsi="Garamond"/>
          <w:sz w:val="20"/>
          <w:szCs w:val="20"/>
        </w:rPr>
        <w:t xml:space="preserve"> 2013; 7:28–35</w:t>
      </w:r>
    </w:p>
    <w:p w14:paraId="1C3D7B21" w14:textId="77777777" w:rsidR="00E51DFB" w:rsidRPr="00F53556" w:rsidRDefault="00E51DFB" w:rsidP="00F53556">
      <w:pPr>
        <w:numPr>
          <w:ilvl w:val="0"/>
          <w:numId w:val="26"/>
        </w:numPr>
        <w:ind w:left="357" w:hanging="357"/>
        <w:rPr>
          <w:rFonts w:ascii="Garamond" w:hAnsi="Garamond"/>
          <w:sz w:val="20"/>
          <w:szCs w:val="20"/>
        </w:rPr>
      </w:pPr>
      <w:proofErr w:type="spellStart"/>
      <w:r w:rsidRPr="00F53556">
        <w:rPr>
          <w:rFonts w:ascii="Garamond" w:hAnsi="Garamond"/>
          <w:sz w:val="20"/>
          <w:szCs w:val="20"/>
        </w:rPr>
        <w:t>Marsicovetere</w:t>
      </w:r>
      <w:proofErr w:type="spellEnd"/>
      <w:r w:rsidRPr="00F53556">
        <w:rPr>
          <w:rFonts w:ascii="Garamond" w:hAnsi="Garamond"/>
          <w:sz w:val="20"/>
          <w:szCs w:val="20"/>
        </w:rPr>
        <w:t xml:space="preserve"> P, </w:t>
      </w:r>
      <w:proofErr w:type="spellStart"/>
      <w:r w:rsidRPr="00F53556">
        <w:rPr>
          <w:rFonts w:ascii="Garamond" w:hAnsi="Garamond"/>
          <w:sz w:val="20"/>
          <w:szCs w:val="20"/>
        </w:rPr>
        <w:t>Ivatury</w:t>
      </w:r>
      <w:proofErr w:type="spellEnd"/>
      <w:r w:rsidRPr="00F53556">
        <w:rPr>
          <w:rFonts w:ascii="Garamond" w:hAnsi="Garamond"/>
          <w:sz w:val="20"/>
          <w:szCs w:val="20"/>
        </w:rPr>
        <w:t xml:space="preserve"> SJ, White B, Holubar SD: Intestinal Intussusception: Etiology, Diagnosis, and Treatment. Clin Colon Rectal Surg. 2017; 30:30-39.  </w:t>
      </w:r>
    </w:p>
    <w:p w14:paraId="7DA97175"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Saez-Llorens X, Velazquez FR, Lopez P, et al.: A multi-country study of intussusception in children under 2 years of age in Latin America: analysis of prospective surveillance data. BMC Gastroenterol. 2013; 13:95.</w:t>
      </w:r>
    </w:p>
    <w:p w14:paraId="687298DA"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Kohl KS, Magnus M, Ball R, Halsey N, </w:t>
      </w:r>
      <w:proofErr w:type="spellStart"/>
      <w:r w:rsidRPr="00F53556">
        <w:rPr>
          <w:rFonts w:ascii="Garamond" w:hAnsi="Garamond"/>
          <w:sz w:val="20"/>
          <w:szCs w:val="20"/>
        </w:rPr>
        <w:t>Shadomy</w:t>
      </w:r>
      <w:proofErr w:type="spellEnd"/>
      <w:r w:rsidRPr="00F53556">
        <w:rPr>
          <w:rFonts w:ascii="Garamond" w:hAnsi="Garamond"/>
          <w:sz w:val="20"/>
          <w:szCs w:val="20"/>
        </w:rPr>
        <w:t xml:space="preserve"> S, Farley TA: Applicability, reliability, sensitivity, and specificity of six Brighton Collaboration standardized case definitions for adverse events following immunization. Vaccine. 2008; 26:6349-6360.</w:t>
      </w:r>
    </w:p>
    <w:p w14:paraId="0F5ECD13"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Khen-Dunlop N. </w:t>
      </w:r>
      <w:proofErr w:type="spellStart"/>
      <w:r w:rsidRPr="00F53556">
        <w:rPr>
          <w:rFonts w:ascii="Garamond" w:hAnsi="Garamond"/>
          <w:sz w:val="20"/>
          <w:szCs w:val="20"/>
        </w:rPr>
        <w:t>L’invagination</w:t>
      </w:r>
      <w:proofErr w:type="spellEnd"/>
      <w:r w:rsidRPr="00F53556">
        <w:rPr>
          <w:rFonts w:ascii="Garamond" w:hAnsi="Garamond"/>
          <w:sz w:val="20"/>
          <w:szCs w:val="20"/>
        </w:rPr>
        <w:t xml:space="preserve"> </w:t>
      </w:r>
      <w:proofErr w:type="spellStart"/>
      <w:r w:rsidRPr="00F53556">
        <w:rPr>
          <w:rFonts w:ascii="Garamond" w:hAnsi="Garamond"/>
          <w:sz w:val="20"/>
          <w:szCs w:val="20"/>
        </w:rPr>
        <w:t>intestinale</w:t>
      </w:r>
      <w:proofErr w:type="spellEnd"/>
      <w:r w:rsidRPr="00F53556">
        <w:rPr>
          <w:rFonts w:ascii="Garamond" w:hAnsi="Garamond"/>
          <w:sz w:val="20"/>
          <w:szCs w:val="20"/>
        </w:rPr>
        <w:t xml:space="preserve"> </w:t>
      </w:r>
      <w:proofErr w:type="spellStart"/>
      <w:r w:rsidRPr="00F53556">
        <w:rPr>
          <w:rFonts w:ascii="Garamond" w:hAnsi="Garamond"/>
          <w:sz w:val="20"/>
          <w:szCs w:val="20"/>
        </w:rPr>
        <w:t>aiguë</w:t>
      </w:r>
      <w:proofErr w:type="spellEnd"/>
      <w:r w:rsidRPr="00F53556">
        <w:rPr>
          <w:rFonts w:ascii="Garamond" w:hAnsi="Garamond"/>
          <w:sz w:val="20"/>
          <w:szCs w:val="20"/>
        </w:rPr>
        <w:t xml:space="preserve"> Intestinal intussusceptions in Rice-Townsend S, Chen C, Barnes JN, Rangel SJ. Variation in practice patterns and resource utilization surrounding management of intussusception at freestanding Children's Hospitals. J Pediatr Surg. 2013; 1:104-10.</w:t>
      </w:r>
    </w:p>
    <w:p w14:paraId="42EDF844"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Grama F, Onica M, </w:t>
      </w:r>
      <w:proofErr w:type="spellStart"/>
      <w:r w:rsidRPr="00F53556">
        <w:rPr>
          <w:rFonts w:ascii="Garamond" w:hAnsi="Garamond"/>
          <w:sz w:val="20"/>
          <w:szCs w:val="20"/>
        </w:rPr>
        <w:t>Chitul</w:t>
      </w:r>
      <w:proofErr w:type="spellEnd"/>
      <w:r w:rsidRPr="00F53556">
        <w:rPr>
          <w:rFonts w:ascii="Garamond" w:hAnsi="Garamond"/>
          <w:sz w:val="20"/>
          <w:szCs w:val="20"/>
        </w:rPr>
        <w:t xml:space="preserve"> A, </w:t>
      </w:r>
      <w:proofErr w:type="spellStart"/>
      <w:r w:rsidRPr="00F53556">
        <w:rPr>
          <w:rFonts w:ascii="Garamond" w:hAnsi="Garamond"/>
          <w:sz w:val="20"/>
          <w:szCs w:val="20"/>
        </w:rPr>
        <w:t>Bezede</w:t>
      </w:r>
      <w:proofErr w:type="spellEnd"/>
      <w:r w:rsidRPr="00F53556">
        <w:rPr>
          <w:rFonts w:ascii="Garamond" w:hAnsi="Garamond"/>
          <w:sz w:val="20"/>
          <w:szCs w:val="20"/>
        </w:rPr>
        <w:t xml:space="preserve"> C, </w:t>
      </w:r>
      <w:proofErr w:type="spellStart"/>
      <w:r w:rsidRPr="00F53556">
        <w:rPr>
          <w:rFonts w:ascii="Garamond" w:hAnsi="Garamond"/>
          <w:sz w:val="20"/>
          <w:szCs w:val="20"/>
        </w:rPr>
        <w:t>Burco</w:t>
      </w:r>
      <w:r w:rsidRPr="00F53556">
        <w:rPr>
          <w:rFonts w:ascii="Garamond" w:hAnsi="Garamond" w:cs="Cambria"/>
          <w:sz w:val="20"/>
          <w:szCs w:val="20"/>
        </w:rPr>
        <w:t>ș</w:t>
      </w:r>
      <w:proofErr w:type="spellEnd"/>
      <w:r w:rsidRPr="00F53556">
        <w:rPr>
          <w:rFonts w:ascii="Garamond" w:hAnsi="Garamond"/>
          <w:sz w:val="20"/>
          <w:szCs w:val="20"/>
        </w:rPr>
        <w:t xml:space="preserve"> T, Cristian D. Appendix intussusception: a challenging differential diagnosis. ANZ J Surg. 2020; 10:2090-2091.</w:t>
      </w:r>
    </w:p>
    <w:p w14:paraId="3E5A228B"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Charles T, </w:t>
      </w:r>
      <w:proofErr w:type="spellStart"/>
      <w:r w:rsidRPr="00F53556">
        <w:rPr>
          <w:rFonts w:ascii="Garamond" w:hAnsi="Garamond"/>
          <w:sz w:val="20"/>
          <w:szCs w:val="20"/>
        </w:rPr>
        <w:t>Penninga</w:t>
      </w:r>
      <w:proofErr w:type="spellEnd"/>
      <w:r w:rsidRPr="00F53556">
        <w:rPr>
          <w:rFonts w:ascii="Garamond" w:hAnsi="Garamond"/>
          <w:sz w:val="20"/>
          <w:szCs w:val="20"/>
        </w:rPr>
        <w:t xml:space="preserve"> L, </w:t>
      </w:r>
      <w:proofErr w:type="spellStart"/>
      <w:r w:rsidRPr="00F53556">
        <w:rPr>
          <w:rFonts w:ascii="Garamond" w:hAnsi="Garamond"/>
          <w:sz w:val="20"/>
          <w:szCs w:val="20"/>
        </w:rPr>
        <w:t>Reurings</w:t>
      </w:r>
      <w:proofErr w:type="spellEnd"/>
      <w:r w:rsidRPr="00F53556">
        <w:rPr>
          <w:rFonts w:ascii="Garamond" w:hAnsi="Garamond"/>
          <w:sz w:val="20"/>
          <w:szCs w:val="20"/>
        </w:rPr>
        <w:t xml:space="preserve"> JC, Berry MC. Intussusception in children: a clinical review. Acta Chir Belg. 2015; 115:327-333.</w:t>
      </w:r>
    </w:p>
    <w:p w14:paraId="22EC002C"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Bines JE, Ivanoff B, Justice F, Mulholland K. Clinical case definition for the diagnosis of acute intussusception. J Pediatr Gastroenterol </w:t>
      </w:r>
      <w:proofErr w:type="spellStart"/>
      <w:r w:rsidRPr="00F53556">
        <w:rPr>
          <w:rFonts w:ascii="Garamond" w:hAnsi="Garamond"/>
          <w:sz w:val="20"/>
          <w:szCs w:val="20"/>
        </w:rPr>
        <w:t>Nutr</w:t>
      </w:r>
      <w:proofErr w:type="spellEnd"/>
      <w:r w:rsidRPr="00F53556">
        <w:rPr>
          <w:rFonts w:ascii="Garamond" w:hAnsi="Garamond"/>
          <w:sz w:val="20"/>
          <w:szCs w:val="20"/>
        </w:rPr>
        <w:t>. 2004; 39:511-518.</w:t>
      </w:r>
    </w:p>
    <w:p w14:paraId="52CF4B02" w14:textId="77777777" w:rsidR="00E51DFB" w:rsidRPr="00F53556" w:rsidRDefault="00E51DFB" w:rsidP="00F53556">
      <w:pPr>
        <w:numPr>
          <w:ilvl w:val="0"/>
          <w:numId w:val="26"/>
        </w:numPr>
        <w:ind w:left="357" w:hanging="357"/>
        <w:rPr>
          <w:rFonts w:ascii="Garamond" w:hAnsi="Garamond"/>
          <w:sz w:val="20"/>
          <w:szCs w:val="20"/>
        </w:rPr>
      </w:pPr>
      <w:proofErr w:type="spellStart"/>
      <w:r w:rsidRPr="00F53556">
        <w:rPr>
          <w:rFonts w:ascii="Garamond" w:hAnsi="Garamond"/>
          <w:sz w:val="20"/>
          <w:szCs w:val="20"/>
        </w:rPr>
        <w:t>Reijnen</w:t>
      </w:r>
      <w:proofErr w:type="spellEnd"/>
      <w:r w:rsidRPr="00F53556">
        <w:rPr>
          <w:rFonts w:ascii="Garamond" w:hAnsi="Garamond"/>
          <w:sz w:val="20"/>
          <w:szCs w:val="20"/>
        </w:rPr>
        <w:t xml:space="preserve"> JA, </w:t>
      </w:r>
      <w:proofErr w:type="spellStart"/>
      <w:r w:rsidRPr="00F53556">
        <w:rPr>
          <w:rFonts w:ascii="Garamond" w:hAnsi="Garamond"/>
          <w:sz w:val="20"/>
          <w:szCs w:val="20"/>
        </w:rPr>
        <w:t>Festen</w:t>
      </w:r>
      <w:proofErr w:type="spellEnd"/>
      <w:r w:rsidRPr="00F53556">
        <w:rPr>
          <w:rFonts w:ascii="Garamond" w:hAnsi="Garamond"/>
          <w:sz w:val="20"/>
          <w:szCs w:val="20"/>
        </w:rPr>
        <w:t xml:space="preserve"> C, van </w:t>
      </w:r>
      <w:proofErr w:type="spellStart"/>
      <w:r w:rsidRPr="00F53556">
        <w:rPr>
          <w:rFonts w:ascii="Garamond" w:hAnsi="Garamond"/>
          <w:sz w:val="20"/>
          <w:szCs w:val="20"/>
        </w:rPr>
        <w:t>Roosmalen</w:t>
      </w:r>
      <w:proofErr w:type="spellEnd"/>
      <w:r w:rsidRPr="00F53556">
        <w:rPr>
          <w:rFonts w:ascii="Garamond" w:hAnsi="Garamond"/>
          <w:sz w:val="20"/>
          <w:szCs w:val="20"/>
        </w:rPr>
        <w:t xml:space="preserve"> RP: Intussusception: factors related to treatment. Arch Dis Child. 1990; 65:871-873. </w:t>
      </w:r>
    </w:p>
    <w:p w14:paraId="757D8050"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Sönmez K, </w:t>
      </w:r>
      <w:proofErr w:type="spellStart"/>
      <w:r w:rsidRPr="00F53556">
        <w:rPr>
          <w:rFonts w:ascii="Garamond" w:hAnsi="Garamond"/>
          <w:sz w:val="20"/>
          <w:szCs w:val="20"/>
        </w:rPr>
        <w:t>Turkyilmaz</w:t>
      </w:r>
      <w:proofErr w:type="spellEnd"/>
      <w:r w:rsidRPr="00F53556">
        <w:rPr>
          <w:rFonts w:ascii="Garamond" w:hAnsi="Garamond"/>
          <w:sz w:val="20"/>
          <w:szCs w:val="20"/>
        </w:rPr>
        <w:t xml:space="preserve"> Z, </w:t>
      </w:r>
      <w:proofErr w:type="spellStart"/>
      <w:r w:rsidRPr="00F53556">
        <w:rPr>
          <w:rFonts w:ascii="Garamond" w:hAnsi="Garamond"/>
          <w:sz w:val="20"/>
          <w:szCs w:val="20"/>
        </w:rPr>
        <w:t>Demirogullari</w:t>
      </w:r>
      <w:proofErr w:type="spellEnd"/>
      <w:r w:rsidRPr="00F53556">
        <w:rPr>
          <w:rFonts w:ascii="Garamond" w:hAnsi="Garamond"/>
          <w:sz w:val="20"/>
          <w:szCs w:val="20"/>
        </w:rPr>
        <w:t xml:space="preserve"> B, et al. Conservative treatment for small intestinal intussusception associated with Henoch-</w:t>
      </w:r>
      <w:proofErr w:type="spellStart"/>
      <w:r w:rsidRPr="00F53556">
        <w:rPr>
          <w:rFonts w:ascii="Garamond" w:hAnsi="Garamond"/>
          <w:sz w:val="20"/>
          <w:szCs w:val="20"/>
        </w:rPr>
        <w:t>Schönlein’s</w:t>
      </w:r>
      <w:proofErr w:type="spellEnd"/>
      <w:r w:rsidRPr="00F53556">
        <w:rPr>
          <w:rFonts w:ascii="Garamond" w:hAnsi="Garamond"/>
          <w:sz w:val="20"/>
          <w:szCs w:val="20"/>
        </w:rPr>
        <w:t xml:space="preserve"> purpura. Surg Today. 2002; 32:1031-1034.</w:t>
      </w:r>
    </w:p>
    <w:p w14:paraId="6AB06F2D"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Yang G, Wang X, Jiang W, Ma J, Zhao J, Liu W. Postoperative intussusceptions in children and </w:t>
      </w:r>
      <w:r w:rsidRPr="00F53556">
        <w:rPr>
          <w:rFonts w:ascii="Garamond" w:hAnsi="Garamond"/>
          <w:sz w:val="20"/>
          <w:szCs w:val="20"/>
        </w:rPr>
        <w:t xml:space="preserve">infants: a systematic review. </w:t>
      </w:r>
      <w:proofErr w:type="spellStart"/>
      <w:r w:rsidRPr="00F53556">
        <w:rPr>
          <w:rFonts w:ascii="Garamond" w:hAnsi="Garamond"/>
          <w:sz w:val="20"/>
          <w:szCs w:val="20"/>
        </w:rPr>
        <w:t>Pediatr</w:t>
      </w:r>
      <w:proofErr w:type="spellEnd"/>
      <w:r w:rsidRPr="00F53556">
        <w:rPr>
          <w:rFonts w:ascii="Garamond" w:hAnsi="Garamond"/>
          <w:sz w:val="20"/>
          <w:szCs w:val="20"/>
        </w:rPr>
        <w:t xml:space="preserve"> Surg Int. 2013;29(12):1273-9.</w:t>
      </w:r>
    </w:p>
    <w:p w14:paraId="0DA603C4"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Kaiser AD, Applegate KE, Ladd AP. Current success in the treatment of intussusception in children. Surgery 2007; 142:469-77.</w:t>
      </w:r>
    </w:p>
    <w:p w14:paraId="34EB37B1"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Katz M, Phelan E, Carlin J, Beasley S: Gas enema for the reduction of intussusception: relationship between clinical signs and symptoms and outcome. AJR. Am J Roentgenol. 1993, 160:363-366. </w:t>
      </w:r>
    </w:p>
    <w:p w14:paraId="3EC451B3" w14:textId="77777777" w:rsidR="00E51DFB" w:rsidRPr="00F53556" w:rsidRDefault="00E51DFB" w:rsidP="00F53556">
      <w:pPr>
        <w:numPr>
          <w:ilvl w:val="0"/>
          <w:numId w:val="26"/>
        </w:numPr>
        <w:ind w:left="357" w:hanging="357"/>
        <w:rPr>
          <w:rFonts w:ascii="Garamond" w:hAnsi="Garamond"/>
          <w:sz w:val="20"/>
          <w:szCs w:val="20"/>
        </w:rPr>
      </w:pPr>
      <w:proofErr w:type="spellStart"/>
      <w:r w:rsidRPr="00F53556">
        <w:rPr>
          <w:rFonts w:ascii="Garamond" w:hAnsi="Garamond"/>
          <w:sz w:val="20"/>
          <w:szCs w:val="20"/>
        </w:rPr>
        <w:t>Kuppermann</w:t>
      </w:r>
      <w:proofErr w:type="spellEnd"/>
      <w:r w:rsidRPr="00F53556">
        <w:rPr>
          <w:rFonts w:ascii="Garamond" w:hAnsi="Garamond"/>
          <w:sz w:val="20"/>
          <w:szCs w:val="20"/>
        </w:rPr>
        <w:t xml:space="preserve"> N, O'Dea T, Pinckney L, Hoecker C: Predictors of intussusception in young children. Arch </w:t>
      </w:r>
      <w:proofErr w:type="spellStart"/>
      <w:r w:rsidRPr="00F53556">
        <w:rPr>
          <w:rFonts w:ascii="Garamond" w:hAnsi="Garamond"/>
          <w:sz w:val="20"/>
          <w:szCs w:val="20"/>
        </w:rPr>
        <w:t>Pediatr</w:t>
      </w:r>
      <w:proofErr w:type="spellEnd"/>
      <w:r w:rsidRPr="00F53556">
        <w:rPr>
          <w:rFonts w:ascii="Garamond" w:hAnsi="Garamond"/>
          <w:sz w:val="20"/>
          <w:szCs w:val="20"/>
        </w:rPr>
        <w:t xml:space="preserve"> </w:t>
      </w:r>
      <w:proofErr w:type="spellStart"/>
      <w:r w:rsidRPr="00F53556">
        <w:rPr>
          <w:rFonts w:ascii="Garamond" w:hAnsi="Garamond"/>
          <w:sz w:val="20"/>
          <w:szCs w:val="20"/>
        </w:rPr>
        <w:t>Adolesc</w:t>
      </w:r>
      <w:proofErr w:type="spellEnd"/>
      <w:r w:rsidRPr="00F53556">
        <w:rPr>
          <w:rFonts w:ascii="Garamond" w:hAnsi="Garamond"/>
          <w:sz w:val="20"/>
          <w:szCs w:val="20"/>
        </w:rPr>
        <w:t xml:space="preserve"> Med. 2000, 154:250-255. </w:t>
      </w:r>
    </w:p>
    <w:p w14:paraId="0C7F160C"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Daneman A, Navarro O. Intussusception. </w:t>
      </w:r>
      <w:proofErr w:type="spellStart"/>
      <w:r w:rsidRPr="00F53556">
        <w:rPr>
          <w:rFonts w:ascii="Garamond" w:hAnsi="Garamond"/>
          <w:sz w:val="20"/>
          <w:szCs w:val="20"/>
        </w:rPr>
        <w:t>Pediatr</w:t>
      </w:r>
      <w:proofErr w:type="spellEnd"/>
      <w:r w:rsidRPr="00F53556">
        <w:rPr>
          <w:rFonts w:ascii="Garamond" w:hAnsi="Garamond"/>
          <w:sz w:val="20"/>
          <w:szCs w:val="20"/>
        </w:rPr>
        <w:t xml:space="preserve"> Radiol. 2003; 33:79-85.</w:t>
      </w:r>
    </w:p>
    <w:p w14:paraId="027D91EC"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Bari H, Karkhanis S, Dasari BVM. </w:t>
      </w:r>
      <w:proofErr w:type="spellStart"/>
      <w:r w:rsidRPr="00F53556">
        <w:rPr>
          <w:rFonts w:ascii="Garamond" w:hAnsi="Garamond"/>
          <w:sz w:val="20"/>
          <w:szCs w:val="20"/>
        </w:rPr>
        <w:t>Pyloroduodenojejunal</w:t>
      </w:r>
      <w:proofErr w:type="spellEnd"/>
      <w:r w:rsidRPr="00F53556">
        <w:rPr>
          <w:rFonts w:ascii="Garamond" w:hAnsi="Garamond"/>
          <w:sz w:val="20"/>
          <w:szCs w:val="20"/>
        </w:rPr>
        <w:t xml:space="preserve"> Intussusception due to Hyperplastic Polyp of the Brunner Gland. J </w:t>
      </w:r>
      <w:proofErr w:type="spellStart"/>
      <w:r w:rsidRPr="00F53556">
        <w:rPr>
          <w:rFonts w:ascii="Garamond" w:hAnsi="Garamond"/>
          <w:sz w:val="20"/>
          <w:szCs w:val="20"/>
        </w:rPr>
        <w:t>Gastrointest</w:t>
      </w:r>
      <w:proofErr w:type="spellEnd"/>
      <w:r w:rsidRPr="00F53556">
        <w:rPr>
          <w:rFonts w:ascii="Garamond" w:hAnsi="Garamond"/>
          <w:sz w:val="20"/>
          <w:szCs w:val="20"/>
        </w:rPr>
        <w:t xml:space="preserve"> Surg. 2021; 2:565-566.</w:t>
      </w:r>
    </w:p>
    <w:p w14:paraId="2653A9C2" w14:textId="77777777" w:rsidR="00E51DFB" w:rsidRPr="00F53556" w:rsidRDefault="00E51DFB" w:rsidP="00F53556">
      <w:pPr>
        <w:numPr>
          <w:ilvl w:val="0"/>
          <w:numId w:val="26"/>
        </w:numPr>
        <w:ind w:left="357" w:hanging="357"/>
        <w:rPr>
          <w:rFonts w:ascii="Garamond" w:hAnsi="Garamond"/>
          <w:sz w:val="20"/>
          <w:szCs w:val="20"/>
        </w:rPr>
      </w:pPr>
      <w:r w:rsidRPr="00F53556">
        <w:rPr>
          <w:rFonts w:ascii="Garamond" w:hAnsi="Garamond"/>
          <w:sz w:val="20"/>
          <w:szCs w:val="20"/>
        </w:rPr>
        <w:t xml:space="preserve">Khalifa AB, Jebali A, </w:t>
      </w:r>
      <w:proofErr w:type="spellStart"/>
      <w:r w:rsidRPr="00F53556">
        <w:rPr>
          <w:rFonts w:ascii="Garamond" w:hAnsi="Garamond"/>
          <w:sz w:val="20"/>
          <w:szCs w:val="20"/>
        </w:rPr>
        <w:t>Kedher</w:t>
      </w:r>
      <w:proofErr w:type="spellEnd"/>
      <w:r w:rsidRPr="00F53556">
        <w:rPr>
          <w:rFonts w:ascii="Garamond" w:hAnsi="Garamond"/>
          <w:sz w:val="20"/>
          <w:szCs w:val="20"/>
        </w:rPr>
        <w:t xml:space="preserve"> M, Trabelsi A. Infectious etiology of acute idiopathic intussusception in children. Ann Biol Clin (Paris). 2013; 4:389-93.</w:t>
      </w:r>
    </w:p>
    <w:p w14:paraId="5C1DCDAD" w14:textId="77777777" w:rsidR="00DA62A5" w:rsidRDefault="00DA62A5" w:rsidP="00DA62A5">
      <w:pPr>
        <w:jc w:val="both"/>
        <w:rPr>
          <w:rFonts w:ascii="Garamond" w:hAnsi="Garamond"/>
          <w:iCs/>
          <w:sz w:val="20"/>
          <w:szCs w:val="20"/>
        </w:rPr>
      </w:pPr>
    </w:p>
    <w:p w14:paraId="3D4F5C4B" w14:textId="77777777" w:rsidR="00DA62A5" w:rsidRDefault="00DA62A5" w:rsidP="00DA62A5"/>
    <w:p w14:paraId="04E0C0C1" w14:textId="77777777" w:rsidR="00DA62A5" w:rsidRPr="00E51DFB" w:rsidRDefault="00DA62A5" w:rsidP="00DA62A5">
      <w:pPr>
        <w:jc w:val="both"/>
        <w:rPr>
          <w:rFonts w:ascii="Garamond" w:hAnsi="Garamond"/>
          <w:iCs/>
          <w:sz w:val="20"/>
          <w:szCs w:val="20"/>
        </w:rPr>
      </w:pPr>
    </w:p>
    <w:p w14:paraId="72A43298" w14:textId="77777777" w:rsidR="00E51DFB" w:rsidRPr="00E51DFB" w:rsidRDefault="00E51DFB" w:rsidP="00B04638">
      <w:pPr>
        <w:jc w:val="both"/>
        <w:rPr>
          <w:rFonts w:ascii="Garamond" w:hAnsi="Garamond"/>
          <w:iCs/>
          <w:sz w:val="20"/>
          <w:szCs w:val="20"/>
        </w:rPr>
      </w:pPr>
    </w:p>
    <w:sectPr w:rsidR="00E51DFB" w:rsidRPr="00E51DFB" w:rsidSect="003D02D5">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8C95D" w14:textId="77777777" w:rsidR="000F4581" w:rsidRDefault="000F4581" w:rsidP="00202B90">
      <w:r>
        <w:separator/>
      </w:r>
    </w:p>
  </w:endnote>
  <w:endnote w:type="continuationSeparator" w:id="0">
    <w:p w14:paraId="3498E623" w14:textId="77777777" w:rsidR="000F4581" w:rsidRDefault="000F4581"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9" w:name="_Hlk114232143"/>
    <w:bookmarkStart w:id="10"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9"/>
    <w:bookmarkEnd w:id="10"/>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2010196672" name="Picture 2010196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2010196672" name="Picture 2010196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0D2CC8F"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8A5BF6">
      <w:rPr>
        <w:rFonts w:ascii="Garamond" w:hAnsi="Garamond"/>
        <w:sz w:val="18"/>
        <w:szCs w:val="18"/>
      </w:rPr>
      <w:t>6</w:t>
    </w:r>
    <w:r>
      <w:rPr>
        <w:rFonts w:ascii="Garamond" w:hAnsi="Garamond"/>
        <w:sz w:val="18"/>
        <w:szCs w:val="18"/>
      </w:rPr>
      <w:t xml:space="preserve">, Issue </w:t>
    </w:r>
    <w:r w:rsidR="008A5BF6">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2F060DBA"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8A5BF6">
      <w:rPr>
        <w:rFonts w:ascii="Garamond" w:hAnsi="Garamond"/>
        <w:sz w:val="18"/>
        <w:szCs w:val="18"/>
      </w:rPr>
      <w:t>6</w:t>
    </w:r>
    <w:r>
      <w:rPr>
        <w:rFonts w:ascii="Garamond" w:hAnsi="Garamond"/>
        <w:sz w:val="18"/>
        <w:szCs w:val="18"/>
      </w:rPr>
      <w:t xml:space="preserve">, Issue </w:t>
    </w:r>
    <w:r w:rsidR="008A5BF6">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0771148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8A5BF6">
      <w:rPr>
        <w:rFonts w:ascii="Garamond" w:hAnsi="Garamond"/>
        <w:sz w:val="18"/>
        <w:szCs w:val="18"/>
      </w:rPr>
      <w:t>6</w:t>
    </w:r>
    <w:r>
      <w:rPr>
        <w:rFonts w:ascii="Garamond" w:hAnsi="Garamond"/>
        <w:sz w:val="18"/>
        <w:szCs w:val="18"/>
      </w:rPr>
      <w:t xml:space="preserve">, Issue </w:t>
    </w:r>
    <w:r w:rsidR="008A5BF6">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8A551" w14:textId="77777777" w:rsidR="000F4581" w:rsidRDefault="000F4581" w:rsidP="00202B90">
      <w:bookmarkStart w:id="0" w:name="_Hlk191386689"/>
      <w:bookmarkEnd w:id="0"/>
      <w:r>
        <w:separator/>
      </w:r>
    </w:p>
  </w:footnote>
  <w:footnote w:type="continuationSeparator" w:id="0">
    <w:p w14:paraId="6CE632E2" w14:textId="77777777" w:rsidR="000F4581" w:rsidRDefault="000F4581"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6D74250A"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8"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856882651" name="Picture 185688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Volume 2</w:t>
    </w:r>
    <w:r w:rsidR="000479FB">
      <w:rPr>
        <w:rFonts w:ascii="Garamond" w:hAnsi="Garamond"/>
        <w:sz w:val="20"/>
        <w:szCs w:val="22"/>
      </w:rPr>
      <w:t>6</w:t>
    </w:r>
    <w:r w:rsidR="006914B1">
      <w:rPr>
        <w:rFonts w:ascii="Garamond" w:hAnsi="Garamond"/>
        <w:sz w:val="20"/>
        <w:szCs w:val="22"/>
      </w:rPr>
      <w:t xml:space="preserve">, Issue </w:t>
    </w:r>
    <w:r w:rsidR="000479FB">
      <w:rPr>
        <w:rFonts w:ascii="Garamond" w:hAnsi="Garamond"/>
        <w:sz w:val="20"/>
        <w:szCs w:val="22"/>
      </w:rPr>
      <w:t>1</w:t>
    </w:r>
    <w:r w:rsidR="006914B1">
      <w:rPr>
        <w:rFonts w:ascii="Garamond" w:hAnsi="Garamond"/>
        <w:sz w:val="20"/>
        <w:szCs w:val="22"/>
      </w:rPr>
      <w:t xml:space="preserve"> – </w:t>
    </w:r>
    <w:r w:rsidR="000479FB">
      <w:rPr>
        <w:rFonts w:ascii="Garamond" w:hAnsi="Garamond"/>
        <w:sz w:val="20"/>
        <w:szCs w:val="22"/>
      </w:rPr>
      <w:t>March</w:t>
    </w:r>
    <w:r w:rsidR="006914B1">
      <w:rPr>
        <w:rFonts w:ascii="Garamond" w:hAnsi="Garamond"/>
        <w:sz w:val="20"/>
        <w:szCs w:val="22"/>
      </w:rPr>
      <w:t>, 202</w:t>
    </w:r>
    <w:r w:rsidR="000479FB">
      <w:rPr>
        <w:rFonts w:ascii="Garamond" w:hAnsi="Garamond"/>
        <w:sz w:val="20"/>
        <w:szCs w:val="22"/>
      </w:rPr>
      <w:t>6</w:t>
    </w:r>
  </w:p>
  <w:bookmarkEnd w:id="8"/>
  <w:p w14:paraId="2E4D938B" w14:textId="6F4D3938" w:rsidR="000479FB" w:rsidRDefault="000479FB" w:rsidP="000479FB">
    <w:pPr>
      <w:pStyle w:val="Header"/>
      <w:tabs>
        <w:tab w:val="left" w:pos="630"/>
      </w:tabs>
      <w:rPr>
        <w:rFonts w:ascii="Garamond" w:hAnsi="Garamond"/>
        <w:sz w:val="20"/>
        <w:szCs w:val="22"/>
      </w:rPr>
    </w:pPr>
    <w:r w:rsidRPr="000479FB">
      <w:rPr>
        <w:rFonts w:ascii="Garamond" w:hAnsi="Garamond"/>
        <w:sz w:val="20"/>
        <w:szCs w:val="22"/>
        <w:lang w:val="en-GB"/>
      </w:rPr>
      <w:t>Intestinal Obstruction in Childhood Caused by Intussusception: Experience at A Tertiary Hospital</w:t>
    </w:r>
  </w:p>
  <w:p w14:paraId="5D172485" w14:textId="421682A8" w:rsidR="002238CA" w:rsidRDefault="008A5BF6" w:rsidP="00E94E49">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Nwokoro</w:t>
    </w:r>
    <w:proofErr w:type="spellEnd"/>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418547609" name="Picture 1418547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848BC" w14:textId="77777777" w:rsidR="008A5BF6" w:rsidRDefault="00CF327B" w:rsidP="008A5BF6">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 xml:space="preserve">The </w:t>
    </w:r>
    <w:r w:rsidR="008A5BF6">
      <w:rPr>
        <w:rFonts w:ascii="Garamond" w:hAnsi="Garamond"/>
        <w:sz w:val="20"/>
        <w:szCs w:val="22"/>
      </w:rPr>
      <w:t>Nigerian Health Journal</w:t>
    </w:r>
    <w:r w:rsidR="008A5BF6">
      <w:rPr>
        <w:rFonts w:ascii="Garamond" w:hAnsi="Garamond"/>
        <w:sz w:val="20"/>
        <w:szCs w:val="22"/>
      </w:rPr>
      <w:tab/>
      <w:t>; Volume 26, Issue 1 – March, 2026</w:t>
    </w:r>
  </w:p>
  <w:p w14:paraId="01EB1723" w14:textId="77777777" w:rsidR="008A5BF6" w:rsidRDefault="008A5BF6" w:rsidP="008A5BF6">
    <w:pPr>
      <w:pStyle w:val="Header"/>
      <w:tabs>
        <w:tab w:val="left" w:pos="630"/>
      </w:tabs>
      <w:rPr>
        <w:rFonts w:ascii="Garamond" w:hAnsi="Garamond"/>
        <w:sz w:val="20"/>
        <w:szCs w:val="22"/>
      </w:rPr>
    </w:pPr>
    <w:r w:rsidRPr="000479FB">
      <w:rPr>
        <w:rFonts w:ascii="Garamond" w:hAnsi="Garamond"/>
        <w:sz w:val="20"/>
        <w:szCs w:val="22"/>
        <w:lang w:val="en-GB"/>
      </w:rPr>
      <w:t>Intestinal Obstruction in Childhood Caused by Intussusception: Experience at A Tertiary Hospital</w:t>
    </w:r>
  </w:p>
  <w:p w14:paraId="32E34E17" w14:textId="77777777" w:rsidR="008A5BF6" w:rsidRDefault="008A5BF6" w:rsidP="008A5BF6">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Nwokoro</w:t>
    </w:r>
    <w:proofErr w:type="spellEnd"/>
    <w:r>
      <w:rPr>
        <w:rFonts w:ascii="Garamond" w:hAnsi="Garamond"/>
        <w:sz w:val="20"/>
        <w:szCs w:val="22"/>
      </w:rPr>
      <w:t xml:space="preserve"> et al</w:t>
    </w:r>
  </w:p>
  <w:p w14:paraId="3CB70D9D" w14:textId="5537A0EC" w:rsidR="006914B1" w:rsidRPr="00CA6A3A" w:rsidRDefault="006914B1" w:rsidP="008A5BF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A3828" w14:textId="77777777" w:rsidR="008A5BF6" w:rsidRDefault="00CF327B" w:rsidP="008A5BF6">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 xml:space="preserve">The </w:t>
    </w:r>
    <w:r w:rsidR="008A5BF6">
      <w:rPr>
        <w:rFonts w:ascii="Garamond" w:hAnsi="Garamond"/>
        <w:sz w:val="20"/>
        <w:szCs w:val="22"/>
      </w:rPr>
      <w:t>Nigerian Health Journal</w:t>
    </w:r>
    <w:r w:rsidR="008A5BF6">
      <w:rPr>
        <w:rFonts w:ascii="Garamond" w:hAnsi="Garamond"/>
        <w:sz w:val="20"/>
        <w:szCs w:val="22"/>
      </w:rPr>
      <w:tab/>
      <w:t>; Volume 26, Issue 1 – March, 2026</w:t>
    </w:r>
  </w:p>
  <w:p w14:paraId="7A690881" w14:textId="77777777" w:rsidR="008A5BF6" w:rsidRDefault="008A5BF6" w:rsidP="008A5BF6">
    <w:pPr>
      <w:pStyle w:val="Header"/>
      <w:tabs>
        <w:tab w:val="left" w:pos="630"/>
      </w:tabs>
      <w:rPr>
        <w:rFonts w:ascii="Garamond" w:hAnsi="Garamond"/>
        <w:sz w:val="20"/>
        <w:szCs w:val="22"/>
      </w:rPr>
    </w:pPr>
    <w:r w:rsidRPr="000479FB">
      <w:rPr>
        <w:rFonts w:ascii="Garamond" w:hAnsi="Garamond"/>
        <w:sz w:val="20"/>
        <w:szCs w:val="22"/>
        <w:lang w:val="en-GB"/>
      </w:rPr>
      <w:t>Intestinal Obstruction in Childhood Caused by Intussusception: Experience at A Tertiary Hospital</w:t>
    </w:r>
  </w:p>
  <w:p w14:paraId="2A7842FD" w14:textId="77777777" w:rsidR="008A5BF6" w:rsidRDefault="008A5BF6" w:rsidP="008A5BF6">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Nwokoro</w:t>
    </w:r>
    <w:proofErr w:type="spellEnd"/>
    <w:r>
      <w:rPr>
        <w:rFonts w:ascii="Garamond" w:hAnsi="Garamond"/>
        <w:sz w:val="20"/>
        <w:szCs w:val="22"/>
      </w:rPr>
      <w:t xml:space="preserve"> et al</w:t>
    </w:r>
  </w:p>
  <w:p w14:paraId="75D8D9FC" w14:textId="62AE9CC7" w:rsidR="006914B1" w:rsidRDefault="006914B1" w:rsidP="008A5BF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1697F"/>
    <w:multiLevelType w:val="multilevel"/>
    <w:tmpl w:val="12A169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7"/>
  </w:num>
  <w:num w:numId="2" w16cid:durableId="189728065">
    <w:abstractNumId w:val="1"/>
  </w:num>
  <w:num w:numId="3" w16cid:durableId="34425020">
    <w:abstractNumId w:val="15"/>
  </w:num>
  <w:num w:numId="4" w16cid:durableId="1129132120">
    <w:abstractNumId w:val="13"/>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4"/>
  </w:num>
  <w:num w:numId="10" w16cid:durableId="1714503964">
    <w:abstractNumId w:val="16"/>
  </w:num>
  <w:num w:numId="11" w16cid:durableId="624430197">
    <w:abstractNumId w:val="10"/>
  </w:num>
  <w:num w:numId="12" w16cid:durableId="1779639381">
    <w:abstractNumId w:val="19"/>
  </w:num>
  <w:num w:numId="13" w16cid:durableId="52851340">
    <w:abstractNumId w:val="20"/>
  </w:num>
  <w:num w:numId="14" w16cid:durableId="1055860988">
    <w:abstractNumId w:val="12"/>
  </w:num>
  <w:num w:numId="15" w16cid:durableId="1380934824">
    <w:abstractNumId w:val="21"/>
  </w:num>
  <w:num w:numId="16" w16cid:durableId="1314261793">
    <w:abstractNumId w:val="6"/>
  </w:num>
  <w:num w:numId="17" w16cid:durableId="1221361593">
    <w:abstractNumId w:val="24"/>
  </w:num>
  <w:num w:numId="18" w16cid:durableId="377054002">
    <w:abstractNumId w:val="8"/>
  </w:num>
  <w:num w:numId="19" w16cid:durableId="513375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9"/>
  </w:num>
  <w:num w:numId="22" w16cid:durableId="1575044381">
    <w:abstractNumId w:val="18"/>
  </w:num>
  <w:num w:numId="23" w16cid:durableId="1550071572">
    <w:abstractNumId w:val="25"/>
  </w:num>
  <w:num w:numId="24" w16cid:durableId="1200505831">
    <w:abstractNumId w:val="23"/>
  </w:num>
  <w:num w:numId="25" w16cid:durableId="1501195848">
    <w:abstractNumId w:val="3"/>
  </w:num>
  <w:num w:numId="26" w16cid:durableId="10932537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7874"/>
    <w:rsid w:val="00030449"/>
    <w:rsid w:val="00030481"/>
    <w:rsid w:val="000304B6"/>
    <w:rsid w:val="000368E5"/>
    <w:rsid w:val="000372C5"/>
    <w:rsid w:val="00040ADD"/>
    <w:rsid w:val="000413D3"/>
    <w:rsid w:val="00044076"/>
    <w:rsid w:val="00045140"/>
    <w:rsid w:val="000479FB"/>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D7303"/>
    <w:rsid w:val="000E3A4F"/>
    <w:rsid w:val="000E6FCF"/>
    <w:rsid w:val="000F21BF"/>
    <w:rsid w:val="000F4581"/>
    <w:rsid w:val="000F5FDD"/>
    <w:rsid w:val="000F7F4D"/>
    <w:rsid w:val="00100BBC"/>
    <w:rsid w:val="001026C1"/>
    <w:rsid w:val="00104CD0"/>
    <w:rsid w:val="0010553E"/>
    <w:rsid w:val="00110A68"/>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C21"/>
    <w:rsid w:val="002A2C5B"/>
    <w:rsid w:val="002A61BC"/>
    <w:rsid w:val="002B2F96"/>
    <w:rsid w:val="002B703D"/>
    <w:rsid w:val="002B73EA"/>
    <w:rsid w:val="002C202A"/>
    <w:rsid w:val="002C3C99"/>
    <w:rsid w:val="002C5B38"/>
    <w:rsid w:val="002C5D0E"/>
    <w:rsid w:val="002C6DD9"/>
    <w:rsid w:val="002D2DC8"/>
    <w:rsid w:val="002E1E5C"/>
    <w:rsid w:val="002E2DB5"/>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4F7073"/>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280E"/>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0BC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E7CCD"/>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5BF6"/>
    <w:rsid w:val="008A672B"/>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D638C"/>
    <w:rsid w:val="008D73B9"/>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642D9"/>
    <w:rsid w:val="00A7208F"/>
    <w:rsid w:val="00A72C0A"/>
    <w:rsid w:val="00A74B40"/>
    <w:rsid w:val="00A7575B"/>
    <w:rsid w:val="00A76763"/>
    <w:rsid w:val="00A812B6"/>
    <w:rsid w:val="00A822A5"/>
    <w:rsid w:val="00A84565"/>
    <w:rsid w:val="00A9005E"/>
    <w:rsid w:val="00A93FAB"/>
    <w:rsid w:val="00A979AC"/>
    <w:rsid w:val="00AA486B"/>
    <w:rsid w:val="00AA4BA3"/>
    <w:rsid w:val="00AA6363"/>
    <w:rsid w:val="00AA7E00"/>
    <w:rsid w:val="00AB1292"/>
    <w:rsid w:val="00AB1608"/>
    <w:rsid w:val="00AB56A1"/>
    <w:rsid w:val="00AB7625"/>
    <w:rsid w:val="00AC0A40"/>
    <w:rsid w:val="00AC112A"/>
    <w:rsid w:val="00AC3833"/>
    <w:rsid w:val="00AC5F9C"/>
    <w:rsid w:val="00AC6C29"/>
    <w:rsid w:val="00AC7D54"/>
    <w:rsid w:val="00AD07E3"/>
    <w:rsid w:val="00AD0B52"/>
    <w:rsid w:val="00AD157B"/>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4638"/>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43BC"/>
    <w:rsid w:val="00B67F2A"/>
    <w:rsid w:val="00B73997"/>
    <w:rsid w:val="00B74637"/>
    <w:rsid w:val="00B82472"/>
    <w:rsid w:val="00B85DFB"/>
    <w:rsid w:val="00B865B0"/>
    <w:rsid w:val="00B93B3A"/>
    <w:rsid w:val="00B977E1"/>
    <w:rsid w:val="00BA1170"/>
    <w:rsid w:val="00BA2317"/>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2C1F"/>
    <w:rsid w:val="00C25529"/>
    <w:rsid w:val="00C27FB0"/>
    <w:rsid w:val="00C310C5"/>
    <w:rsid w:val="00C32643"/>
    <w:rsid w:val="00C3387D"/>
    <w:rsid w:val="00C3508A"/>
    <w:rsid w:val="00C35BD4"/>
    <w:rsid w:val="00C4108A"/>
    <w:rsid w:val="00C419BC"/>
    <w:rsid w:val="00C41C95"/>
    <w:rsid w:val="00C500F6"/>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36CA"/>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4569"/>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464BA"/>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2A5"/>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1DFB"/>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607A"/>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7D0"/>
    <w:rsid w:val="00F42AD7"/>
    <w:rsid w:val="00F43C7A"/>
    <w:rsid w:val="00F44531"/>
    <w:rsid w:val="00F478D1"/>
    <w:rsid w:val="00F50918"/>
    <w:rsid w:val="00F5136F"/>
    <w:rsid w:val="00F51A75"/>
    <w:rsid w:val="00F53556"/>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llinsnwokoro@gmail.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912" TargetMode="External"/><Relationship Id="rId28" Type="http://schemas.openxmlformats.org/officeDocument/2006/relationships/image" Target="media/image5.jpeg"/><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912" TargetMode="External"/><Relationship Id="rId27" Type="http://schemas.openxmlformats.org/officeDocument/2006/relationships/image" Target="media/image4.jpeg"/><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en-US" sz="1400" b="0" i="0" u="none" strike="noStrike" kern="1200" spc="0" baseline="0">
                <a:solidFill>
                  <a:schemeClr val="tx1">
                    <a:lumMod val="65000"/>
                    <a:lumOff val="35000"/>
                  </a:schemeClr>
                </a:solidFill>
                <a:latin typeface="+mn-lt"/>
                <a:ea typeface="+mn-ea"/>
                <a:cs typeface="+mn-cs"/>
              </a:defRPr>
            </a:pPr>
            <a:r>
              <a:rPr lang="en-US" b="1"/>
              <a:t>Figure</a:t>
            </a:r>
            <a:r>
              <a:rPr lang="en-US" b="1" baseline="0"/>
              <a:t> 1 showing s</a:t>
            </a:r>
            <a:r>
              <a:rPr lang="en-US" b="1"/>
              <a:t>ex distribution of respondents</a:t>
            </a:r>
          </a:p>
        </c:rich>
      </c:tx>
      <c:layout>
        <c:manualLayout>
          <c:xMode val="edge"/>
          <c:yMode val="edge"/>
          <c:x val="0.14025481189851269"/>
          <c:y val="0.84400813957845588"/>
        </c:manualLayout>
      </c:layout>
      <c:overlay val="0"/>
      <c:spPr>
        <a:noFill/>
        <a:ln>
          <a:noFill/>
        </a:ln>
        <a:effectLst/>
      </c:spPr>
      <c:txPr>
        <a:bodyPr rot="0" spcFirstLastPara="1" vertOverflow="ellipsis" vert="horz" wrap="square" anchor="ctr" anchorCtr="1"/>
        <a:lstStyle/>
        <a:p>
          <a:pPr algn="ctr">
            <a:defRPr lang="en-US" sz="1400" b="0" i="0" u="none" strike="noStrike" kern="1200" spc="0" baseline="0">
              <a:solidFill>
                <a:schemeClr val="tx1">
                  <a:lumMod val="65000"/>
                  <a:lumOff val="35000"/>
                </a:schemeClr>
              </a:solidFill>
              <a:latin typeface="+mn-lt"/>
              <a:ea typeface="+mn-ea"/>
              <a:cs typeface="+mn-cs"/>
            </a:defRPr>
          </a:pPr>
          <a:endParaRPr lang="en-NG"/>
        </a:p>
      </c:txPr>
    </c:title>
    <c:autoTitleDeleted val="0"/>
    <c:plotArea>
      <c:layout>
        <c:manualLayout>
          <c:layoutTarget val="inner"/>
          <c:xMode val="edge"/>
          <c:yMode val="edge"/>
          <c:x val="5.9833770778652672E-2"/>
          <c:y val="2.3135289906943444E-2"/>
          <c:w val="0.86644356955380597"/>
          <c:h val="0.85418444100238289"/>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CD5-4B58-AEA0-C66D871D248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CD5-4B58-AEA0-C66D871D2486}"/>
              </c:ext>
            </c:extLst>
          </c:dPt>
          <c:dLbls>
            <c:spPr>
              <a:noFill/>
              <a:ln>
                <a:noFill/>
              </a:ln>
              <a:effectLst/>
            </c:spPr>
            <c:txPr>
              <a:bodyPr rot="0" spcFirstLastPara="1" vertOverflow="ellipsis" vert="horz" wrap="square" lIns="38100" tIns="19050" rIns="38100" bIns="19050" anchor="ctr" anchorCtr="1">
                <a:spAutoFit/>
              </a:bodyPr>
              <a:lstStyle/>
              <a:p>
                <a:pPr>
                  <a:defRPr lang="en-US" sz="900" b="1" i="0" u="none" strike="noStrike" kern="1200" baseline="0">
                    <a:solidFill>
                      <a:schemeClr val="tx1">
                        <a:lumMod val="75000"/>
                        <a:lumOff val="25000"/>
                      </a:schemeClr>
                    </a:solidFill>
                    <a:latin typeface="+mn-lt"/>
                    <a:ea typeface="+mn-ea"/>
                    <a:cs typeface="+mn-cs"/>
                  </a:defRPr>
                </a:pPr>
                <a:endParaRPr lang="en-NG"/>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Sheet1!$A$1:$A$2</c:f>
              <c:strCache>
                <c:ptCount val="2"/>
                <c:pt idx="0">
                  <c:v>Male</c:v>
                </c:pt>
                <c:pt idx="1">
                  <c:v>Female</c:v>
                </c:pt>
              </c:strCache>
            </c:strRef>
          </c:cat>
          <c:val>
            <c:numRef>
              <c:f>Sheet1!$B$1:$B$2</c:f>
              <c:numCache>
                <c:formatCode>General</c:formatCode>
                <c:ptCount val="2"/>
                <c:pt idx="0">
                  <c:v>570</c:v>
                </c:pt>
                <c:pt idx="1">
                  <c:v>300</c:v>
                </c:pt>
              </c:numCache>
            </c:numRef>
          </c:val>
          <c:extLst>
            <c:ext xmlns:c16="http://schemas.microsoft.com/office/drawing/2014/chart" uri="{C3380CC4-5D6E-409C-BE32-E72D297353CC}">
              <c16:uniqueId val="{00000004-8CD5-4B58-AEA0-C66D871D2486}"/>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5.0027996500437398E-2"/>
          <c:y val="0.60705963837853605"/>
          <c:w val="0.23049956255468099"/>
          <c:h val="0.110532954214057"/>
        </c:manualLayout>
      </c:layout>
      <c:overlay val="0"/>
      <c:spPr>
        <a:noFill/>
        <a:ln>
          <a:noFill/>
        </a:ln>
        <a:effectLst/>
      </c:spPr>
      <c:txPr>
        <a:bodyPr rot="0" spcFirstLastPara="1" vertOverflow="ellipsis" vert="horz" wrap="square" anchor="ctr" anchorCtr="1"/>
        <a:lstStyle/>
        <a:p>
          <a:pPr>
            <a:defRPr lang="en-US" sz="900" b="1" i="0" u="none" strike="noStrike" kern="1200" baseline="0">
              <a:solidFill>
                <a:schemeClr val="tx1">
                  <a:lumMod val="65000"/>
                  <a:lumOff val="35000"/>
                </a:schemeClr>
              </a:solidFill>
              <a:latin typeface="+mn-lt"/>
              <a:ea typeface="+mn-ea"/>
              <a:cs typeface="+mn-cs"/>
            </a:defRPr>
          </a:pPr>
          <a:endParaRPr lang="en-NG"/>
        </a:p>
      </c:txPr>
    </c:legend>
    <c:plotVisOnly val="1"/>
    <c:dispBlanksAs val="gap"/>
    <c:showDLblsOverMax val="0"/>
    <c:extLst>
      <c:ext uri="{0b15fc19-7d7d-44ad-8c2d-2c3a37ce22c3}">
        <chartProps xmlns="https://web.wps.cn/et/2018/main" chartId="{71ae2c1d-7c89-43bd-9068-c1cf7574f295}"/>
      </c:ext>
    </c:extLst>
  </c:chart>
  <c:spPr>
    <a:noFill/>
    <a:ln w="9525" cap="flat" cmpd="sng" algn="ctr">
      <a:noFill/>
      <a:round/>
    </a:ln>
    <a:effectLst/>
  </c:spPr>
  <c:txPr>
    <a:bodyPr/>
    <a:lstStyle/>
    <a:p>
      <a:pPr>
        <a:defRPr lang="en-US"/>
      </a:pPr>
      <a:endParaRPr lang="en-NG"/>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3189</Words>
  <Characters>18183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2026-04-06T05:51:00Z</dcterms:created>
  <dcterms:modified xsi:type="dcterms:W3CDTF">2026-04-06T05:52:00Z</dcterms:modified>
</cp:coreProperties>
</file>